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1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September 30, 2025</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26670</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325 Corporate Drive, Portsmouth,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34925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80"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ind w:right="40"/>
        <w:spacing w:after="0" w:line="23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 w:lineRule="exact"/>
        <w:rPr>
          <w:sz w:val="24"/>
          <w:szCs w:val="24"/>
          <w:color w:val="auto"/>
        </w:rPr>
      </w:pPr>
    </w:p>
    <w:p>
      <w:pPr>
        <w:ind w:right="2220"/>
        <w:spacing w:after="0" w:line="23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28.7 million shares of Class A Common Stock outstanding as of October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Page</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No.</w:t>
            </w:r>
          </w:p>
        </w:tc>
      </w:tr>
      <w:tr>
        <w:trPr>
          <w:trHeight w:val="21"/>
        </w:trPr>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gridSpan w:val="2"/>
          </w:tcPr>
          <w:p>
            <w:pPr>
              <w:spacing w:after="0" w:line="20" w:lineRule="exact"/>
              <w:rPr>
                <w:sz w:val="1"/>
                <w:szCs w:val="1"/>
                <w:color w:val="auto"/>
              </w:rPr>
            </w:pPr>
          </w:p>
        </w:tc>
        <w:tc>
          <w:tcPr>
            <w:tcW w:w="56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42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3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38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shd w:val="clear" w:color="auto" w:fill="B2B2B2"/>
          </w:tcPr>
          <w:p>
            <w:pPr>
              <w:spacing w:after="0"/>
              <w:rPr>
                <w:sz w:val="19"/>
                <w:szCs w:val="19"/>
                <w:color w:val="auto"/>
              </w:rPr>
            </w:pPr>
          </w:p>
        </w:tc>
        <w:tc>
          <w:tcPr>
            <w:tcW w:w="10520" w:type="dxa"/>
            <w:vAlign w:val="bottom"/>
            <w:gridSpan w:val="35"/>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100" w:type="dxa"/>
            <w:vAlign w:val="bottom"/>
            <w:tcBorders>
              <w:right w:val="single" w:sz="8" w:color="B2B2B2"/>
            </w:tcBorders>
            <w:shd w:val="clear" w:color="auto" w:fill="B2B2B2"/>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Financial Statements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statements of income – three and </w:t>
            </w:r>
            <w:r>
              <w:rPr>
                <w:rFonts w:ascii="Arial" w:cs="Arial" w:eastAsia="Arial" w:hAnsi="Arial"/>
                <w:sz w:val="16"/>
                <w:szCs w:val="16"/>
                <w:color w:val="000000"/>
              </w:rPr>
              <w:t>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2025</w:t>
            </w:r>
            <w:r>
              <w:rPr>
                <w:rFonts w:ascii="Arial" w:cs="Arial" w:eastAsia="Arial" w:hAnsi="Arial"/>
                <w:sz w:val="16"/>
                <w:szCs w:val="16"/>
                <w:color w:val="0000FF"/>
              </w:rPr>
              <w:t xml:space="preserve"> and </w:t>
            </w:r>
            <w:r>
              <w:rPr>
                <w:rFonts w:ascii="Arial" w:cs="Arial" w:eastAsia="Arial" w:hAnsi="Arial"/>
                <w:sz w:val="16"/>
                <w:szCs w:val="16"/>
                <w:color w:val="000000"/>
              </w:rPr>
              <w:t>2024</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1</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3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38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 xml:space="preserve">Consolidated statements of comprehensive income/(loss) – </w:t>
            </w:r>
            <w:r>
              <w:rPr>
                <w:rFonts w:ascii="Arial" w:cs="Arial" w:eastAsia="Arial" w:hAnsi="Arial"/>
                <w:sz w:val="16"/>
                <w:szCs w:val="16"/>
                <w:color w:val="000000"/>
              </w:rPr>
              <w:t>three and 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2025</w:t>
            </w:r>
            <w:r>
              <w:rPr>
                <w:rFonts w:ascii="Arial" w:cs="Arial" w:eastAsia="Arial" w:hAnsi="Arial"/>
                <w:sz w:val="16"/>
                <w:szCs w:val="16"/>
                <w:color w:val="0000FF"/>
              </w:rPr>
              <w:t xml:space="preserve"> and </w:t>
            </w:r>
            <w:r>
              <w:rPr>
                <w:rFonts w:ascii="Arial" w:cs="Arial" w:eastAsia="Arial" w:hAnsi="Arial"/>
                <w:sz w:val="16"/>
                <w:szCs w:val="16"/>
                <w:color w:val="000000"/>
              </w:rPr>
              <w:t>2024</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2</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September 30, 2025</w:t>
            </w:r>
            <w:r>
              <w:rPr>
                <w:rFonts w:ascii="Arial" w:cs="Arial" w:eastAsia="Arial" w:hAnsi="Arial"/>
                <w:sz w:val="16"/>
                <w:szCs w:val="16"/>
                <w:color w:val="0000FF"/>
              </w:rPr>
              <w:t xml:space="preserve"> and </w:t>
            </w:r>
            <w:r>
              <w:rPr>
                <w:rFonts w:ascii="Arial" w:cs="Arial" w:eastAsia="Arial" w:hAnsi="Arial"/>
                <w:sz w:val="16"/>
                <w:szCs w:val="16"/>
                <w:color w:val="000000"/>
              </w:rPr>
              <w:t>December 31, 2024</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3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38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2025</w:t>
            </w:r>
            <w:r>
              <w:rPr>
                <w:rFonts w:ascii="Arial" w:cs="Arial" w:eastAsia="Arial" w:hAnsi="Arial"/>
                <w:sz w:val="16"/>
                <w:szCs w:val="16"/>
                <w:color w:val="0000FF"/>
              </w:rPr>
              <w:t xml:space="preserve"> and </w:t>
            </w:r>
            <w:r>
              <w:rPr>
                <w:rFonts w:ascii="Arial" w:cs="Arial" w:eastAsia="Arial" w:hAnsi="Arial"/>
                <w:sz w:val="16"/>
                <w:szCs w:val="16"/>
                <w:color w:val="000000"/>
              </w:rPr>
              <w:t>2024</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4</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Notes to consolidated financial statements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5</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3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38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25</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Forward-looking statements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25</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3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38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Quantitative and Qualitative Disclosures about Market Risk</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36</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Controls and Procedures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36</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3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38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10520" w:type="dxa"/>
            <w:vAlign w:val="bottom"/>
            <w:gridSpan w:val="35"/>
          </w:tcPr>
          <w:p>
            <w:pPr>
              <w:spacing w:after="0"/>
              <w:rPr>
                <w:sz w:val="20"/>
                <w:szCs w:val="20"/>
                <w:color w:val="auto"/>
              </w:rPr>
            </w:pPr>
            <w:r>
              <w:rPr>
                <w:rFonts w:ascii="Arial" w:cs="Arial" w:eastAsia="Arial" w:hAnsi="Arial"/>
                <w:sz w:val="16"/>
                <w:szCs w:val="16"/>
                <w:b w:val="1"/>
                <w:bCs w:val="1"/>
                <w:color w:val="0000FF"/>
              </w:rPr>
              <w:t>Part II Other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3"/>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1.</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Legal Proceedings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37</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3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38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Risk Factors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37</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37</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38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38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Defaults upon Senior Securities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37</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Mine Safety Disclosures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37</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38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38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Other Information</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6.</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Exhibits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39</w:t>
            </w:r>
          </w:p>
        </w:tc>
        <w:tc>
          <w:tcPr>
            <w:tcW w:w="60" w:type="dxa"/>
            <w:vAlign w:val="bottom"/>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42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38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B2B2B2"/>
              <w:bottom w:val="single" w:sz="8" w:color="9A9A9A"/>
            </w:tcBorders>
          </w:tcPr>
          <w:p>
            <w:pPr>
              <w:spacing w:after="0"/>
              <w:rPr>
                <w:sz w:val="24"/>
                <w:szCs w:val="24"/>
                <w:color w:val="auto"/>
              </w:rPr>
            </w:pPr>
          </w:p>
        </w:tc>
        <w:tc>
          <w:tcPr>
            <w:tcW w:w="520" w:type="dxa"/>
            <w:vAlign w:val="bottom"/>
            <w:tcBorders>
              <w:top w:val="single" w:sz="8" w:color="B2B2B2"/>
              <w:bottom w:val="single" w:sz="8" w:color="9A9A9A"/>
            </w:tcBorders>
          </w:tcPr>
          <w:p>
            <w:pPr>
              <w:spacing w:after="0"/>
              <w:rPr>
                <w:sz w:val="24"/>
                <w:szCs w:val="24"/>
                <w:color w:val="auto"/>
              </w:rPr>
            </w:pPr>
          </w:p>
        </w:tc>
        <w:tc>
          <w:tcPr>
            <w:tcW w:w="46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2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38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22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r>
      <w:tr>
        <w:trPr>
          <w:trHeight w:val="21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943,710</w:t>
            </w:r>
          </w:p>
        </w:tc>
      </w:tr>
      <w:tr>
        <w:trPr>
          <w:trHeight w:val="21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717,552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632,257</w:t>
            </w:r>
          </w:p>
        </w:tc>
      </w:tr>
      <w:tr>
        <w:trPr>
          <w:trHeight w:val="237"/>
        </w:trPr>
        <w:tc>
          <w:tcPr>
            <w:tcW w:w="6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Gross profit/(loss)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90,384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144,055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311,453</w:t>
            </w: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162,447</w:t>
            </w: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35,369</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6,584</w:t>
            </w: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income/(loss)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107,053</w:t>
            </w: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8,680</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expense/(income),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5,932</w:t>
            </w: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92,441</w:t>
            </w:r>
          </w:p>
        </w:tc>
      </w:tr>
      <w:tr>
        <w:trPr>
          <w:trHeight w:val="21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expense/(benefit)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22,131</w:t>
            </w:r>
          </w:p>
        </w:tc>
      </w:tr>
      <w:tr>
        <w:trPr>
          <w:trHeight w:val="237"/>
        </w:trPr>
        <w:tc>
          <w:tcPr>
            <w:tcW w:w="6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Net income/(loss)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(97,638)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(70,957)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70,310</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10"/>
        </w:trPr>
        <w:tc>
          <w:tcPr>
            <w:tcW w:w="6180" w:type="dxa"/>
            <w:vAlign w:val="bottom"/>
          </w:tcPr>
          <w:p>
            <w:pPr>
              <w:ind w:left="20"/>
              <w:spacing w:after="0"/>
              <w:rPr>
                <w:sz w:val="20"/>
                <w:szCs w:val="20"/>
                <w:color w:val="auto"/>
              </w:rPr>
            </w:pPr>
            <w:r>
              <w:rPr>
                <w:rFonts w:ascii="Arial" w:cs="Arial" w:eastAsia="Arial" w:hAnsi="Arial"/>
                <w:sz w:val="16"/>
                <w:szCs w:val="16"/>
                <w:color w:val="auto"/>
              </w:rPr>
              <w:t>Net income/(loss) attributable to the Company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69,944</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6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57"/>
        </w:trPr>
        <w:tc>
          <w:tcPr>
            <w:tcW w:w="6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57"/>
        </w:trPr>
        <w:tc>
          <w:tcPr>
            <w:tcW w:w="6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31,234</w:t>
            </w:r>
          </w:p>
        </w:tc>
      </w:tr>
      <w:tr>
        <w:trPr>
          <w:trHeight w:val="257"/>
        </w:trPr>
        <w:tc>
          <w:tcPr>
            <w:tcW w:w="6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31,333</w:t>
            </w:r>
          </w:p>
        </w:tc>
      </w:tr>
      <w:tr>
        <w:trPr>
          <w:trHeight w:val="257"/>
        </w:trPr>
        <w:tc>
          <w:tcPr>
            <w:tcW w:w="6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Class A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70,310</w:t>
            </w:r>
          </w:p>
        </w:tc>
      </w:tr>
      <w:tr>
        <w:trPr>
          <w:trHeight w:val="256"/>
        </w:trPr>
        <w:tc>
          <w:tcPr>
            <w:tcW w:w="6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55,948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(12,757)</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credit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6200" w:type="dxa"/>
            <w:vAlign w:val="bottom"/>
          </w:tcPr>
          <w:p>
            <w:pPr>
              <w:ind w:left="220"/>
              <w:spacing w:after="0"/>
              <w:rPr>
                <w:sz w:val="20"/>
                <w:szCs w:val="20"/>
                <w:color w:val="auto"/>
              </w:rPr>
            </w:pPr>
            <w:r>
              <w:rPr>
                <w:rFonts w:ascii="Arial" w:cs="Arial" w:eastAsia="Arial" w:hAnsi="Arial"/>
                <w:sz w:val="16"/>
                <w:szCs w:val="16"/>
                <w:color w:val="auto"/>
              </w:rPr>
              <w:t>Net actuarial loss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(10,893)</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Derivative valuation adjustment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57"/>
        </w:trPr>
        <w:tc>
          <w:tcPr>
            <w:tcW w:w="6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2,681</w:t>
            </w:r>
          </w:p>
        </w:tc>
      </w:tr>
      <w:tr>
        <w:trPr>
          <w:trHeight w:val="244"/>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9"/>
        </w:trPr>
        <w:tc>
          <w:tcPr>
            <w:tcW w:w="6200" w:type="dxa"/>
            <w:vAlign w:val="bottom"/>
          </w:tcPr>
          <w:p>
            <w:pPr>
              <w:ind w:left="140"/>
              <w:spacing w:after="0"/>
              <w:rPr>
                <w:sz w:val="20"/>
                <w:szCs w:val="20"/>
                <w:color w:val="auto"/>
              </w:rPr>
            </w:pPr>
            <w:r>
              <w:rPr>
                <w:rFonts w:ascii="Arial" w:cs="Arial" w:eastAsia="Arial" w:hAnsi="Arial"/>
                <w:sz w:val="16"/>
                <w:szCs w:val="16"/>
                <w:color w:val="auto"/>
              </w:rPr>
              <w:t>Comprehensive income/(loss)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49,929</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Comprehensive income/(loss) attributable to the Company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50,202</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8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8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108,310</w:t>
            </w:r>
          </w:p>
        </w:tc>
        <w:tc>
          <w:tcPr>
            <w:tcW w:w="1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115,283</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258,503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246,688</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140,259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166,557</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159,664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145,845</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33,037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19,187</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40,758</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37,132</w:t>
            </w:r>
          </w:p>
        </w:tc>
        <w:tc>
          <w:tcPr>
            <w:tcW w:w="0" w:type="dxa"/>
            <w:vAlign w:val="bottom"/>
          </w:tcPr>
          <w:p>
            <w:pPr>
              <w:spacing w:after="0"/>
              <w:rPr>
                <w:sz w:val="1"/>
                <w:szCs w:val="1"/>
                <w:color w:val="auto"/>
              </w:rPr>
            </w:pPr>
          </w:p>
        </w:tc>
      </w:tr>
      <w:tr>
        <w:trPr>
          <w:trHeight w:val="192"/>
        </w:trPr>
        <w:tc>
          <w:tcPr>
            <w:tcW w:w="838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740,531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730,692</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573,233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563,431</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36,098</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38,127</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184,291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176,261</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57,236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28,757</w:t>
            </w:r>
          </w:p>
        </w:tc>
        <w:tc>
          <w:tcPr>
            <w:tcW w:w="0" w:type="dxa"/>
            <w:vAlign w:val="bottom"/>
          </w:tcPr>
          <w:p>
            <w:pPr>
              <w:spacing w:after="0"/>
              <w:rPr>
                <w:sz w:val="1"/>
                <w:szCs w:val="1"/>
                <w:color w:val="auto"/>
              </w:rPr>
            </w:pPr>
          </w:p>
        </w:tc>
      </w:tr>
      <w:tr>
        <w:trPr>
          <w:trHeight w:val="198"/>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110,205</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111,428</w:t>
            </w: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1,701,594</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1,648,696</w:t>
            </w:r>
          </w:p>
        </w:tc>
        <w:tc>
          <w:tcPr>
            <w:tcW w:w="0" w:type="dxa"/>
            <w:vAlign w:val="bottom"/>
          </w:tcPr>
          <w:p>
            <w:pPr>
              <w:spacing w:after="0"/>
              <w:rPr>
                <w:sz w:val="1"/>
                <w:szCs w:val="1"/>
                <w:color w:val="auto"/>
              </w:rPr>
            </w:pPr>
          </w:p>
        </w:tc>
      </w:tr>
      <w:tr>
        <w:trPr>
          <w:trHeight w:val="200"/>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85,994</w:t>
            </w:r>
          </w:p>
        </w:tc>
        <w:tc>
          <w:tcPr>
            <w:tcW w:w="1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66,095</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222,434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141,904</w:t>
            </w:r>
          </w:p>
        </w:tc>
        <w:tc>
          <w:tcPr>
            <w:tcW w:w="0" w:type="dxa"/>
            <w:vAlign w:val="bottom"/>
          </w:tcPr>
          <w:p>
            <w:pPr>
              <w:spacing w:after="0"/>
              <w:rPr>
                <w:sz w:val="1"/>
                <w:szCs w:val="1"/>
                <w:color w:val="auto"/>
              </w:rPr>
            </w:pPr>
          </w:p>
        </w:tc>
      </w:tr>
      <w:tr>
        <w:trPr>
          <w:trHeight w:val="198"/>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7,964</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18,367</w:t>
            </w: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316,392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226,366</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480,631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318,531</w:t>
            </w:r>
          </w:p>
        </w:tc>
        <w:tc>
          <w:tcPr>
            <w:tcW w:w="0" w:type="dxa"/>
            <w:vAlign w:val="bottom"/>
          </w:tcPr>
          <w:p>
            <w:pPr>
              <w:spacing w:after="0"/>
              <w:rPr>
                <w:sz w:val="1"/>
                <w:szCs w:val="1"/>
                <w:color w:val="auto"/>
              </w:rPr>
            </w:pPr>
          </w:p>
        </w:tc>
      </w:tr>
      <w:tr>
        <w:trPr>
          <w:trHeight w:val="199"/>
        </w:trPr>
        <w:tc>
          <w:tcPr>
            <w:tcW w:w="838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140,764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138,830</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18,800</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16,022</w:t>
            </w:r>
          </w:p>
        </w:tc>
        <w:tc>
          <w:tcPr>
            <w:tcW w:w="0" w:type="dxa"/>
            <w:vAlign w:val="bottom"/>
          </w:tcPr>
          <w:p>
            <w:pPr>
              <w:spacing w:after="0"/>
              <w:rPr>
                <w:sz w:val="1"/>
                <w:szCs w:val="1"/>
                <w:color w:val="auto"/>
              </w:rPr>
            </w:pPr>
          </w:p>
        </w:tc>
      </w:tr>
      <w:tr>
        <w:trPr>
          <w:trHeight w:val="192"/>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956,587</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699,749</w:t>
            </w:r>
          </w:p>
        </w:tc>
        <w:tc>
          <w:tcPr>
            <w:tcW w:w="0" w:type="dxa"/>
            <w:vAlign w:val="bottom"/>
          </w:tcPr>
          <w:p>
            <w:pPr>
              <w:spacing w:after="0"/>
              <w:rPr>
                <w:sz w:val="1"/>
                <w:szCs w:val="1"/>
                <w:color w:val="auto"/>
              </w:rPr>
            </w:pPr>
          </w:p>
        </w:tc>
      </w:tr>
      <w:tr>
        <w:trPr>
          <w:trHeight w:val="92"/>
        </w:trPr>
        <w:tc>
          <w:tcPr>
            <w:tcW w:w="8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20"/>
              <w:spacing w:after="0"/>
              <w:rPr>
                <w:sz w:val="20"/>
                <w:szCs w:val="20"/>
                <w:color w:val="auto"/>
              </w:rPr>
            </w:pPr>
            <w:r>
              <w:rPr>
                <w:rFonts w:ascii="Arial" w:cs="Arial" w:eastAsia="Arial" w:hAnsi="Arial"/>
                <w:sz w:val="14"/>
                <w:szCs w:val="14"/>
                <w:color w:val="auto"/>
              </w:rPr>
              <w:t>Commitments and Contingencies (Note 17)</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8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380" w:type="dxa"/>
            <w:vAlign w:val="bottom"/>
          </w:tcPr>
          <w:p>
            <w:pPr>
              <w:ind w:left="140"/>
              <w:spacing w:after="0" w:line="149" w:lineRule="exact"/>
              <w:rPr>
                <w:sz w:val="20"/>
                <w:szCs w:val="20"/>
                <w:color w:val="auto"/>
              </w:rPr>
            </w:pPr>
            <w:r>
              <w:rPr>
                <w:rFonts w:ascii="Arial" w:cs="Arial" w:eastAsia="Arial" w:hAnsi="Arial"/>
                <w:sz w:val="14"/>
                <w:szCs w:val="14"/>
                <w:color w:val="auto"/>
              </w:rPr>
              <w:t>Class A Common Stock, par value $0.001 per share; authorized 100,000,000 shares; 40,989,106 issued in 2025</w:t>
            </w:r>
          </w:p>
        </w:tc>
        <w:tc>
          <w:tcPr>
            <w:tcW w:w="1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8380" w:type="dxa"/>
            <w:vAlign w:val="bottom"/>
          </w:tcPr>
          <w:p>
            <w:pPr>
              <w:ind w:left="140"/>
              <w:spacing w:after="0"/>
              <w:rPr>
                <w:sz w:val="20"/>
                <w:szCs w:val="20"/>
                <w:color w:val="auto"/>
              </w:rPr>
            </w:pPr>
            <w:r>
              <w:rPr>
                <w:rFonts w:ascii="Arial" w:cs="Arial" w:eastAsia="Arial" w:hAnsi="Arial"/>
                <w:sz w:val="14"/>
                <w:szCs w:val="14"/>
                <w:color w:val="auto"/>
              </w:rPr>
              <w:t>and 40,917,539 in 2024</w:t>
            </w: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 in capital</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460,294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452,933</w:t>
            </w:r>
          </w:p>
        </w:tc>
        <w:tc>
          <w:tcPr>
            <w:tcW w:w="0" w:type="dxa"/>
            <w:vAlign w:val="bottom"/>
          </w:tcPr>
          <w:p>
            <w:pPr>
              <w:spacing w:after="0"/>
              <w:rPr>
                <w:sz w:val="1"/>
                <w:szCs w:val="1"/>
                <w:color w:val="auto"/>
              </w:rPr>
            </w:pPr>
          </w:p>
        </w:tc>
      </w:tr>
      <w:tr>
        <w:trPr>
          <w:trHeight w:val="199"/>
        </w:trPr>
        <w:tc>
          <w:tcPr>
            <w:tcW w:w="83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970,435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1,065,763</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220"/>
              <w:spacing w:after="0"/>
              <w:rPr>
                <w:sz w:val="20"/>
                <w:szCs w:val="20"/>
                <w:color w:val="auto"/>
              </w:rPr>
            </w:pPr>
            <w:r>
              <w:rPr>
                <w:rFonts w:ascii="Arial" w:cs="Arial" w:eastAsia="Arial" w:hAnsi="Arial"/>
                <w:sz w:val="14"/>
                <w:szCs w:val="14"/>
                <w:color w:val="auto"/>
              </w:rPr>
              <w:t>Translation adjustments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(123,189)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(181,555)</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(14,328)</w:t>
            </w:r>
          </w:p>
        </w:tc>
        <w:tc>
          <w:tcPr>
            <w:tcW w:w="0" w:type="dxa"/>
            <w:vAlign w:val="bottom"/>
          </w:tcPr>
          <w:p>
            <w:pPr>
              <w:spacing w:after="0"/>
              <w:rPr>
                <w:sz w:val="1"/>
                <w:szCs w:val="1"/>
                <w:color w:val="auto"/>
              </w:rPr>
            </w:pPr>
          </w:p>
        </w:tc>
      </w:tr>
      <w:tr>
        <w:trPr>
          <w:trHeight w:val="198"/>
        </w:trPr>
        <w:tc>
          <w:tcPr>
            <w:tcW w:w="8380" w:type="dxa"/>
            <w:vAlign w:val="bottom"/>
          </w:tcPr>
          <w:p>
            <w:pPr>
              <w:ind w:left="220"/>
              <w:spacing w:after="0"/>
              <w:rPr>
                <w:sz w:val="20"/>
                <w:szCs w:val="20"/>
                <w:color w:val="auto"/>
              </w:rPr>
            </w:pPr>
            <w:r>
              <w:rPr>
                <w:rFonts w:ascii="Arial" w:cs="Arial" w:eastAsia="Arial" w:hAnsi="Arial"/>
                <w:sz w:val="14"/>
                <w:szCs w:val="14"/>
                <w:color w:val="auto"/>
              </w:rPr>
              <w:t>Derivative valuation adjustment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(Class A), at cost; 12,325,515 shares in 2025 and 9,844,746 in 2024</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(550,174)</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(379,210)</w:t>
            </w:r>
          </w:p>
        </w:tc>
        <w:tc>
          <w:tcPr>
            <w:tcW w:w="0" w:type="dxa"/>
            <w:vAlign w:val="bottom"/>
          </w:tcPr>
          <w:p>
            <w:pPr>
              <w:spacing w:after="0"/>
              <w:rPr>
                <w:sz w:val="1"/>
                <w:szCs w:val="1"/>
                <w:color w:val="auto"/>
              </w:rPr>
            </w:pPr>
          </w:p>
        </w:tc>
      </w:tr>
      <w:tr>
        <w:trPr>
          <w:trHeight w:val="192"/>
        </w:trPr>
        <w:tc>
          <w:tcPr>
            <w:tcW w:w="8380" w:type="dxa"/>
            <w:vAlign w:val="bottom"/>
          </w:tcPr>
          <w:p>
            <w:pPr>
              <w:ind w:left="140"/>
              <w:spacing w:after="0"/>
              <w:rPr>
                <w:sz w:val="20"/>
                <w:szCs w:val="20"/>
                <w:color w:val="auto"/>
              </w:rPr>
            </w:pPr>
            <w:r>
              <w:rPr>
                <w:rFonts w:ascii="Arial" w:cs="Arial" w:eastAsia="Arial" w:hAnsi="Arial"/>
                <w:sz w:val="14"/>
                <w:szCs w:val="14"/>
                <w:color w:val="auto"/>
              </w:rPr>
              <w:t>Total shareholders' equity</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739,298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943,538</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5,709</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w:t>
            </w:r>
          </w:p>
        </w:tc>
        <w:tc>
          <w:tcPr>
            <w:tcW w:w="0" w:type="dxa"/>
            <w:vAlign w:val="bottom"/>
          </w:tcPr>
          <w:p>
            <w:pPr>
              <w:spacing w:after="0"/>
              <w:rPr>
                <w:sz w:val="1"/>
                <w:szCs w:val="1"/>
                <w:color w:val="auto"/>
              </w:rPr>
            </w:pPr>
          </w:p>
        </w:tc>
      </w:tr>
      <w:tr>
        <w:trPr>
          <w:trHeight w:val="192"/>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745,007</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948,947</w:t>
            </w:r>
          </w:p>
        </w:tc>
        <w:tc>
          <w:tcPr>
            <w:tcW w:w="0" w:type="dxa"/>
            <w:vAlign w:val="bottom"/>
          </w:tcPr>
          <w:p>
            <w:pPr>
              <w:spacing w:after="0"/>
              <w:rPr>
                <w:sz w:val="1"/>
                <w:szCs w:val="1"/>
                <w:color w:val="auto"/>
              </w:rPr>
            </w:pPr>
          </w:p>
        </w:tc>
      </w:tr>
      <w:tr>
        <w:trPr>
          <w:trHeight w:val="225"/>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1,701,594</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1,648,696</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8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Net income/(loss)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(70,957)</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70,310</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income/(loss) to net cash provided by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61,577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61,813</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5,190</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(21,864)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(7,552)</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 of property, plant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777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Contract loss provision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139,665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9,882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4,438</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Provision/(recovery) for credit losses from uncollected receivables and contract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Foreign currency remeasurement loss/(gain) on intercompany loans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7,587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2,263</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Fair value adjustment on foreign currency contracts</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Gain on sale of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(1,566)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112"/>
        </w:trPr>
        <w:tc>
          <w:tcPr>
            <w:tcW w:w="8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17,980</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Contract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(15,194)</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5,918</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(3,286)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2,768</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prepaid and receivable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18,684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7,316</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Income taxes payable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(11,995)</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78,772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139,985</w:t>
            </w:r>
          </w:p>
        </w:tc>
      </w:tr>
      <w:tr>
        <w:trPr>
          <w:trHeight w:val="92"/>
        </w:trPr>
        <w:tc>
          <w:tcPr>
            <w:tcW w:w="8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9"/>
        </w:trPr>
        <w:tc>
          <w:tcPr>
            <w:tcW w:w="8120" w:type="dxa"/>
            <w:vAlign w:val="bottom"/>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(47,559)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(61,985)</w:t>
            </w:r>
          </w:p>
        </w:tc>
      </w:tr>
      <w:tr>
        <w:trPr>
          <w:trHeight w:val="20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Purchased software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9"/>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Proceeds received from sale of assets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(45,566)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(61,053)</w:t>
            </w:r>
          </w:p>
        </w:tc>
      </w:tr>
      <w:tr>
        <w:trPr>
          <w:trHeight w:val="92"/>
        </w:trPr>
        <w:tc>
          <w:tcPr>
            <w:tcW w:w="8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Proceeds from borrowings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231,999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48,106</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Repayment of borrowings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(82,044)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(142,691)</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Purchase of Treasury shares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(170,964)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Taxes paid in lieu of share issuance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w:t>
            </w:r>
          </w:p>
        </w:tc>
      </w:tr>
      <w:tr>
        <w:trPr>
          <w:trHeight w:val="198"/>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Dividends paid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(24,738)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(24,356)</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(121,773)</w:t>
            </w:r>
          </w:p>
        </w:tc>
      </w:tr>
      <w:tr>
        <w:trPr>
          <w:trHeight w:val="92"/>
        </w:trPr>
        <w:tc>
          <w:tcPr>
            <w:tcW w:w="8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192"/>
        </w:trPr>
        <w:tc>
          <w:tcPr>
            <w:tcW w:w="8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8,089</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w:t>
            </w:r>
          </w:p>
        </w:tc>
      </w:tr>
      <w:tr>
        <w:trPr>
          <w:trHeight w:val="92"/>
        </w:trPr>
        <w:tc>
          <w:tcPr>
            <w:tcW w:w="8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cash and cash equivalents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(46,198)</w:t>
            </w:r>
          </w:p>
        </w:tc>
      </w:tr>
      <w:tr>
        <w:trPr>
          <w:trHeight w:val="19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115,283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173,420</w:t>
            </w:r>
          </w:p>
        </w:tc>
      </w:tr>
      <w:tr>
        <w:trPr>
          <w:trHeight w:val="225"/>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108,310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127,222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ind w:right="8340" w:firstLine="8"/>
        <w:spacing w:after="0" w:line="374"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does not include all disclosures required by the accounting principles generally accepted in the United States ("GAAP"). All such adjustments are of a normal recurring nature, unless otherwise disclosed in this report. Certain amounts in prior year financial statements and notes thereto have been reclassified to conform to current year presentation. The information included in this Quarterly Report on Form 10-Q should be read in conjunction with the Company’s Annual Report on Form 10-K for the year ended December 31,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financial instruments, including derivatives, pension and other postretirement benefits, stock-based compensation,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September 2025, the Financial Accounting Standards Board (FASB) issued guidance to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retrospectively or using a modified transition approach. We are evaluating the impact of this guidance on our consolidated financial statements.</w:t>
      </w:r>
    </w:p>
    <w:p>
      <w:pPr>
        <w:spacing w:after="0" w:line="20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November 2024, the FASB issued guidance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Additionally, on an annual and interim basis, a qualitative description is required for amounts remaining in relevant expense captions that are not separately disaggregated quantitatively. A relevant expense caption is an expense caption presented on the face of the income statement that contains any of the expense categories noted. The guidance also requires certain amounts that are currently required to be disclosed to be included in the same tabular disclosure as these disaggregation requirements. Furthermore, on an annual and interim basis, a public entity is required to separately disclose selling expenses and annually, disclose a description of the selling expenses. The guidance is effective for 2027 annual reporting, and in the first quarter of 2028 for interim reporting, with early adoption permitted, to be applied on a prospective basis, with retrospective application permitted. We are evaluating the impact of this guidance on our consolidated financial statements.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December 2023, the FASB issued guidance to enhance transparency of income tax disclosures. On an annual basis, the new guidance requires a public entity to disclose: (1) specific categories in the rate reconciliation, (2) additional information for reconciling items that are equal to or greater than 5% of the amount computed by multiplying income (or loss) from continuing operations before income tax expense (or benefit) by the applicable statutory income tax rate, (3) income taxes paid (net of refunds received) disaggregated by federal (national), state, and foreign taxes, with foreign taxes disaggregated by individual jurisdictions in which income taxes paid is equal to or greater than 5% of total income taxes paid, (4) income (or loss) from continuing operations before income tax expense (or benefit)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40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disaggregated between domestic and foreign, and (5) income tax expense (or benefit) from continuing operations disaggregated between federal (national), state and foreign. The guidance is effective for fiscal year 2025 annual reporting, with early adoption permitted, to be applied on a prospective basis, with retrospective application permitted.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 ("CODM"), reviews operating results for the purpose of allocating resources and assessing performance. Our CODM evaluates each segment's performance based on metrics such as net revenues, gross profit, and other key financial data, to assess performance and allocate resources that align with company-wide goals. The Company has not aggregated operating segments for purposes of identifying reportable segments. Effective December 31, 2024, the Company adopted provisions of ASU 2023-07, which expanded the content and frequency of segment disclosures required under ASC 280.</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Clothing:</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Machine Clothing segment supplies permeable and impermeable belts used in the manufacture of paper, paperboard, tissue and towel products, nonwovens, fiber cement and for several other industrial applications. We sell our MC products directly to customer end-users in countries across the globe. Our products, manufacturing processes, and distribution channels are substantially the same in each region of the world in which we operate.</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design, manufacture, and market paper machine clothing (used in the manufacture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Albany Engineered Composites: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Albany Engineered Composites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where revenue is determined by a cost-plus-fee agreement.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2024, approximately 36 percent of AEC's revenues were related to U.S. government contracts or programs.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show data by reportable segment that is regularly provided to the CODM, reconciled to consolidated totals included in the financial statements along with other segment data: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Revenues to Operating Income(loss):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 2025</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w:t>
            </w:r>
          </w:p>
        </w:tc>
        <w:tc>
          <w:tcPr>
            <w:tcW w:w="140" w:type="dxa"/>
            <w:vAlign w:val="bottom"/>
          </w:tcPr>
          <w:p>
            <w:pPr>
              <w:spacing w:after="0"/>
              <w:rPr>
                <w:sz w:val="17"/>
                <w:szCs w:val="17"/>
                <w:color w:val="auto"/>
              </w:rPr>
            </w:pP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auto"/>
              </w:rPr>
              <w:t>AEC</w:t>
            </w: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174,950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86,484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261,434</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92,880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218,492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311,372</w:t>
            </w: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82,070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(132,008)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(49,938)</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12,218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51,905</w:t>
            </w: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3,673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11,467</w:t>
            </w:r>
          </w:p>
        </w:tc>
      </w:tr>
      <w:tr>
        <w:trPr>
          <w:trHeight w:val="216"/>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Restructuring expenses, net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113</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3,197</w:t>
            </w:r>
          </w:p>
        </w:tc>
      </w:tr>
      <w:tr>
        <w:trPr>
          <w:trHeight w:val="23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43,103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(148,012)</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(11,598)</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(116,507)</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September 30, 2024</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AEC</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183,033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115,353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298,386</w:t>
            </w: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94,112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208,002</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88,921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90,384</w:t>
            </w: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32,048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52,097</w:t>
            </w: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10,844</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Restructuring expenses, net</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2,207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47,624</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(14,296)</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(8,157)</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6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Nine Months Ended September 30, 2025</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AEC</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530,573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331,034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861,607</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284,842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432,710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717,552</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245,731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(101,676)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144,055</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98,841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34,121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31,257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164,219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21,332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35,915</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Restructuring expenses, net</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9,895</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119,236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(149,070)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(36,140)</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(65,974)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gridSpan w:val="7"/>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Nine Months Ended September 30, 2024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AEC</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561,828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381,882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943,710</w:t>
            </w: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299,379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332,878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632,257</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262,449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311,453</w:t>
            </w: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95,384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36,249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162,447</w:t>
            </w: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35,369</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Restructuring expenses, net</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3,294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6,584</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141,705</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(30,960)</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107,053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Schedule of Depreciation and Amortization Expenses: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4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gridSpan w:val="6"/>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Machine Clothing</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8,604</w:t>
            </w:r>
          </w:p>
        </w:tc>
        <w:tc>
          <w:tcPr>
            <w:tcW w:w="30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8,429</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24,283</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25,438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13,479</w:t>
            </w:r>
          </w:p>
        </w:tc>
        <w:tc>
          <w:tcPr>
            <w:tcW w:w="3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13,596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40,229</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40,700</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355</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285</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968</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865</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Consolidated depreciation and amortization</w:t>
            </w:r>
          </w:p>
        </w:tc>
        <w:tc>
          <w:tcPr>
            <w:tcW w:w="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22,438</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22,310</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65,480</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Income/(loss) to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43,103</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47,624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119,236</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141,705</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(148,012)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(149,070)</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w:t>
            </w:r>
          </w:p>
        </w:tc>
      </w:tr>
      <w:tr>
        <w:trPr>
          <w:trHeight w:val="21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(11,598)</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(36,140)</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(30,960)</w:t>
            </w:r>
          </w:p>
        </w:tc>
      </w:tr>
      <w:tr>
        <w:trPr>
          <w:trHeight w:val="209"/>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Operating income/(loss)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(116,507)</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25,171</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(65,974)</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107,053</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income/(loss)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w:t>
            </w:r>
          </w:p>
        </w:tc>
      </w:tr>
      <w:tr>
        <w:trPr>
          <w:trHeight w:val="243"/>
        </w:trPr>
        <w:tc>
          <w:tcPr>
            <w:tcW w:w="49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7,011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3,430</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18,859</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11,781</w:t>
            </w:r>
          </w:p>
        </w:tc>
      </w:tr>
      <w:tr>
        <w:trPr>
          <w:trHeight w:val="216"/>
        </w:trPr>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(income)/expense, net</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4,170</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5,932</w:t>
            </w:r>
          </w:p>
        </w:tc>
      </w:tr>
      <w:tr>
        <w:trPr>
          <w:trHeight w:val="20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Income/(loss) before income taxes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(122,057)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(84,846)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92,441</w:t>
            </w:r>
          </w:p>
        </w:tc>
      </w:tr>
    </w:tbl>
    <w:p>
      <w:pPr>
        <w:spacing w:after="0" w:line="200" w:lineRule="exact"/>
        <w:rPr>
          <w:sz w:val="20"/>
          <w:szCs w:val="20"/>
          <w:color w:val="auto"/>
        </w:rPr>
      </w:pPr>
    </w:p>
    <w:p>
      <w:pPr>
        <w:spacing w:after="0" w:line="3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prior year amounts have been reclassified in order to conform to current year presentation. Global information system costs previously included in Corporate expenses are allocated to the segments. Management believes this presentation better reflects the performance of the segments and is how management will review segment performance on a going forward basis. For the three months ended September 30, 2025, Selling, general and administrative expenses include global information system costs of $4.9 million and $5.2 million for MC and AEC, respectively. For the three months ended September 30, 2024, Selling, general and administrative expenses include global information system costs of $3.9 million and $4.0 million for MC and AEC, respectively. For the nine months ended September 30, 2025, Selling, general and administrative expenses include global information system costs of $12.8 million and $13.0 million for MC and AEC, respectively. For the nine months ended September 30, 2024, Selling, general and administrative expenses include global information system costs of $11.6 million and $12.0 million for MC and AEC,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assets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2024</w:t>
            </w: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assets</w:t>
            </w:r>
          </w:p>
        </w:tc>
        <w:tc>
          <w:tcPr>
            <w:tcW w:w="1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625,460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600,603</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726,588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736,306</w:t>
            </w:r>
          </w:p>
        </w:tc>
      </w:tr>
      <w:tr>
        <w:trPr>
          <w:trHeight w:val="215"/>
        </w:trPr>
        <w:tc>
          <w:tcPr>
            <w:tcW w:w="63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1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108,310</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115,283</w:t>
            </w:r>
          </w:p>
        </w:tc>
      </w:tr>
      <w:tr>
        <w:trPr>
          <w:trHeight w:val="216"/>
        </w:trPr>
        <w:tc>
          <w:tcPr>
            <w:tcW w:w="6300" w:type="dxa"/>
            <w:vAlign w:val="bottom"/>
          </w:tcPr>
          <w:p>
            <w:pPr>
              <w:ind w:left="140"/>
              <w:spacing w:after="0"/>
              <w:rPr>
                <w:sz w:val="20"/>
                <w:szCs w:val="20"/>
                <w:color w:val="auto"/>
              </w:rPr>
            </w:pPr>
            <w:r>
              <w:rPr>
                <w:rFonts w:ascii="Arial" w:cs="Arial" w:eastAsia="Arial" w:hAnsi="Arial"/>
                <w:sz w:val="16"/>
                <w:szCs w:val="16"/>
                <w:color w:val="auto"/>
              </w:rPr>
              <w:t>Income taxes prepaid and receivable, and Deferred income taxes</w:t>
            </w:r>
          </w:p>
        </w:tc>
        <w:tc>
          <w:tcPr>
            <w:tcW w:w="16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90,273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47,944</w:t>
            </w:r>
          </w:p>
        </w:tc>
      </w:tr>
      <w:tr>
        <w:trPr>
          <w:trHeight w:val="216"/>
        </w:trPr>
        <w:tc>
          <w:tcPr>
            <w:tcW w:w="6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 and Other assets</w:t>
            </w:r>
          </w:p>
        </w:tc>
        <w:tc>
          <w:tcPr>
            <w:tcW w:w="16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150,963</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148,560</w:t>
            </w:r>
          </w:p>
        </w:tc>
      </w:tr>
      <w:tr>
        <w:trPr>
          <w:trHeight w:val="21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 assets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1,701,594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1,648,696</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2024</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and purchased software</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20,387</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17,184</w:t>
            </w:r>
          </w:p>
        </w:tc>
      </w:tr>
      <w:tr>
        <w:trPr>
          <w:trHeight w:val="216"/>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28,422</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44,902</w:t>
            </w:r>
          </w:p>
        </w:tc>
      </w:tr>
      <w:tr>
        <w:trPr>
          <w:trHeight w:val="21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capital expenditures and purchased software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48,809</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62,086</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 Recognition: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materially different if the underlying circumstances were to change. When adjustments in estimated contract revenues or costs are required, any changes from prior estimates are included in earnings in the period the change occurs.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LEAP engine is used on the Airbus A320neo, A321neo, Boeing 737 MAX, and COMAC 919 aircraft. AEC's largest aerospace customer is the SAFRAN Group and sales to SAFRAN (consisting primarily of fan blades and cases for CFM International's LEAP engine) were $46.4 million and $40.9 million for the three months ended September 30, 2025 and 2024, respectively and $130.2 million and $142.2 million in the first nine months of 2025 and 2024, respectively. The total of Accounts receivable, Contract assets and Noncurrent receivables due from SAFRAN amounted to $67.6 million and $78.5 million as of September 30, 2025 and December 31, 2024, respectively.</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the estimated profitability of long-term contracts could be caused by increases or decreases in the contract value, revisions to customer delivery requirements, updated labor or overhead projections, material costs, factors affecting the supply chain, changes in the evaluation of contract risks and opportunities, or other factors. The cumulative changes in the estimated profitability of long-term contracts decreased revenue by $49.1 million and operating income by $ 150.9 million during the third quarter of 2025. Adjustments to the estimated profitability of long-term contracts decreased revenue by $67.6 million and operating income by $165.1 million for the first nine months of 2025. The decrease in profitability during the third quarter of 2025 was primarily driven by a few large complex programs, including adjustments of $147.3 million for various CH-53K programs, based on changes to material input costs, labor hours, and future overhead rates over the remainder of the contract. Additionally, we recorded negative cumulative changes in profitability of $0.2 million on our F-35 program, $0.9 million on our Gulfstream program and $2.6 million, net on all other programs. The negative cumulative change in profitability during the nine months ended September 30, 2025 was driven by $ 157.4 million for various CH-53K programs, $2.3 million on our F-35 program, and $5.5 million, net on all other programs. Adjustments in the estimated profitability of long-term contracts decreased operating income by $22.4 million during the third quarter of 2024 and $28.3 million for the first nine months of 2024.</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2025</w:t>
            </w:r>
          </w:p>
        </w:tc>
        <w:tc>
          <w:tcPr>
            <w:tcW w:w="920" w:type="dxa"/>
            <w:vAlign w:val="bottom"/>
            <w:tcBorders>
              <w:top w:val="single" w:sz="8" w:color="auto"/>
              <w:bottom w:val="single" w:sz="8" w:color="auto"/>
            </w:tcBorders>
          </w:tcPr>
          <w:p>
            <w:pPr>
              <w:spacing w:after="0"/>
              <w:rPr>
                <w:sz w:val="18"/>
                <w:szCs w:val="18"/>
                <w:color w:val="auto"/>
              </w:rPr>
            </w:pPr>
          </w:p>
        </w:tc>
      </w:tr>
      <w:tr>
        <w:trPr>
          <w:trHeight w:val="188"/>
        </w:trPr>
        <w:tc>
          <w:tcPr>
            <w:tcW w:w="648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173,929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1,021</w:t>
            </w:r>
          </w:p>
        </w:tc>
        <w:tc>
          <w:tcPr>
            <w:tcW w:w="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174,950</w:t>
            </w:r>
          </w:p>
        </w:tc>
      </w:tr>
      <w:tr>
        <w:trPr>
          <w:trHeight w:val="129"/>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44,873</w:t>
            </w:r>
          </w:p>
        </w:tc>
        <w:tc>
          <w:tcPr>
            <w:tcW w:w="5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44,873</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3,084</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38,527</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41,611</w:t>
            </w: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83,400</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86,484</w:t>
            </w:r>
          </w:p>
        </w:tc>
      </w:tr>
      <w:tr>
        <w:trPr>
          <w:trHeight w:val="236"/>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177,013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84,421</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261,434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2024</w:t>
            </w:r>
          </w:p>
        </w:tc>
        <w:tc>
          <w:tcPr>
            <w:tcW w:w="920" w:type="dxa"/>
            <w:vAlign w:val="bottom"/>
            <w:tcBorders>
              <w:top w:val="single" w:sz="8" w:color="auto"/>
              <w:bottom w:val="single" w:sz="8" w:color="auto"/>
            </w:tcBorders>
          </w:tcPr>
          <w:p>
            <w:pPr>
              <w:spacing w:after="0"/>
              <w:rPr>
                <w:sz w:val="18"/>
                <w:szCs w:val="18"/>
                <w:color w:val="auto"/>
              </w:rPr>
            </w:pPr>
          </w:p>
        </w:tc>
      </w:tr>
      <w:tr>
        <w:trPr>
          <w:trHeight w:val="188"/>
        </w:trPr>
        <w:tc>
          <w:tcPr>
            <w:tcW w:w="650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182,050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5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183,033</w:t>
            </w:r>
          </w:p>
        </w:tc>
      </w:tr>
      <w:tr>
        <w:trPr>
          <w:trHeight w:val="129"/>
        </w:trPr>
        <w:tc>
          <w:tcPr>
            <w:tcW w:w="6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2"/>
        </w:trPr>
        <w:tc>
          <w:tcPr>
            <w:tcW w:w="6500" w:type="dxa"/>
            <w:vAlign w:val="bottom"/>
          </w:tcPr>
          <w:p>
            <w:pPr>
              <w:ind w:left="20"/>
              <w:spacing w:after="0"/>
              <w:rPr>
                <w:sz w:val="20"/>
                <w:szCs w:val="20"/>
                <w:color w:val="auto"/>
              </w:rPr>
            </w:pPr>
            <w:r>
              <w:rPr>
                <w:rFonts w:ascii="Arial" w:cs="Arial" w:eastAsia="Arial" w:hAnsi="Arial"/>
                <w:sz w:val="16"/>
                <w:szCs w:val="16"/>
                <w:color w:val="auto"/>
              </w:rPr>
              <w:t>ASC</w:t>
            </w:r>
          </w:p>
        </w:tc>
        <w:tc>
          <w:tcPr>
            <w:tcW w:w="240" w:type="dxa"/>
            <w:vAlign w:val="bottom"/>
          </w:tcPr>
          <w:p>
            <w:pPr>
              <w:spacing w:after="0"/>
              <w:rPr>
                <w:sz w:val="21"/>
                <w:szCs w:val="21"/>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40,115</w:t>
            </w:r>
          </w:p>
        </w:tc>
        <w:tc>
          <w:tcPr>
            <w:tcW w:w="54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40,115</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4,142</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71,096</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75,238</w:t>
            </w:r>
          </w:p>
        </w:tc>
      </w:tr>
      <w:tr>
        <w:trPr>
          <w:trHeight w:val="22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111,211</w:t>
            </w:r>
          </w:p>
        </w:tc>
        <w:tc>
          <w:tcPr>
            <w:tcW w:w="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115,353</w:t>
            </w:r>
          </w:p>
        </w:tc>
      </w:tr>
      <w:tr>
        <w:trPr>
          <w:trHeight w:val="238"/>
        </w:trPr>
        <w:tc>
          <w:tcPr>
            <w:tcW w:w="65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3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186,192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112,194</w:t>
            </w:r>
          </w:p>
        </w:tc>
        <w:tc>
          <w:tcPr>
            <w:tcW w:w="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298,386</w:t>
            </w:r>
          </w:p>
        </w:tc>
      </w:tr>
    </w:tbl>
    <w:p>
      <w:pPr>
        <w:spacing w:after="0" w:line="2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nine months ended September 30,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2025</w:t>
            </w: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right"/>
              <w:ind w:right="62"/>
              <w:spacing w:after="0" w:line="143" w:lineRule="exact"/>
              <w:rPr>
                <w:sz w:val="20"/>
                <w:szCs w:val="20"/>
                <w:color w:val="auto"/>
              </w:rPr>
            </w:pPr>
            <w:r>
              <w:rPr>
                <w:rFonts w:ascii="Arial" w:cs="Arial" w:eastAsia="Arial" w:hAnsi="Arial"/>
                <w:sz w:val="14"/>
                <w:szCs w:val="14"/>
                <w:b w:val="1"/>
                <w:bCs w:val="1"/>
                <w:color w:val="auto"/>
              </w:rPr>
              <w:t>Over Time Revenue</w:t>
            </w:r>
          </w:p>
        </w:tc>
        <w:tc>
          <w:tcPr>
            <w:tcW w:w="500" w:type="dxa"/>
            <w:vAlign w:val="bottom"/>
          </w:tcPr>
          <w:p>
            <w:pPr>
              <w:spacing w:after="0"/>
              <w:rPr>
                <w:sz w:val="12"/>
                <w:szCs w:val="12"/>
                <w:color w:val="auto"/>
              </w:rPr>
            </w:pPr>
          </w:p>
        </w:tc>
        <w:tc>
          <w:tcPr>
            <w:tcW w:w="9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527,509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3,064</w:t>
            </w:r>
          </w:p>
        </w:tc>
        <w:tc>
          <w:tcPr>
            <w:tcW w:w="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530,573</w:t>
            </w: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128,639</w:t>
            </w: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128,639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10,221</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192,174</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202,395</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320,813</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331,034</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537,730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323,877</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861,607</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nine months ended September 30,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2024</w:t>
            </w: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right"/>
              <w:ind w:right="62"/>
              <w:spacing w:after="0" w:line="147" w:lineRule="exact"/>
              <w:rPr>
                <w:sz w:val="20"/>
                <w:szCs w:val="20"/>
                <w:color w:val="auto"/>
              </w:rPr>
            </w:pPr>
            <w:r>
              <w:rPr>
                <w:rFonts w:ascii="Arial" w:cs="Arial" w:eastAsia="Arial" w:hAnsi="Arial"/>
                <w:sz w:val="14"/>
                <w:szCs w:val="14"/>
                <w:b w:val="1"/>
                <w:bCs w:val="1"/>
                <w:color w:val="auto"/>
              </w:rPr>
              <w:t>Over Time Revenue</w:t>
            </w:r>
          </w:p>
        </w:tc>
        <w:tc>
          <w:tcPr>
            <w:tcW w:w="500" w:type="dxa"/>
            <w:vAlign w:val="bottom"/>
          </w:tcPr>
          <w:p>
            <w:pPr>
              <w:spacing w:after="0"/>
              <w:rPr>
                <w:sz w:val="12"/>
                <w:szCs w:val="12"/>
                <w:color w:val="auto"/>
              </w:rPr>
            </w:pPr>
          </w:p>
        </w:tc>
        <w:tc>
          <w:tcPr>
            <w:tcW w:w="9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Pr>
          <w:p>
            <w:pPr>
              <w:spacing w:after="0"/>
              <w:rPr>
                <w:sz w:val="16"/>
                <w:szCs w:val="16"/>
                <w:color w:val="auto"/>
              </w:rPr>
            </w:pPr>
          </w:p>
        </w:tc>
        <w:tc>
          <w:tcPr>
            <w:tcW w:w="1500" w:type="dxa"/>
            <w:vAlign w:val="bottom"/>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558,881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w:t>
            </w: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561,828</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8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140,146</w:t>
            </w: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140,146</w:t>
            </w: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15,908</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225,828</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241,736</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365,974</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381,882</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574,789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368,921</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943,710</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r>
      <w:tr>
        <w:trPr>
          <w:trHeight w:val="211"/>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92,171</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262,505</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258,442</w:t>
            </w:r>
          </w:p>
        </w:tc>
      </w:tr>
      <w:tr>
        <w:trPr>
          <w:trHeight w:val="243"/>
        </w:trPr>
        <w:tc>
          <w:tcPr>
            <w:tcW w:w="592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67,128</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70,083</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206,486</w:t>
            </w:r>
          </w:p>
        </w:tc>
        <w:tc>
          <w:tcPr>
            <w:tcW w:w="34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224,792</w:t>
            </w:r>
          </w:p>
        </w:tc>
      </w:tr>
      <w:tr>
        <w:trPr>
          <w:trHeight w:val="216"/>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15,651</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26,542</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61,582</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78,594</w:t>
            </w:r>
          </w:p>
        </w:tc>
      </w:tr>
      <w:tr>
        <w:trPr>
          <w:trHeight w:val="237"/>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174,950</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530,573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561,828</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$1.1 billion and $1.1 billion as of September 30, 2025 and 2024, respectively, and related primarily to firm fixed price contracts in the AEC segment. Of the remaining performance obligations as of September 30, 2025, we expect to recognize as revenue approximately $51.0 million during 2025, $182.1 million during 2026, $165.5 million during 2027, and the remainder thereafter.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net periodic benefit cost/(income) for the nine months ended September 30, 2025 and 2024,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2024</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836</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1,473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4,505</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(3,427)</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Settlement cost/(income)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2,170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4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932</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benefit cost/(credit)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1,226</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of net benefit cost/(credit) is determined at the beginning of each year and generally only varies from quarter to quarter when a significant event occurs, such as a curtailment or a settlement. In the first nine months of 2025, we took action to settle certain pension plan liabilities related to an MC pension plan in Switzerland, resulting in a net gain totaling $1.6 million related to curtailments and settlements. There were no material curtailments or settlements during the nine months ended September 30, 2024.</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At MC, restructuring actions were taken in 2025 and 2024 to cease operations at five facilities.</w:t>
      </w:r>
    </w:p>
    <w:p>
      <w:pPr>
        <w:spacing w:after="0" w:line="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three months ended September 30, 2025, these actions related to workforce reductions of $2.0 million. For the three month ended September 30, 2024, these actions related to workforce reductions and inventory write-off costs totaling $2.2 million.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September 30, 2025, these actions related to workforce reductions, fixed asset impairments and related costs and inventory write-off costs of $8.1 million offset by a $1.8 million pension curtailment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gain. For the nine months ended September 30, 2024 these actions related to workforce reductions of $3.3 million, as well as charges of $1.3 million in costs of goods sold for the write-off of inventory.</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AEC, restructuring activities were related to reorganizational and workforce reduction costs, which resulted in restructuring expenses of $0.1 million for the three months ended September 30, 2025 and $0.0 million for the three months ended September 30, 2024. For the nine months ended September 30, 2025 and September 30, 2024, restructuring expenses were related to reductions in workforce and totaled $1.8 million and $3.1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6,322</w:t>
            </w:r>
          </w:p>
        </w:tc>
        <w:tc>
          <w:tcPr>
            <w:tcW w:w="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3,294</w:t>
            </w: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1,801</w:t>
            </w:r>
          </w:p>
        </w:tc>
        <w:tc>
          <w:tcPr>
            <w:tcW w:w="3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3,144</w:t>
            </w:r>
          </w:p>
        </w:tc>
      </w:tr>
      <w:tr>
        <w:trPr>
          <w:trHeight w:val="21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1,124</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1,772</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w:t>
            </w:r>
          </w:p>
        </w:tc>
      </w:tr>
      <w:tr>
        <w:trPr>
          <w:trHeight w:val="20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3,197</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9,895</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6,584</w:t>
            </w:r>
          </w:p>
        </w:tc>
      </w:tr>
    </w:tbl>
    <w:p>
      <w:pPr>
        <w:spacing w:after="0" w:line="17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following tables summarize charges by type of expense reported in the Consolidated Statements of Income under "Restructuring expenses, net" and "Cost of goods sold":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5"/>
              </w:rPr>
              <w:t>Total</w:t>
            </w:r>
          </w:p>
        </w:tc>
        <w:tc>
          <w:tcPr>
            <w:tcW w:w="154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Termination</w:t>
            </w:r>
          </w:p>
        </w:tc>
        <w:tc>
          <w:tcPr>
            <w:tcW w:w="19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Pension Curtailment</w:t>
            </w:r>
          </w:p>
        </w:tc>
        <w:tc>
          <w:tcPr>
            <w:tcW w:w="0" w:type="dxa"/>
            <w:vAlign w:val="bottom"/>
          </w:tcPr>
          <w:p>
            <w:pPr>
              <w:spacing w:after="0"/>
              <w:rPr>
                <w:sz w:val="1"/>
                <w:szCs w:val="1"/>
                <w:color w:val="auto"/>
              </w:rPr>
            </w:pPr>
          </w:p>
        </w:tc>
      </w:tr>
      <w:tr>
        <w:trPr>
          <w:trHeight w:val="148"/>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2025</w:t>
            </w:r>
          </w:p>
        </w:tc>
        <w:tc>
          <w:tcPr>
            <w:tcW w:w="23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rPr>
              <w:t>restructuring</w:t>
            </w:r>
          </w:p>
        </w:tc>
        <w:tc>
          <w:tcPr>
            <w:tcW w:w="15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rPr>
              <w:t>and other</w:t>
            </w:r>
          </w:p>
        </w:tc>
        <w:tc>
          <w:tcPr>
            <w:tcW w:w="1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Impairment of assets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700" w:type="dxa"/>
            <w:vAlign w:val="bottom"/>
            <w:vMerge w:val="continue"/>
          </w:tcPr>
          <w:p>
            <w:pPr>
              <w:spacing w:after="0"/>
              <w:rPr>
                <w:sz w:val="16"/>
                <w:szCs w:val="16"/>
                <w:color w:val="auto"/>
              </w:rPr>
            </w:pPr>
          </w:p>
        </w:tc>
        <w:tc>
          <w:tcPr>
            <w:tcW w:w="2360" w:type="dxa"/>
            <w:vAlign w:val="bottom"/>
          </w:tcPr>
          <w:p>
            <w:pPr>
              <w:jc w:val="center"/>
              <w:ind w:left="488"/>
              <w:spacing w:after="0"/>
              <w:rPr>
                <w:sz w:val="20"/>
                <w:szCs w:val="20"/>
                <w:color w:val="auto"/>
              </w:rPr>
            </w:pPr>
            <w:r>
              <w:rPr>
                <w:rFonts w:ascii="Arial" w:cs="Arial" w:eastAsia="Arial" w:hAnsi="Arial"/>
                <w:sz w:val="14"/>
                <w:szCs w:val="14"/>
                <w:b w:val="1"/>
                <w:bCs w:val="1"/>
                <w:color w:val="auto"/>
              </w:rPr>
              <w:t>costs incurred</w:t>
            </w:r>
          </w:p>
        </w:tc>
        <w:tc>
          <w:tcPr>
            <w:tcW w:w="1540" w:type="dxa"/>
            <w:vAlign w:val="bottom"/>
          </w:tcPr>
          <w:p>
            <w:pPr>
              <w:jc w:val="center"/>
              <w:ind w:left="48"/>
              <w:spacing w:after="0"/>
              <w:rPr>
                <w:sz w:val="20"/>
                <w:szCs w:val="20"/>
                <w:color w:val="auto"/>
              </w:rPr>
            </w:pPr>
            <w:r>
              <w:rPr>
                <w:rFonts w:ascii="Arial" w:cs="Arial" w:eastAsia="Arial" w:hAnsi="Arial"/>
                <w:sz w:val="14"/>
                <w:szCs w:val="14"/>
                <w:b w:val="1"/>
                <w:bCs w:val="1"/>
                <w:color w:val="auto"/>
              </w:rPr>
              <w:t>costs</w:t>
            </w:r>
          </w:p>
        </w:tc>
        <w:tc>
          <w:tcPr>
            <w:tcW w:w="1900" w:type="dxa"/>
            <w:vAlign w:val="bottom"/>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96"/>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0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6,322</w:t>
            </w:r>
          </w:p>
        </w:tc>
        <w:tc>
          <w:tcPr>
            <w:tcW w:w="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7,359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b w:val="1"/>
                <w:bCs w:val="1"/>
                <w:color w:val="auto"/>
              </w:rPr>
              <w:t>(1,760)</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0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1,801</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1,801</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0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1,772</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1,772</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9,895</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(1,760)</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440" w:type="dxa"/>
            <w:vAlign w:val="bottom"/>
          </w:tcPr>
          <w:p>
            <w:pPr>
              <w:jc w:val="center"/>
              <w:ind w:right="181"/>
              <w:spacing w:after="0" w:line="147" w:lineRule="exact"/>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Pension Curtailment</w:t>
            </w:r>
          </w:p>
        </w:tc>
        <w:tc>
          <w:tcPr>
            <w:tcW w:w="0" w:type="dxa"/>
            <w:vAlign w:val="bottom"/>
          </w:tcPr>
          <w:p>
            <w:pPr>
              <w:spacing w:after="0"/>
              <w:rPr>
                <w:sz w:val="1"/>
                <w:szCs w:val="1"/>
                <w:color w:val="auto"/>
              </w:rPr>
            </w:pPr>
          </w:p>
        </w:tc>
      </w:tr>
      <w:tr>
        <w:trPr>
          <w:trHeight w:val="148"/>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2024</w:t>
            </w:r>
          </w:p>
        </w:tc>
        <w:tc>
          <w:tcPr>
            <w:tcW w:w="1000" w:type="dxa"/>
            <w:vAlign w:val="bottom"/>
          </w:tcPr>
          <w:p>
            <w:pPr>
              <w:spacing w:after="0"/>
              <w:rPr>
                <w:sz w:val="12"/>
                <w:szCs w:val="12"/>
                <w:color w:val="auto"/>
              </w:rPr>
            </w:pPr>
          </w:p>
        </w:tc>
        <w:tc>
          <w:tcPr>
            <w:tcW w:w="14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restructuring</w:t>
            </w:r>
          </w:p>
        </w:tc>
        <w:tc>
          <w:tcPr>
            <w:tcW w:w="320" w:type="dxa"/>
            <w:vAlign w:val="bottom"/>
          </w:tcPr>
          <w:p>
            <w:pPr>
              <w:spacing w:after="0"/>
              <w:rPr>
                <w:sz w:val="12"/>
                <w:szCs w:val="12"/>
                <w:color w:val="auto"/>
              </w:rPr>
            </w:pPr>
          </w:p>
        </w:tc>
        <w:tc>
          <w:tcPr>
            <w:tcW w:w="14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16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Impairment of assets</w:t>
            </w: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jc w:val="center"/>
              <w:ind w:right="121"/>
              <w:spacing w:after="0"/>
              <w:rPr>
                <w:sz w:val="20"/>
                <w:szCs w:val="20"/>
                <w:color w:val="auto"/>
              </w:rPr>
            </w:pPr>
            <w:r>
              <w:rPr>
                <w:rFonts w:ascii="Arial" w:cs="Arial" w:eastAsia="Arial" w:hAnsi="Arial"/>
                <w:sz w:val="14"/>
                <w:szCs w:val="14"/>
                <w:b w:val="1"/>
                <w:bCs w:val="1"/>
                <w:color w:val="auto"/>
              </w:rPr>
              <w:t>costs incurred</w:t>
            </w:r>
          </w:p>
        </w:tc>
        <w:tc>
          <w:tcPr>
            <w:tcW w:w="320" w:type="dxa"/>
            <w:vAlign w:val="bottom"/>
          </w:tcPr>
          <w:p>
            <w:pPr>
              <w:spacing w:after="0"/>
              <w:rPr>
                <w:sz w:val="16"/>
                <w:szCs w:val="16"/>
                <w:color w:val="auto"/>
              </w:rPr>
            </w:pPr>
          </w:p>
        </w:tc>
        <w:tc>
          <w:tcPr>
            <w:tcW w:w="1440" w:type="dxa"/>
            <w:vAlign w:val="bottom"/>
          </w:tcPr>
          <w:p>
            <w:pPr>
              <w:jc w:val="center"/>
              <w:ind w:right="181"/>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ind w:left="34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9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0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3,144</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3,144</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0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7,871</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year-to-date changes in restructuring liabilities for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Restructuring</w:t>
            </w: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Payments and</w:t>
            </w:r>
          </w:p>
        </w:tc>
        <w:tc>
          <w:tcPr>
            <w:tcW w:w="2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charges accrued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other</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restructuring and other liabilities</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10,932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3,306</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2"/>
                <w:szCs w:val="12"/>
                <w:color w:val="auto"/>
              </w:rPr>
            </w:pPr>
          </w:p>
        </w:tc>
        <w:tc>
          <w:tcPr>
            <w:tcW w:w="1620" w:type="dxa"/>
            <w:vAlign w:val="bottom"/>
          </w:tcPr>
          <w:p>
            <w:pPr>
              <w:jc w:val="center"/>
              <w:ind w:right="145"/>
              <w:spacing w:after="0" w:line="142" w:lineRule="exact"/>
              <w:rPr>
                <w:sz w:val="20"/>
                <w:szCs w:val="20"/>
                <w:color w:val="auto"/>
              </w:rPr>
            </w:pPr>
            <w:r>
              <w:rPr>
                <w:rFonts w:ascii="Arial" w:cs="Arial" w:eastAsia="Arial" w:hAnsi="Arial"/>
                <w:sz w:val="14"/>
                <w:szCs w:val="14"/>
                <w:b w:val="1"/>
                <w:bCs w:val="1"/>
                <w:color w:val="auto"/>
              </w:rPr>
              <w:t>Restructuring</w:t>
            </w:r>
          </w:p>
        </w:tc>
        <w:tc>
          <w:tcPr>
            <w:tcW w:w="180" w:type="dxa"/>
            <w:vAlign w:val="bottom"/>
          </w:tcPr>
          <w:p>
            <w:pPr>
              <w:spacing w:after="0"/>
              <w:rPr>
                <w:sz w:val="12"/>
                <w:szCs w:val="12"/>
                <w:color w:val="auto"/>
              </w:rPr>
            </w:pPr>
          </w:p>
        </w:tc>
        <w:tc>
          <w:tcPr>
            <w:tcW w:w="1220" w:type="dxa"/>
            <w:vAlign w:val="bottom"/>
          </w:tcPr>
          <w:p>
            <w:pPr>
              <w:jc w:val="center"/>
              <w:ind w:right="85"/>
              <w:spacing w:after="0" w:line="142" w:lineRule="exact"/>
              <w:rPr>
                <w:sz w:val="20"/>
                <w:szCs w:val="20"/>
                <w:color w:val="auto"/>
              </w:rPr>
            </w:pPr>
            <w:r>
              <w:rPr>
                <w:rFonts w:ascii="Arial" w:cs="Arial" w:eastAsia="Arial" w:hAnsi="Arial"/>
                <w:sz w:val="14"/>
                <w:szCs w:val="14"/>
                <w:b w:val="1"/>
                <w:bCs w:val="1"/>
                <w:color w:val="auto"/>
              </w:rPr>
              <w:t>Payments and</w:t>
            </w:r>
          </w:p>
        </w:tc>
        <w:tc>
          <w:tcPr>
            <w:tcW w:w="200" w:type="dxa"/>
            <w:vAlign w:val="bottom"/>
          </w:tcPr>
          <w:p>
            <w:pPr>
              <w:spacing w:after="0"/>
              <w:rPr>
                <w:sz w:val="12"/>
                <w:szCs w:val="12"/>
                <w:color w:val="auto"/>
              </w:rPr>
            </w:pPr>
          </w:p>
        </w:tc>
        <w:tc>
          <w:tcPr>
            <w:tcW w:w="168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September 30, 2024</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charges accrued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other</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restructuring and other liabilities</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(income)/expense, net 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5940" w:type="dxa"/>
            <w:vAlign w:val="bottom"/>
          </w:tcPr>
          <w:p>
            <w:pPr>
              <w:ind w:left="20"/>
              <w:spacing w:after="0"/>
              <w:rPr>
                <w:sz w:val="20"/>
                <w:szCs w:val="20"/>
                <w:color w:val="auto"/>
              </w:rPr>
            </w:pPr>
            <w:r>
              <w:rPr>
                <w:rFonts w:ascii="Arial" w:cs="Arial" w:eastAsia="Arial" w:hAnsi="Arial"/>
                <w:sz w:val="16"/>
                <w:szCs w:val="16"/>
                <w:color w:val="auto"/>
              </w:rPr>
              <w:t>Currency transaction losses/(gains)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(1,054)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1,834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center"/>
              <w:ind w:left="582"/>
              <w:spacing w:after="0"/>
              <w:rPr>
                <w:sz w:val="20"/>
                <w:szCs w:val="20"/>
                <w:color w:val="auto"/>
              </w:rPr>
            </w:pPr>
            <w:r>
              <w:rPr>
                <w:rFonts w:ascii="Arial" w:cs="Arial" w:eastAsia="Arial" w:hAnsi="Arial"/>
                <w:sz w:val="16"/>
                <w:szCs w:val="16"/>
                <w:b w:val="1"/>
                <w:bCs w:val="1"/>
                <w:color w:val="auto"/>
                <w:w w:val="99"/>
              </w:rPr>
              <w:t>7,751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 losses/(gains)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562"/>
              <w:spacing w:after="0"/>
              <w:rPr>
                <w:sz w:val="20"/>
                <w:szCs w:val="20"/>
                <w:color w:val="auto"/>
              </w:rPr>
            </w:pPr>
            <w:r>
              <w:rPr>
                <w:rFonts w:ascii="Arial" w:cs="Arial" w:eastAsia="Arial" w:hAnsi="Arial"/>
                <w:sz w:val="16"/>
                <w:szCs w:val="16"/>
                <w:b w:val="1"/>
                <w:bCs w:val="1"/>
                <w:color w:val="auto"/>
                <w:w w:val="98"/>
              </w:rPr>
              <w:t>(3,357)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3,788</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Arial" w:cs="Arial" w:eastAsia="Arial" w:hAnsi="Arial"/>
                <w:sz w:val="16"/>
                <w:szCs w:val="16"/>
                <w:color w:val="auto"/>
              </w:rPr>
              <w:t>Components of net periodic pension and postretirement cost other than service</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1,011</w:t>
            </w:r>
          </w:p>
        </w:tc>
        <w:tc>
          <w:tcPr>
            <w:tcW w:w="32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4"/>
                <w:szCs w:val="14"/>
                <w:color w:val="auto"/>
              </w:rPr>
            </w:pPr>
          </w:p>
        </w:tc>
        <w:tc>
          <w:tcPr>
            <w:tcW w:w="1180" w:type="dxa"/>
            <w:vAlign w:val="bottom"/>
            <w:vMerge w:val="restart"/>
          </w:tcPr>
          <w:p>
            <w:pPr>
              <w:jc w:val="center"/>
              <w:ind w:left="582"/>
              <w:spacing w:after="0"/>
              <w:rPr>
                <w:sz w:val="20"/>
                <w:szCs w:val="20"/>
                <w:color w:val="auto"/>
              </w:rPr>
            </w:pPr>
            <w:r>
              <w:rPr>
                <w:rFonts w:ascii="Arial" w:cs="Arial" w:eastAsia="Arial" w:hAnsi="Arial"/>
                <w:sz w:val="16"/>
                <w:szCs w:val="16"/>
                <w:b w:val="1"/>
                <w:bCs w:val="1"/>
                <w:color w:val="auto"/>
                <w:w w:val="99"/>
              </w:rPr>
              <w:t>1,334</w:t>
            </w:r>
          </w:p>
        </w:tc>
        <w:tc>
          <w:tcPr>
            <w:tcW w:w="3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cost</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losses/(gains)</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b w:val="1"/>
                <w:bCs w:val="1"/>
                <w:color w:val="auto"/>
                <w:w w:val="98"/>
              </w:rPr>
              <w:t>(1,558)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(income)/expense,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center"/>
              <w:ind w:left="582"/>
              <w:spacing w:after="0"/>
              <w:rPr>
                <w:sz w:val="20"/>
                <w:szCs w:val="20"/>
                <w:color w:val="auto"/>
              </w:rPr>
            </w:pPr>
            <w:r>
              <w:rPr>
                <w:rFonts w:ascii="Arial" w:cs="Arial" w:eastAsia="Arial" w:hAnsi="Arial"/>
                <w:sz w:val="16"/>
                <w:szCs w:val="16"/>
                <w:b w:val="1"/>
                <w:bCs w:val="1"/>
                <w:color w:val="auto"/>
                <w:w w:val="99"/>
              </w:rPr>
              <w:t>4,170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5,932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Currency transaction losses/(gains), included within other (income)/expense, net were primarily the result of both realized and unrealized losses/(gains) on intercompany loans. In addition, changes in the fair value of derivative instruments included gains driven by currency rate movements, most notably the Brazilian Real and Mexican Peso. The Company divested its Arcari business during the quarter ended June 30, 2025, resulting in a net gain of $1.6 million, which is included within other (income)/expense, net for the nine months ended September 30, 2025.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for the three and nine months ended September 30, 2025 and 2024,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top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rPr>
              <w:t>Three months ended September 30,</w:t>
            </w:r>
          </w:p>
        </w:tc>
        <w:tc>
          <w:tcPr>
            <w:tcW w:w="2740" w:type="dxa"/>
            <w:vAlign w:val="bottom"/>
            <w:tcBorders>
              <w:top w:val="single" w:sz="8" w:color="auto"/>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2024</w:t>
            </w:r>
          </w:p>
        </w:tc>
        <w:tc>
          <w:tcPr>
            <w:tcW w:w="1580" w:type="dxa"/>
            <w:vAlign w:val="bottom"/>
            <w:tcBorders>
              <w:bottom w:val="single" w:sz="8" w:color="auto"/>
            </w:tcBorders>
          </w:tcPr>
          <w:p>
            <w:pPr>
              <w:jc w:val="right"/>
              <w:ind w:right="745"/>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11"/>
        </w:trPr>
        <w:tc>
          <w:tcPr>
            <w:tcW w:w="6400" w:type="dxa"/>
            <w:vAlign w:val="bottom"/>
            <w:tcBorders>
              <w:bottom w:val="single" w:sz="8" w:color="auto"/>
            </w:tcBorders>
            <w:gridSpan w:val="2"/>
            <w:shd w:val="clear" w:color="auto" w:fill="CCEEFF"/>
          </w:tcPr>
          <w:p>
            <w:pPr>
              <w:jc w:val="right"/>
              <w:ind w:right="4528"/>
              <w:spacing w:after="0"/>
              <w:rPr>
                <w:sz w:val="20"/>
                <w:szCs w:val="20"/>
                <w:color w:val="auto"/>
              </w:rPr>
            </w:pPr>
            <w:r>
              <w:rPr>
                <w:rFonts w:ascii="Arial" w:cs="Arial" w:eastAsia="Arial" w:hAnsi="Arial"/>
                <w:sz w:val="16"/>
                <w:szCs w:val="16"/>
                <w:color w:val="auto"/>
              </w:rPr>
              <w:t>Effective income tax rate</w:t>
            </w:r>
          </w:p>
        </w:tc>
        <w:tc>
          <w:tcPr>
            <w:tcW w:w="8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20.0 %</w:t>
            </w:r>
          </w:p>
        </w:tc>
        <w:tc>
          <w:tcPr>
            <w:tcW w:w="12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6.6 %</w:t>
            </w:r>
          </w:p>
        </w:tc>
        <w:tc>
          <w:tcPr>
            <w:tcW w:w="15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b w:val="1"/>
                <w:bCs w:val="1"/>
                <w:color w:val="auto"/>
              </w:rPr>
              <w:t>16.4 %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23.9 %</w:t>
            </w:r>
          </w:p>
        </w:tc>
      </w:tr>
    </w:tbl>
    <w:p>
      <w:pPr>
        <w:spacing w:after="0" w:line="200" w:lineRule="exact"/>
        <w:rPr>
          <w:sz w:val="20"/>
          <w:szCs w:val="20"/>
          <w:color w:val="auto"/>
        </w:rPr>
      </w:pP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subject to valuation allowances cannot recognize a tax benefit with regard to their generated losses and are excluded from the annual effective tax rate calculation as their taxes will be recorded discretely in each quarter.</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2025 estimated annual effective tax rate primarily reflects the 21% federal tax rate, the impact of state and local taxation, the impact of taxation upon foreign operations, and forecasted permanent differences. Our actual effective tax rates were 20.0% and 6.6% for the three months ended September 30, 2025 and 2024, respectively. Our actual effective tax rates were 16.4% and 23.9% for the nine months ended September 30, 2025 and 2024, respectively.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for the three months ended September 30, 2025 included a net discrete tax benefit of $0.7 million. This discrete tax benefit is mostly attributable to the true-up for prior year's estimated taxes. The rate for the three months ended September 30, 2025 was higher than the three months ended September 30, 2024 mainly due to a significant favorable discrete tax adjustment in the quarter ended September 30, 2024 related to the decrease in the valuation allowance as compared to the current period.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the nine months ended September 30, 2025 included a net discrete tax benefit of $2.3 million. The discrete tax benefit recognized primarily reflects adjustments to prior year estimated tax provisions to actual filings, a net reduction in valuation allowances, and a net decrease in uncertain tax positions. The effective rate for the nine months ended September 30, 2025 was lower than the nine months ended September 30, 2024, largely due to the favorable impact of discrete tax items, including the release of valuation allowances in the current period.</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subject to audit in the U.S. and various foreign jurisdictions. Our open tax years for major jurisdictions generally range from 2013-2024. We believe appropriate provisions for all outstanding tax issues have been made for all jurisdictions and all open years. Audit outcomes and the timing of audit settlements are subject to significant uncertainty. It is reasonably possible that within the next 12 months, unrecognized tax benefits could decrease by up to $2.1 million based on current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201"/>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earnings per share)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Company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(97,760)</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(71,222)</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69,944</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2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20" w:type="dxa"/>
            <w:vAlign w:val="bottom"/>
          </w:tcPr>
          <w:p>
            <w:pPr>
              <w:ind w:left="140"/>
              <w:spacing w:after="0"/>
              <w:rPr>
                <w:sz w:val="20"/>
                <w:szCs w:val="20"/>
                <w:color w:val="auto"/>
              </w:rPr>
            </w:pPr>
            <w:r>
              <w:rPr>
                <w:rFonts w:ascii="Arial" w:cs="Arial" w:eastAsia="Arial" w:hAnsi="Arial"/>
                <w:sz w:val="16"/>
                <w:szCs w:val="16"/>
                <w:color w:val="auto"/>
              </w:rPr>
              <w:t>income/(loss) per share</w:t>
            </w:r>
          </w:p>
        </w:tc>
        <w:tc>
          <w:tcPr>
            <w:tcW w:w="220" w:type="dxa"/>
            <w:vAlign w:val="bottom"/>
          </w:tcPr>
          <w:p>
            <w:pPr>
              <w:spacing w:after="0"/>
              <w:rPr>
                <w:sz w:val="21"/>
                <w:szCs w:val="21"/>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29,012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31,251</w:t>
            </w:r>
          </w:p>
        </w:tc>
        <w:tc>
          <w:tcPr>
            <w:tcW w:w="260" w:type="dxa"/>
            <w:vAlign w:val="bottom"/>
          </w:tcPr>
          <w:p>
            <w:pPr>
              <w:spacing w:after="0"/>
              <w:rPr>
                <w:sz w:val="21"/>
                <w:szCs w:val="21"/>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b w:val="1"/>
                <w:bCs w:val="1"/>
                <w:color w:val="auto"/>
              </w:rPr>
              <w:t>29,914</w:t>
            </w:r>
          </w:p>
        </w:tc>
        <w:tc>
          <w:tcPr>
            <w:tcW w:w="34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31,234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stock units and multi-year awards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Weighted average number of shares used in calculating diluted net</w:t>
            </w: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29,012</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31,367</w:t>
            </w: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29,914</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31,333</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income/(loss) per share</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and nine months ended September 30, 2025, basic and diluted shares outstanding are equal as a result of the Company's net loss and potentially dilutive shares being anti-dilutive.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changes in the components of AOCI for the period from December 31, 2024 to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Income/(Loss)</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(181,555)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(14,328)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(195,989)</w:t>
            </w:r>
          </w:p>
        </w:tc>
        <w:tc>
          <w:tcPr>
            <w:tcW w:w="0" w:type="dxa"/>
            <w:vAlign w:val="bottom"/>
          </w:tcPr>
          <w:p>
            <w:pPr>
              <w:spacing w:after="0"/>
              <w:rPr>
                <w:sz w:val="1"/>
                <w:szCs w:val="1"/>
                <w:color w:val="auto"/>
              </w:rPr>
            </w:pPr>
          </w:p>
        </w:tc>
      </w:tr>
      <w:tr>
        <w:trPr>
          <w:trHeight w:val="235"/>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translation and other adjustments</w:t>
            </w:r>
          </w:p>
        </w:tc>
        <w:tc>
          <w:tcPr>
            <w:tcW w:w="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58,366</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(2,418)</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55,590</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settlement/curtailment, net of tax</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6"/>
                <w:szCs w:val="16"/>
                <w:color w:val="auto"/>
              </w:rPr>
              <w:t>Interest (expense)/income related to swaps reclassified to the</w:t>
            </w:r>
          </w:p>
        </w:tc>
        <w:tc>
          <w:tcPr>
            <w:tcW w:w="6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income/(loss)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58,366</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54,691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2025</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(123,189)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(17,372)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(141,298)</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changes in the components of AOCI for the period from December 31, 2023 to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Income/(Loss)</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(124,901)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(17,346)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9,079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(133,168)</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translation and other adjustments</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(12,472)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w:t>
            </w:r>
          </w:p>
        </w:tc>
        <w:tc>
          <w:tcPr>
            <w:tcW w:w="2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298</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(12,459)</w:t>
            </w: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(expense)/income related to swaps reclassified to the</w:t>
            </w:r>
          </w:p>
        </w:tc>
        <w:tc>
          <w:tcPr>
            <w:tcW w:w="6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(8,212)</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6"/>
                <w:szCs w:val="16"/>
                <w:color w:val="auto"/>
              </w:rPr>
              <w:t>Pension and postretirement liability adjustments reclassified to</w:t>
            </w:r>
          </w:p>
        </w:tc>
        <w:tc>
          <w:tcPr>
            <w:tcW w:w="6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290</w:t>
            </w:r>
          </w:p>
        </w:tc>
        <w:tc>
          <w:tcPr>
            <w:tcW w:w="240" w:type="dxa"/>
            <w:vAlign w:val="bottom"/>
          </w:tcPr>
          <w:p>
            <w:pPr>
              <w:spacing w:after="0"/>
              <w:rPr>
                <w:sz w:val="14"/>
                <w:szCs w:val="14"/>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20" w:type="dxa"/>
            <w:vAlign w:val="bottom"/>
            <w:vMerge w:val="restart"/>
          </w:tcPr>
          <w:p>
            <w:pPr>
              <w:jc w:val="right"/>
              <w:ind w:right="2"/>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income/(loss)</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(12,472)</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(7,914)</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2024</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(137,373)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(17,341)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(153,549)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components of AOCI that are reclassified to the Consolidated Statements of Income/(Loss) relate to our pension and postretirement plans and interest rate swaps.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Consolidated Statements of Income/(Loss) that were affected for the three and nine months ended September 30, 2025, and the Consolidated Statements of Income/(Loss) for the three and nine months ended September 30,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7"/>
        </w:trPr>
        <w:tc>
          <w:tcPr>
            <w:tcW w:w="50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Income/(Loss):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60" w:type="dxa"/>
            <w:vAlign w:val="bottom"/>
          </w:tcPr>
          <w:p>
            <w:pPr>
              <w:ind w:left="140"/>
              <w:spacing w:after="0"/>
              <w:rPr>
                <w:sz w:val="20"/>
                <w:szCs w:val="20"/>
                <w:color w:val="auto"/>
              </w:rPr>
            </w:pPr>
            <w:r>
              <w:rPr>
                <w:rFonts w:ascii="Arial" w:cs="Arial" w:eastAsia="Arial" w:hAnsi="Arial"/>
                <w:sz w:val="16"/>
                <w:szCs w:val="16"/>
                <w:color w:val="auto"/>
              </w:rPr>
              <w:t>Interest (income)/expense, net related to interest rate swaps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060" w:type="dxa"/>
            <w:vAlign w:val="bottom"/>
          </w:tcPr>
          <w:p>
            <w:pPr>
              <w:ind w:left="140"/>
              <w:spacing w:after="0"/>
              <w:rPr>
                <w:sz w:val="20"/>
                <w:szCs w:val="20"/>
                <w:color w:val="auto"/>
              </w:rPr>
            </w:pPr>
            <w:r>
              <w:rPr>
                <w:rFonts w:ascii="Arial" w:cs="Arial" w:eastAsia="Arial" w:hAnsi="Arial"/>
                <w:sz w:val="16"/>
                <w:szCs w:val="16"/>
                <w:color w:val="auto"/>
              </w:rPr>
              <w:t>included in Income/(loss) before taxes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(2,675)</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(324)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(10,893)</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51</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195"/>
        </w:trPr>
        <w:tc>
          <w:tcPr>
            <w:tcW w:w="506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(8,212)</w:t>
            </w:r>
          </w:p>
        </w:tc>
        <w:tc>
          <w:tcPr>
            <w:tcW w:w="0" w:type="dxa"/>
            <w:vAlign w:val="bottom"/>
          </w:tcPr>
          <w:p>
            <w:pPr>
              <w:spacing w:after="0"/>
              <w:rPr>
                <w:sz w:val="1"/>
                <w:szCs w:val="1"/>
                <w:color w:val="auto"/>
              </w:rPr>
            </w:pPr>
          </w:p>
        </w:tc>
      </w:tr>
      <w:tr>
        <w:trPr>
          <w:trHeight w:val="142"/>
        </w:trPr>
        <w:tc>
          <w:tcPr>
            <w:tcW w:w="5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(1,600)</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506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315</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908</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6"/>
                <w:szCs w:val="16"/>
                <w:color w:val="auto"/>
              </w:rPr>
              <w:t>Total pre-tax amount reclassified</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b w:val="1"/>
                <w:bCs w:val="1"/>
                <w:color w:val="auto"/>
              </w:rPr>
              <w:t>277</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(804)</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178</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55"/>
        </w:trPr>
        <w:tc>
          <w:tcPr>
            <w:tcW w:w="5060" w:type="dxa"/>
            <w:vAlign w:val="bottom"/>
          </w:tcPr>
          <w:p>
            <w:pPr>
              <w:ind w:left="20"/>
              <w:spacing w:after="0" w:line="155" w:lineRule="exact"/>
              <w:rPr>
                <w:sz w:val="20"/>
                <w:szCs w:val="20"/>
                <w:color w:val="auto"/>
              </w:rPr>
            </w:pPr>
            <w:r>
              <w:rPr>
                <w:rFonts w:ascii="Arial" w:cs="Arial" w:eastAsia="Arial" w:hAnsi="Arial"/>
                <w:sz w:val="16"/>
                <w:szCs w:val="16"/>
                <w:color w:val="auto"/>
              </w:rPr>
              <w:t>Effect on net income due to items reclassified from Accumulated</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191</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(626)</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w:t>
            </w:r>
          </w:p>
        </w:tc>
        <w:tc>
          <w:tcPr>
            <w:tcW w:w="2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31, 2013, Safran S.A. (Safran) acquired a 10 percent equity interest in Albany Safran Composites, LLC ("ASC").</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April 1, 2025, Heimbach sold its 85% controlling interest in Arcari to the minority shareholder and recorded a gain of $1.6 million included in Other (Income) expense on the sale. In connection with the sale, the corresponding value of the non-controlling interest was reduced to zero. The Company did not retain any ownership in Arcari as a result of the sale and accordingly there was no impact on operating results during the third quarter of 2025.</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ASC Noncontrolling Interest</w:t>
            </w:r>
          </w:p>
        </w:tc>
        <w:tc>
          <w:tcPr>
            <w:tcW w:w="130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2024</w:t>
            </w: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4,857</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3,754</w:t>
            </w:r>
          </w:p>
        </w:tc>
      </w:tr>
      <w:tr>
        <w:trPr>
          <w:trHeight w:val="216"/>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1,352</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850</w:t>
            </w: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3,505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2,904</w:t>
            </w:r>
          </w:p>
        </w:tc>
      </w:tr>
      <w:tr>
        <w:trPr>
          <w:trHeight w:val="216"/>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351</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290</w:t>
            </w:r>
          </w:p>
        </w:tc>
      </w:tr>
      <w:tr>
        <w:trPr>
          <w:trHeight w:val="236"/>
        </w:trPr>
        <w:tc>
          <w:tcPr>
            <w:tcW w:w="6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4,983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5,423</w:t>
            </w:r>
          </w:p>
        </w:tc>
      </w:tr>
      <w:tr>
        <w:trPr>
          <w:trHeight w:val="216"/>
        </w:trPr>
        <w:tc>
          <w:tcPr>
            <w:tcW w:w="69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3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b w:val="1"/>
                <w:bCs w:val="1"/>
                <w:color w:val="auto"/>
              </w:rPr>
              <w:t>351</w:t>
            </w: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290</w:t>
            </w:r>
          </w:p>
        </w:tc>
      </w:tr>
      <w:tr>
        <w:trPr>
          <w:trHeight w:val="216"/>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376</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(481)</w:t>
            </w:r>
          </w:p>
        </w:tc>
      </w:tr>
      <w:tr>
        <w:trPr>
          <w:trHeight w:val="20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ASC Noncontrolling interest, end of interim period</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5,709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5,232</w:t>
            </w:r>
          </w:p>
        </w:tc>
      </w:tr>
      <w:tr>
        <w:trPr>
          <w:trHeight w:val="237"/>
        </w:trPr>
        <w:tc>
          <w:tcPr>
            <w:tcW w:w="69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0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Arcari Noncontrolling interest, end of interim period</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447</w:t>
            </w:r>
          </w:p>
        </w:tc>
      </w:tr>
      <w:tr>
        <w:trPr>
          <w:trHeight w:val="250"/>
        </w:trPr>
        <w:tc>
          <w:tcPr>
            <w:tcW w:w="69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r>
      <w:tr>
        <w:trPr>
          <w:trHeight w:val="210"/>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Noncontrolling interest, end of interim period</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5,709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5,679</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September 30, 2025 and December 31, 2024, Accounts receivable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December 31, 2024</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243,303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231,136</w:t>
            </w: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26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b w:val="1"/>
                <w:bCs w:val="1"/>
                <w:color w:val="auto"/>
              </w:rPr>
              <w:t>20,218</w:t>
            </w:r>
          </w:p>
        </w:tc>
        <w:tc>
          <w:tcPr>
            <w:tcW w:w="18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19,637</w:t>
            </w:r>
          </w:p>
        </w:tc>
      </w:tr>
      <w:tr>
        <w:trPr>
          <w:trHeight w:val="21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26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(5,018)</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258,503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246,688</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September 30, 2025 and December 31, 2024, the Company had trade accounts receivable from SAFRAN of $67.1 million and $77.7 million,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and December 31, 2024, Contract assets and Contract liabilities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2024</w:t>
            </w: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140,996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167,397</w:t>
            </w:r>
          </w:p>
        </w:tc>
      </w:tr>
      <w:tr>
        <w:trPr>
          <w:trHeight w:val="24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27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w:t>
            </w: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r>
      <w:tr>
        <w:trPr>
          <w:trHeight w:val="209"/>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140,259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166,557</w:t>
            </w:r>
          </w:p>
        </w:tc>
      </w:tr>
      <w:tr>
        <w:trPr>
          <w:trHeight w:val="236"/>
        </w:trPr>
        <w:tc>
          <w:tcPr>
            <w:tcW w:w="5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1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9,802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6,085</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Contract assets, net decreased $26.3 million during the nine months ended September 30, 2025, primarily due to a decrease in unbilled revenue related to commercial and defense programs. There were no impairment losses related to our Contract assets during the nine months ended September 30, 2025 and September 30, 2024.</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Contract liabilities increased $3.7 million for the period ended September 30, 2025 compared to December 31, 2024, primarily due to the amounts invoiced to customers for contracts that were in a contract liability position exceeding the revenue recognized from satisfied performance obligations. Revenue recognized for the nine months ended September 30, 2025 and 2024 that was included in the Contract liability balance at the beginning of the year was $5.6 million and $3.7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and December 31, 2024, Inventories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85,364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76,559</w:t>
            </w:r>
          </w:p>
        </w:tc>
      </w:tr>
      <w:tr>
        <w:trPr>
          <w:trHeight w:val="243"/>
        </w:trPr>
        <w:tc>
          <w:tcPr>
            <w:tcW w:w="44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4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58,313</w:t>
            </w:r>
          </w:p>
        </w:tc>
        <w:tc>
          <w:tcPr>
            <w:tcW w:w="180" w:type="dxa"/>
            <w:vAlign w:val="bottom"/>
          </w:tcPr>
          <w:p>
            <w:pPr>
              <w:spacing w:after="0"/>
              <w:rPr>
                <w:sz w:val="21"/>
                <w:szCs w:val="21"/>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54,917</w:t>
            </w:r>
          </w:p>
        </w:tc>
      </w:tr>
      <w:tr>
        <w:trPr>
          <w:trHeight w:val="216"/>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4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15,987</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14,369</w:t>
            </w:r>
          </w:p>
        </w:tc>
      </w:tr>
      <w:tr>
        <w:trPr>
          <w:trHeight w:val="23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159,664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145,845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gross carrying value, accumulated amortization and net values of intangible assets and goodwill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and December 31,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2025</w:t>
            </w:r>
          </w:p>
        </w:tc>
        <w:tc>
          <w:tcPr>
            <w:tcW w:w="1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18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Gross carrying amount</w:t>
            </w:r>
          </w:p>
        </w:tc>
        <w:tc>
          <w:tcPr>
            <w:tcW w:w="2320" w:type="dxa"/>
            <w:vAlign w:val="bottom"/>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rPr>
              <w:t>Accumulated amortization and</w:t>
            </w:r>
          </w:p>
        </w:tc>
        <w:tc>
          <w:tcPr>
            <w:tcW w:w="160" w:type="dxa"/>
            <w:vAlign w:val="bottom"/>
          </w:tcPr>
          <w:p>
            <w:pPr>
              <w:spacing w:after="0"/>
              <w:rPr>
                <w:sz w:val="12"/>
                <w:szCs w:val="12"/>
                <w:color w:val="auto"/>
              </w:rPr>
            </w:pPr>
          </w:p>
        </w:tc>
        <w:tc>
          <w:tcPr>
            <w:tcW w:w="16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life in years</w:t>
            </w: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00"/>
              <w:spacing w:after="0"/>
              <w:rPr>
                <w:sz w:val="20"/>
                <w:szCs w:val="20"/>
                <w:color w:val="auto"/>
              </w:rPr>
            </w:pPr>
            <w:r>
              <w:rPr>
                <w:rFonts w:ascii="Arial" w:cs="Arial" w:eastAsia="Arial" w:hAnsi="Arial"/>
                <w:sz w:val="14"/>
                <w:szCs w:val="14"/>
                <w:b w:val="1"/>
                <w:bCs w:val="1"/>
                <w:color w:val="auto"/>
              </w:rPr>
              <w:t>other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assets: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820" w:type="dxa"/>
            <w:vAlign w:val="bottom"/>
          </w:tcPr>
          <w:p>
            <w:pPr>
              <w:jc w:val="center"/>
              <w:ind w:left="22"/>
              <w:spacing w:after="0"/>
              <w:rPr>
                <w:sz w:val="20"/>
                <w:szCs w:val="20"/>
                <w:color w:val="auto"/>
              </w:rPr>
            </w:pPr>
            <w:r>
              <w:rPr>
                <w:rFonts w:ascii="Arial" w:cs="Arial" w:eastAsia="Arial" w:hAnsi="Arial"/>
                <w:sz w:val="16"/>
                <w:szCs w:val="16"/>
                <w:color w:val="auto"/>
                <w:w w:val="99"/>
              </w:rPr>
              <w:t>6-15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920" w:type="dxa"/>
            <w:vAlign w:val="bottom"/>
          </w:tcPr>
          <w:p>
            <w:pPr>
              <w:jc w:val="right"/>
              <w:ind w:right="70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82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rPr>
              <w:t>10-15</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6,528</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(3,962)</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2,566</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820" w:type="dxa"/>
            <w:vAlign w:val="bottom"/>
          </w:tcPr>
          <w:p>
            <w:pPr>
              <w:jc w:val="center"/>
              <w:ind w:left="2"/>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(485)</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765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82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w w:val="99"/>
              </w:rPr>
              <w:t>8-15</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69,559</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(50,069)</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19,490</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820" w:type="dxa"/>
            <w:vAlign w:val="bottom"/>
            <w:tcBorders>
              <w:bottom w:val="single" w:sz="8" w:color="CCEEFF"/>
            </w:tcBorders>
          </w:tcPr>
          <w:p>
            <w:pPr>
              <w:jc w:val="center"/>
              <w:ind w:left="2"/>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9,281</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(2,461)</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 intangible assets</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86,826</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29,644</w:t>
            </w: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6,454</w:t>
            </w:r>
          </w:p>
        </w:tc>
        <w:tc>
          <w:tcPr>
            <w:tcW w:w="920" w:type="dxa"/>
            <w:vAlign w:val="bottom"/>
          </w:tcPr>
          <w:p>
            <w:pPr>
              <w:jc w:val="right"/>
              <w:ind w:right="701"/>
              <w:spacing w:after="0"/>
              <w:rPr>
                <w:sz w:val="20"/>
                <w:szCs w:val="20"/>
                <w:color w:val="auto"/>
              </w:rPr>
            </w:pPr>
            <w:r>
              <w:rPr>
                <w:rFonts w:ascii="Arial" w:cs="Arial" w:eastAsia="Arial" w:hAnsi="Arial"/>
                <w:sz w:val="16"/>
                <w:szCs w:val="16"/>
                <w:b w:val="1"/>
                <w:bCs w:val="1"/>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6,454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69,871</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69,871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AEC Goodwill</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114,420</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114,420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Indefinite-lived intangible assets:</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190,745</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190,745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December 31, 2024</w:t>
            </w:r>
          </w:p>
        </w:tc>
        <w:tc>
          <w:tcPr>
            <w:tcW w:w="1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18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Gross carrying amount</w:t>
            </w:r>
          </w:p>
        </w:tc>
        <w:tc>
          <w:tcPr>
            <w:tcW w:w="2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Accumulated amortization and</w:t>
            </w:r>
          </w:p>
        </w:tc>
        <w:tc>
          <w:tcPr>
            <w:tcW w:w="160" w:type="dxa"/>
            <w:vAlign w:val="bottom"/>
          </w:tcPr>
          <w:p>
            <w:pPr>
              <w:spacing w:after="0"/>
              <w:rPr>
                <w:sz w:val="12"/>
                <w:szCs w:val="12"/>
                <w:color w:val="auto"/>
              </w:rPr>
            </w:pPr>
          </w:p>
        </w:tc>
        <w:tc>
          <w:tcPr>
            <w:tcW w:w="16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324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life in years</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other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800" w:type="dxa"/>
            <w:vAlign w:val="bottom"/>
          </w:tcPr>
          <w:p>
            <w:pPr>
              <w:jc w:val="center"/>
              <w:ind w:left="2"/>
              <w:spacing w:after="0"/>
              <w:rPr>
                <w:sz w:val="20"/>
                <w:szCs w:val="20"/>
                <w:color w:val="auto"/>
              </w:rPr>
            </w:pPr>
            <w:r>
              <w:rPr>
                <w:rFonts w:ascii="Arial" w:cs="Arial" w:eastAsia="Arial" w:hAnsi="Arial"/>
                <w:sz w:val="16"/>
                <w:szCs w:val="16"/>
                <w:color w:val="auto"/>
                <w:w w:val="99"/>
              </w:rPr>
              <w:t>6-15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208</w:t>
            </w:r>
          </w:p>
        </w:tc>
        <w:tc>
          <w:tcPr>
            <w:tcW w:w="92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80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rPr>
              <w:t>10-15</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1,250</w:t>
            </w: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(422)</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80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99"/>
              </w:rPr>
              <w:t>8-15</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69,175</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(47,283)</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21,892</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800" w:type="dxa"/>
            <w:vAlign w:val="bottom"/>
            <w:tcBorders>
              <w:bottom w:val="single" w:sz="8" w:color="CCEEFF"/>
            </w:tcBorders>
          </w:tcPr>
          <w:p>
            <w:pPr>
              <w:jc w:val="center"/>
              <w:ind w:left="22"/>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8,547</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 assets</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32,415</w:t>
            </w: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5,712</w:t>
            </w:r>
          </w:p>
        </w:tc>
        <w:tc>
          <w:tcPr>
            <w:tcW w:w="92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5,712</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63,988</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63,988</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AEC Goodwill</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112,273</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112,273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Indefinite-lived intangible assets:</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181,973</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intangible assets, net and goodwill from December 31, 2024 to September 30, 2025,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4"/>
                <w:szCs w:val="14"/>
                <w:b w:val="1"/>
                <w:bCs w:val="1"/>
                <w:color w:val="auto"/>
              </w:rPr>
              <w:t>December 31, 2024</w:t>
            </w:r>
          </w:p>
        </w:tc>
        <w:tc>
          <w:tcPr>
            <w:tcW w:w="120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Other</w:t>
            </w: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Currency</w:t>
            </w:r>
          </w:p>
        </w:tc>
        <w:tc>
          <w:tcPr>
            <w:tcW w:w="2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0" w:type="dxa"/>
            <w:vAlign w:val="bottom"/>
          </w:tcPr>
          <w:p>
            <w:pPr>
              <w:jc w:val="right"/>
              <w:ind w:right="982"/>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ind w:left="200"/>
              <w:spacing w:after="0"/>
              <w:rPr>
                <w:sz w:val="20"/>
                <w:szCs w:val="20"/>
                <w:color w:val="auto"/>
              </w:rPr>
            </w:pPr>
            <w:r>
              <w:rPr>
                <w:rFonts w:ascii="Arial" w:cs="Arial" w:eastAsia="Arial" w:hAnsi="Arial"/>
                <w:sz w:val="16"/>
                <w:szCs w:val="16"/>
                <w:b w:val="1"/>
                <w:bCs w:val="1"/>
                <w:color w:val="auto"/>
              </w:rPr>
              <w: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2,680</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348</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2,566</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5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828</w:t>
            </w:r>
          </w:p>
        </w:tc>
        <w:tc>
          <w:tcPr>
            <w:tcW w:w="12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765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21,892</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19,490</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7,004</w:t>
            </w: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(315)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872</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6,820</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Finite-lived intangible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32,415</w:t>
            </w:r>
          </w:p>
        </w:tc>
        <w:tc>
          <w:tcPr>
            <w:tcW w:w="120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(315)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29,644</w:t>
            </w: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5,712</w:t>
            </w:r>
          </w:p>
        </w:tc>
        <w:tc>
          <w:tcPr>
            <w:tcW w:w="1200" w:type="dxa"/>
            <w:vAlign w:val="bottom"/>
          </w:tcPr>
          <w:p>
            <w:pPr>
              <w:jc w:val="right"/>
              <w:ind w:right="982"/>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ind w:left="200"/>
              <w:spacing w:after="0"/>
              <w:rPr>
                <w:sz w:val="20"/>
                <w:szCs w:val="20"/>
                <w:color w:val="auto"/>
              </w:rPr>
            </w:pPr>
            <w:r>
              <w:rPr>
                <w:rFonts w:ascii="Arial" w:cs="Arial" w:eastAsia="Arial" w:hAnsi="Arial"/>
                <w:sz w:val="16"/>
                <w:szCs w:val="16"/>
                <w:b w:val="1"/>
                <w:bCs w:val="1"/>
                <w:color w:val="auto"/>
              </w:rPr>
              <w:t>— $</w:t>
            </w:r>
          </w:p>
        </w:tc>
        <w:tc>
          <w:tcPr>
            <w:tcW w:w="14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 $</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742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6,454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63,988</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5,883</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69,871</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AEC Goodwill</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112,273</w:t>
            </w: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2,147</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114,420</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Indefinite-lived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181,973</w:t>
            </w:r>
          </w:p>
        </w:tc>
        <w:tc>
          <w:tcPr>
            <w:tcW w:w="120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 $</w:t>
            </w:r>
          </w:p>
        </w:tc>
        <w:tc>
          <w:tcPr>
            <w:tcW w:w="14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190,745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Company's outstanding debt: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2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September 30, 2025</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December 31, 2024</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the Amended Credit Agreement</w:t>
            </w:r>
          </w:p>
        </w:tc>
        <w:tc>
          <w:tcPr>
            <w:tcW w:w="2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color w:val="auto"/>
              </w:rPr>
              <w:t>USD borrowings</w:t>
            </w: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375,000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225,000</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 borrowings</w:t>
            </w:r>
          </w:p>
        </w:tc>
        <w:tc>
          <w:tcPr>
            <w:tcW w:w="2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105,631</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93,485</w:t>
            </w:r>
          </w:p>
        </w:tc>
      </w:tr>
      <w:tr>
        <w:trPr>
          <w:trHeight w:val="21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bank debt</w:t>
            </w:r>
          </w:p>
        </w:tc>
        <w:tc>
          <w:tcPr>
            <w:tcW w:w="2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bank debt</w:t>
            </w:r>
          </w:p>
        </w:tc>
        <w:tc>
          <w:tcPr>
            <w:tcW w:w="2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480,631</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318,531</w:t>
            </w:r>
          </w:p>
        </w:tc>
      </w:tr>
      <w:tr>
        <w:trPr>
          <w:trHeight w:val="21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maturities of long-term debt</w:t>
            </w:r>
          </w:p>
        </w:tc>
        <w:tc>
          <w:tcPr>
            <w:tcW w:w="2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480,631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318,531</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August 16, 2023, we entered into a $800 million unsecured committed Five-Year Revolving Credit Facility Agreement, amended on June 28, 2024 (collectively, the “Amended Credit Agreement”), which matures in August of 2028.</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applicable interest rate for borrowings under the Amended Credit Agreement is based on both Term SOFR and EURIBOR plus a spread, which is based on our leverage ratio (as defined in the Amended Credit Agreement) at the time of a borrowing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rPr>
              <w:t>Leverage Ratio</w:t>
            </w:r>
          </w:p>
        </w:tc>
        <w:tc>
          <w:tcPr>
            <w:tcW w:w="2680" w:type="dxa"/>
            <w:vAlign w:val="bottom"/>
            <w:tcBorders>
              <w:top w:val="single" w:sz="8" w:color="auto"/>
            </w:tcBorders>
            <w:vMerge w:val="restart"/>
          </w:tcPr>
          <w:p>
            <w:pPr>
              <w:jc w:val="center"/>
              <w:ind w:right="201"/>
              <w:spacing w:after="0"/>
              <w:rPr>
                <w:sz w:val="20"/>
                <w:szCs w:val="20"/>
                <w:color w:val="auto"/>
              </w:rPr>
            </w:pPr>
            <w:r>
              <w:rPr>
                <w:rFonts w:ascii="Arial" w:cs="Arial" w:eastAsia="Arial" w:hAnsi="Arial"/>
                <w:sz w:val="14"/>
                <w:szCs w:val="14"/>
                <w:b w:val="1"/>
                <w:bCs w:val="1"/>
                <w:color w:val="auto"/>
              </w:rPr>
              <w:t>Commitment Fee</w:t>
            </w:r>
          </w:p>
        </w:tc>
        <w:tc>
          <w:tcPr>
            <w:tcW w:w="2540" w:type="dxa"/>
            <w:vAlign w:val="bottom"/>
            <w:tcBorders>
              <w:top w:val="single" w:sz="8" w:color="auto"/>
            </w:tcBorders>
            <w:vMerge w:val="restart"/>
          </w:tcPr>
          <w:p>
            <w:pPr>
              <w:jc w:val="center"/>
              <w:ind w:left="21"/>
              <w:spacing w:after="0"/>
              <w:rPr>
                <w:sz w:val="20"/>
                <w:szCs w:val="20"/>
                <w:color w:val="auto"/>
              </w:rPr>
            </w:pPr>
            <w:r>
              <w:rPr>
                <w:rFonts w:ascii="Arial" w:cs="Arial" w:eastAsia="Arial" w:hAnsi="Arial"/>
                <w:sz w:val="14"/>
                <w:szCs w:val="14"/>
                <w:b w:val="1"/>
                <w:bCs w:val="1"/>
                <w:color w:val="auto"/>
              </w:rPr>
              <w:t>ABR Spread</w:t>
            </w:r>
          </w:p>
        </w:tc>
        <w:tc>
          <w:tcPr>
            <w:tcW w:w="3000" w:type="dxa"/>
            <w:vAlign w:val="bottom"/>
            <w:tcBorders>
              <w:top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Term Benchmark/ Daily</w:t>
            </w:r>
          </w:p>
        </w:tc>
        <w:tc>
          <w:tcPr>
            <w:tcW w:w="0" w:type="dxa"/>
            <w:vAlign w:val="bottom"/>
          </w:tcPr>
          <w:p>
            <w:pPr>
              <w:spacing w:after="0"/>
              <w:rPr>
                <w:sz w:val="1"/>
                <w:szCs w:val="1"/>
                <w:color w:val="auto"/>
              </w:rPr>
            </w:pPr>
          </w:p>
        </w:tc>
      </w:tr>
      <w:tr>
        <w:trPr>
          <w:trHeight w:val="189"/>
        </w:trPr>
        <w:tc>
          <w:tcPr>
            <w:tcW w:w="30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Simple SOFR Spread</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rPr>
              <w:t>&lt;1.00:1.00</w:t>
            </w:r>
          </w:p>
        </w:tc>
        <w:tc>
          <w:tcPr>
            <w:tcW w:w="26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rPr>
              <w:t>0.275%</w:t>
            </w:r>
          </w:p>
        </w:tc>
        <w:tc>
          <w:tcPr>
            <w:tcW w:w="254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99"/>
              </w:rPr>
              <w:t>0.500%</w:t>
            </w:r>
          </w:p>
        </w:tc>
        <w:tc>
          <w:tcPr>
            <w:tcW w:w="300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5"/>
        </w:trPr>
        <w:tc>
          <w:tcPr>
            <w:tcW w:w="3020" w:type="dxa"/>
            <w:vAlign w:val="bottom"/>
          </w:tcPr>
          <w:p>
            <w:pPr>
              <w:jc w:val="center"/>
              <w:ind w:right="121"/>
              <w:spacing w:after="0"/>
              <w:rPr>
                <w:sz w:val="20"/>
                <w:szCs w:val="20"/>
                <w:color w:val="auto"/>
              </w:rPr>
            </w:pPr>
            <w:r>
              <w:rPr>
                <w:rFonts w:ascii="Arial" w:cs="Arial" w:eastAsia="Arial" w:hAnsi="Arial"/>
                <w:sz w:val="16"/>
                <w:szCs w:val="16"/>
                <w:color w:val="auto"/>
              </w:rPr>
              <w:t>≥ 1.00:1.00 and &lt; 2.00:1.00</w:t>
            </w:r>
          </w:p>
        </w:tc>
        <w:tc>
          <w:tcPr>
            <w:tcW w:w="2680" w:type="dxa"/>
            <w:vAlign w:val="bottom"/>
          </w:tcPr>
          <w:p>
            <w:pPr>
              <w:jc w:val="center"/>
              <w:ind w:right="201"/>
              <w:spacing w:after="0"/>
              <w:rPr>
                <w:sz w:val="20"/>
                <w:szCs w:val="20"/>
                <w:color w:val="auto"/>
              </w:rPr>
            </w:pPr>
            <w:r>
              <w:rPr>
                <w:rFonts w:ascii="Arial" w:cs="Arial" w:eastAsia="Arial" w:hAnsi="Arial"/>
                <w:sz w:val="16"/>
                <w:szCs w:val="16"/>
                <w:color w:val="auto"/>
              </w:rPr>
              <w:t>0.300%</w:t>
            </w:r>
          </w:p>
        </w:tc>
        <w:tc>
          <w:tcPr>
            <w:tcW w:w="2540" w:type="dxa"/>
            <w:vAlign w:val="bottom"/>
          </w:tcPr>
          <w:p>
            <w:pPr>
              <w:jc w:val="center"/>
              <w:ind w:left="41"/>
              <w:spacing w:after="0"/>
              <w:rPr>
                <w:sz w:val="20"/>
                <w:szCs w:val="20"/>
                <w:color w:val="auto"/>
              </w:rPr>
            </w:pPr>
            <w:r>
              <w:rPr>
                <w:rFonts w:ascii="Arial" w:cs="Arial" w:eastAsia="Arial" w:hAnsi="Arial"/>
                <w:sz w:val="16"/>
                <w:szCs w:val="16"/>
                <w:color w:val="auto"/>
                <w:w w:val="99"/>
              </w:rPr>
              <w:t>0.625%</w:t>
            </w:r>
          </w:p>
        </w:tc>
        <w:tc>
          <w:tcPr>
            <w:tcW w:w="3000" w:type="dxa"/>
            <w:vAlign w:val="bottom"/>
          </w:tcPr>
          <w:p>
            <w:pPr>
              <w:jc w:val="center"/>
              <w:ind w:left="122"/>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rPr>
              <w:t>≥ 2.00:1.00 and &lt; 3.00:1.00</w:t>
            </w:r>
          </w:p>
        </w:tc>
        <w:tc>
          <w:tcPr>
            <w:tcW w:w="26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rPr>
              <w:t>0.325%</w:t>
            </w:r>
          </w:p>
        </w:tc>
        <w:tc>
          <w:tcPr>
            <w:tcW w:w="254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99"/>
              </w:rPr>
              <w:t>0.750%</w:t>
            </w:r>
          </w:p>
        </w:tc>
        <w:tc>
          <w:tcPr>
            <w:tcW w:w="300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5"/>
        </w:trPr>
        <w:tc>
          <w:tcPr>
            <w:tcW w:w="302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color w:val="auto"/>
              </w:rPr>
              <w:t>≥ 3.00:1.00</w:t>
            </w:r>
          </w:p>
        </w:tc>
        <w:tc>
          <w:tcPr>
            <w:tcW w:w="268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color w:val="auto"/>
              </w:rPr>
              <w:t>0.350%</w:t>
            </w:r>
          </w:p>
        </w:tc>
        <w:tc>
          <w:tcPr>
            <w:tcW w:w="254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w w:val="99"/>
              </w:rPr>
              <w:t>1.000%</w:t>
            </w:r>
          </w:p>
        </w:tc>
        <w:tc>
          <w:tcPr>
            <w:tcW w:w="3000" w:type="dxa"/>
            <w:vAlign w:val="bottom"/>
            <w:tcBorders>
              <w:bottom w:val="single" w:sz="8" w:color="auto"/>
            </w:tcBorders>
          </w:tcPr>
          <w:p>
            <w:pPr>
              <w:jc w:val="center"/>
              <w:ind w:left="122"/>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2025, the applicable interest rate for borrowings under the Amended Credit Agreement was based on one-month term SOFR and one-month EURIBOR plus the spread, which was 1.625%.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2025, there was $480.6 million of borrowings outstanding under the Amended Credit Agreement and we had borrowings available of $319.4 million, based on our maximum leverage ratio and our Consolidated EBITDA (as defined in the Amended Credit Agreement).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September 30, 2025 and December 31, 2024, the USD interest rate in effect was 5.84% and 5.77%, respectively, including the effect of interest rate swaps; at the end of September 30, 2025 and December 31, 2024, the EUR interest rate in effect was 3.70% and 4.09%, respectively, including the effect of interest rate swaps.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 If our leverage ratio exceeds 3.50 to 1.00, we will be restricted in paying dividends to a maximum amount of $40 million in a calendar year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2025, our leverage ratio was 1.70 to 1.00 and our interest coverage ratio was 9.15 to 1.00. As of September 30, 2025, we were in compliance with all applicable covenants. We anticipate continued compliance in each of the next four quarters while continuing to monitor future compliance based on current and future economic conditions.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the Company enters into interest rate swap contracts to manage the interest rate risk associated with its outstanding variable-interest rate borrowings. Such contracts are intended to economically hedge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 rate component of future interest payments associated with outstanding borrowings under the Company’s Amended Credit Agreement.</w:t>
      </w:r>
    </w:p>
    <w:p>
      <w:pPr>
        <w:spacing w:after="0" w:line="4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November, 2024, we entered into two interest rate swap agreements: A USD interest rate swap agreement and a EUR interest rate swap agreement. The USD interest rate swap agreement covers the period November 15, 2024 through November 15, 2026. This transaction has the effect of fixing the SOFR portion of the interest rate (before the credit spread) on $125 million of the US indebtedness drawn under the Amended Credit Facility. Under the terms of this transaction, the Company pays a fixed rate of 3.987% and our counterparty pays a floating rate based on the one-month SOFR rate at each monthly calculation date. The EUR interest rate swap agreement covers the period November 14, 2024 through November 15, 2026. This transaction has the effect of fixing the EURIBOR portion of the interest rate (before the credit spread) on EUR 45 million of the EUR indebtedness drawn under the Amended Credit Facility. Under the terms of this transaction, the Company pays a fixed rate of 2.277% and our counterparty pays a floating rate based on the one-month EURIBOR rate at each monthly calculation date.</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2021, we entered into interest rate swap agreements for the period of October 17, 2022 through October 27, 2024, to hedge $350 million of variable-interest rate indebtedness.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These interest rate swaps are accounted for as a hedge of future cash flows, as further described in </w:t>
      </w:r>
      <w:r>
        <w:rPr>
          <w:rFonts w:ascii="Arial" w:cs="Arial" w:eastAsia="Arial" w:hAnsi="Arial"/>
          <w:sz w:val="18"/>
          <w:szCs w:val="18"/>
          <w:i w:val="1"/>
          <w:iCs w:val="1"/>
          <w:color w:val="auto"/>
        </w:rPr>
        <w:t>Note 16, Fair-Value Measurements</w:t>
      </w:r>
      <w:r>
        <w:rPr>
          <w:rFonts w:ascii="Arial" w:cs="Arial" w:eastAsia="Arial" w:hAnsi="Arial"/>
          <w:sz w:val="18"/>
          <w:szCs w:val="18"/>
          <w:color w:val="auto"/>
        </w:rPr>
        <w:t>. No cash collateral was received or pledged in relation to the swap agreements.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in markets that are not active or other inputs that are observable or can be corroborated by observable market data.</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had no Level 3 financial assets or liabilities at September 30, 2025 or at December 31, 2024, other than certain pension assets as indicated in our December 31, 2024 Annual Report on Form 10-K.</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top w:val="single" w:sz="8" w:color="auto"/>
            </w:tcBorders>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941"/>
              <w:spacing w:after="0"/>
              <w:rPr>
                <w:sz w:val="20"/>
                <w:szCs w:val="20"/>
                <w:color w:val="auto"/>
              </w:rPr>
            </w:pPr>
            <w:r>
              <w:rPr>
                <w:rFonts w:ascii="Arial" w:cs="Arial" w:eastAsia="Arial" w:hAnsi="Arial"/>
                <w:sz w:val="14"/>
                <w:szCs w:val="14"/>
                <w:b w:val="1"/>
                <w:bCs w:val="1"/>
                <w:color w:val="auto"/>
              </w:rPr>
              <w:t>September 30, 2025</w:t>
            </w:r>
          </w:p>
        </w:tc>
        <w:tc>
          <w:tcPr>
            <w:tcW w:w="2500" w:type="dxa"/>
            <w:vAlign w:val="bottom"/>
            <w:tcBorders>
              <w:top w:val="single" w:sz="8" w:color="auto"/>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December 31, 2024</w:t>
            </w:r>
          </w:p>
        </w:tc>
      </w:tr>
      <w:tr>
        <w:trPr>
          <w:trHeight w:val="188"/>
        </w:trPr>
        <w:tc>
          <w:tcPr>
            <w:tcW w:w="6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6"/>
                <w:szCs w:val="16"/>
                <w:color w:val="auto"/>
              </w:rPr>
            </w:pPr>
          </w:p>
        </w:tc>
        <w:tc>
          <w:tcPr>
            <w:tcW w:w="1440" w:type="dxa"/>
            <w:vAlign w:val="bottom"/>
          </w:tcPr>
          <w:p>
            <w:pPr>
              <w:jc w:val="center"/>
              <w:ind w:right="461"/>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6"/>
                <w:szCs w:val="16"/>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Significant</w:t>
            </w:r>
          </w:p>
        </w:tc>
      </w:tr>
      <w:tr>
        <w:trPr>
          <w:trHeight w:val="175"/>
        </w:trPr>
        <w:tc>
          <w:tcPr>
            <w:tcW w:w="6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r>
      <w:tr>
        <w:trPr>
          <w:trHeight w:val="162"/>
        </w:trPr>
        <w:tc>
          <w:tcPr>
            <w:tcW w:w="6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observable</w:t>
            </w:r>
          </w:p>
        </w:tc>
      </w:tr>
      <w:tr>
        <w:trPr>
          <w:trHeight w:val="196"/>
        </w:trPr>
        <w:tc>
          <w:tcPr>
            <w:tcW w:w="6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inputs</w:t>
            </w:r>
          </w:p>
        </w:tc>
      </w:tr>
      <w:tr>
        <w:trPr>
          <w:trHeight w:val="239"/>
        </w:trPr>
        <w:tc>
          <w:tcPr>
            <w:tcW w:w="5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(Level 2)</w:t>
            </w: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15,440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11,273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22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44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35"/>
        </w:trPr>
        <w:tc>
          <w:tcPr>
            <w:tcW w:w="5680" w:type="dxa"/>
            <w:vAlign w:val="bottom"/>
            <w:gridSpan w:val="2"/>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799</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631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15"/>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149</w:t>
            </w:r>
          </w:p>
        </w:tc>
      </w:tr>
      <w:tr>
        <w:trPr>
          <w:trHeight w:val="244"/>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5680" w:type="dxa"/>
            <w:vAlign w:val="bottom"/>
            <w:gridSpan w:val="2"/>
          </w:tcPr>
          <w:p>
            <w:pPr>
              <w:ind w:left="20"/>
              <w:spacing w:after="0"/>
              <w:rPr>
                <w:sz w:val="20"/>
                <w:szCs w:val="20"/>
                <w:color w:val="auto"/>
              </w:rPr>
            </w:pPr>
            <w:r>
              <w:rPr>
                <w:rFonts w:ascii="Arial" w:cs="Arial" w:eastAsia="Arial" w:hAnsi="Arial"/>
                <w:sz w:val="16"/>
                <w:szCs w:val="16"/>
                <w:i w:val="1"/>
                <w:iCs w:val="1"/>
                <w:color w:val="auto"/>
              </w:rPr>
              <w:t>Other Non-Current Liabilities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23"/>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440" w:type="dxa"/>
            <w:vAlign w:val="bottom"/>
          </w:tcPr>
          <w:p>
            <w:pPr>
              <w:jc w:val="right"/>
              <w:ind w:right="281"/>
              <w:spacing w:after="0"/>
              <w:rPr>
                <w:sz w:val="20"/>
                <w:szCs w:val="20"/>
                <w:color w:val="auto"/>
              </w:rPr>
            </w:pPr>
            <w:r>
              <w:rPr>
                <w:rFonts w:ascii="Arial" w:cs="Arial" w:eastAsia="Arial" w:hAnsi="Arial"/>
                <w:sz w:val="16"/>
                <w:szCs w:val="16"/>
                <w:b w:val="1"/>
                <w:bCs w:val="1"/>
                <w:color w:val="auto"/>
              </w:rPr>
              <w:t>(905)</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88"/>
        </w:trPr>
        <w:tc>
          <w:tcPr>
            <w:tcW w:w="600" w:type="dxa"/>
            <w:vAlign w:val="bottom"/>
          </w:tcPr>
          <w:p>
            <w:pPr>
              <w:spacing w:after="0"/>
              <w:rPr>
                <w:sz w:val="20"/>
                <w:szCs w:val="20"/>
                <w:color w:val="auto"/>
              </w:rPr>
            </w:pPr>
            <w:r>
              <w:rPr>
                <w:rFonts w:ascii="Arial" w:cs="Arial" w:eastAsia="Arial" w:hAnsi="Arial"/>
                <w:sz w:val="16"/>
                <w:szCs w:val="16"/>
                <w:color w:val="auto"/>
              </w:rPr>
              <w:t>(a)</w:t>
            </w:r>
          </w:p>
        </w:tc>
        <w:tc>
          <w:tcPr>
            <w:tcW w:w="5080" w:type="dxa"/>
            <w:vAlign w:val="bottom"/>
          </w:tcPr>
          <w:p>
            <w:pPr>
              <w:ind w:left="60"/>
              <w:spacing w:after="0"/>
              <w:rPr>
                <w:sz w:val="20"/>
                <w:szCs w:val="20"/>
                <w:color w:val="auto"/>
              </w:rPr>
            </w:pPr>
            <w:r>
              <w:rPr>
                <w:rFonts w:ascii="Arial" w:cs="Arial" w:eastAsia="Arial" w:hAnsi="Arial"/>
                <w:sz w:val="16"/>
                <w:szCs w:val="16"/>
                <w:color w:val="auto"/>
              </w:rPr>
              <w:t>Original cost basis $0.5 million.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Unrealized gains and losses on the interest rate swaps are recorded as a component of Derivative valuation adjustment in the Shareholders’ equity section of the Consolidated Balance Sheets. As of September 30, 2025, these interest rate swaps were determined to be highly effective hedges of interest rate cashflow risk. Amounts accumulated in Other comprehensive income are reclassified as interest expense/(income), net when the related interest payments (that is, the hedged forecasted transactions), affect earnings. Interest expense/(income) related to payments under the active swap agreements totaled $(0.3) million for the nine months ended September 30, 2025 and $(12.3) million for the nine months ended September 30, 2024.</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From time to time, we enter into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Accrued liabilities, as applicable. Changes in fair value of these instruments are recorded as gains or losses within Other (income)/expense, net.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3740" w:type="dxa"/>
            <w:vAlign w:val="bottom"/>
            <w:gridSpan w:val="3"/>
          </w:tcPr>
          <w:p>
            <w:pPr>
              <w:jc w:val="right"/>
              <w:ind w:right="304"/>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298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2024</w:t>
            </w: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1660" w:type="dxa"/>
            <w:vAlign w:val="bottom"/>
            <w:tcBorders>
              <w:bottom w:val="single" w:sz="8" w:color="auto"/>
            </w:tcBorders>
          </w:tcPr>
          <w:p>
            <w:pPr>
              <w:jc w:val="right"/>
              <w:ind w:right="965"/>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3,788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ind w:right="8080" w:firstLine="8"/>
        <w:spacing w:after="0" w:line="374" w:lineRule="auto"/>
        <w:tabs>
          <w:tab w:leader="none" w:pos="3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3,669 claims as of September 30,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40" w:type="dxa"/>
            <w:vAlign w:val="bottom"/>
          </w:tcPr>
          <w:p>
            <w:pPr>
              <w:jc w:val="center"/>
              <w:ind w:right="185"/>
              <w:spacing w:after="0"/>
              <w:rPr>
                <w:sz w:val="20"/>
                <w:szCs w:val="20"/>
                <w:color w:val="auto"/>
              </w:rPr>
            </w:pPr>
            <w:r>
              <w:rPr>
                <w:rFonts w:ascii="Arial" w:cs="Arial" w:eastAsia="Arial" w:hAnsi="Arial"/>
                <w:sz w:val="14"/>
                <w:szCs w:val="14"/>
                <w:b w:val="1"/>
                <w:bCs w:val="1"/>
                <w:color w:val="auto"/>
              </w:rPr>
              <w:t>Claims</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37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Opening</w:t>
            </w:r>
          </w:p>
        </w:tc>
        <w:tc>
          <w:tcPr>
            <w:tcW w:w="1440" w:type="dxa"/>
            <w:vAlign w:val="bottom"/>
          </w:tcPr>
          <w:p>
            <w:pPr>
              <w:jc w:val="center"/>
              <w:ind w:right="205"/>
              <w:spacing w:after="0"/>
              <w:rPr>
                <w:sz w:val="20"/>
                <w:szCs w:val="20"/>
                <w:color w:val="auto"/>
              </w:rPr>
            </w:pPr>
            <w:r>
              <w:rPr>
                <w:rFonts w:ascii="Arial" w:cs="Arial" w:eastAsia="Arial" w:hAnsi="Arial"/>
                <w:sz w:val="14"/>
                <w:szCs w:val="14"/>
                <w:b w:val="1"/>
                <w:bCs w:val="1"/>
                <w:color w:val="auto"/>
              </w:rPr>
              <w:t>Dismissed,</w:t>
            </w:r>
          </w:p>
        </w:tc>
        <w:tc>
          <w:tcPr>
            <w:tcW w:w="1500" w:type="dxa"/>
            <w:vAlign w:val="bottom"/>
          </w:tcPr>
          <w:p>
            <w:pPr>
              <w:spacing w:after="0"/>
              <w:rPr>
                <w:sz w:val="15"/>
                <w:szCs w:val="15"/>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rPr>
              <w:t>Closing</w:t>
            </w:r>
          </w:p>
        </w:tc>
        <w:tc>
          <w:tcPr>
            <w:tcW w:w="180" w:type="dxa"/>
            <w:vAlign w:val="bottom"/>
          </w:tcPr>
          <w:p>
            <w:pPr>
              <w:spacing w:after="0"/>
              <w:rPr>
                <w:sz w:val="15"/>
                <w:szCs w:val="15"/>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Amounts Paid to</w:t>
            </w:r>
          </w:p>
        </w:tc>
      </w:tr>
      <w:tr>
        <w:trPr>
          <w:trHeight w:val="162"/>
        </w:trPr>
        <w:tc>
          <w:tcPr>
            <w:tcW w:w="37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440" w:type="dxa"/>
            <w:vAlign w:val="bottom"/>
          </w:tcPr>
          <w:p>
            <w:pPr>
              <w:jc w:val="center"/>
              <w:ind w:right="185"/>
              <w:spacing w:after="0"/>
              <w:rPr>
                <w:sz w:val="20"/>
                <w:szCs w:val="20"/>
                <w:color w:val="auto"/>
              </w:rPr>
            </w:pPr>
            <w:r>
              <w:rPr>
                <w:rFonts w:ascii="Arial" w:cs="Arial" w:eastAsia="Arial" w:hAnsi="Arial"/>
                <w:sz w:val="14"/>
                <w:szCs w:val="14"/>
                <w:b w:val="1"/>
                <w:bCs w:val="1"/>
                <w:color w:val="auto"/>
              </w:rPr>
              <w:t>Settled, or</w:t>
            </w:r>
          </w:p>
        </w:tc>
        <w:tc>
          <w:tcPr>
            <w:tcW w:w="1500" w:type="dxa"/>
            <w:vAlign w:val="bottom"/>
          </w:tcPr>
          <w:p>
            <w:pPr>
              <w:spacing w:after="0"/>
              <w:rPr>
                <w:sz w:val="14"/>
                <w:szCs w:val="14"/>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Settle or</w:t>
            </w:r>
          </w:p>
        </w:tc>
      </w:tr>
      <w:tr>
        <w:trPr>
          <w:trHeight w:val="21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number of claims)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Claims</w:t>
            </w:r>
          </w:p>
        </w:tc>
        <w:tc>
          <w:tcPr>
            <w:tcW w:w="14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Resolved</w:t>
            </w: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New Claims</w:t>
            </w: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Resolve</w:t>
            </w:r>
          </w:p>
        </w:tc>
      </w:tr>
      <w:tr>
        <w:trPr>
          <w:trHeight w:val="211"/>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the period ended December 31, 2024</w:t>
            </w:r>
          </w:p>
        </w:tc>
        <w:tc>
          <w:tcPr>
            <w:tcW w:w="17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3,606</w:t>
            </w:r>
          </w:p>
        </w:tc>
        <w:tc>
          <w:tcPr>
            <w:tcW w:w="14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10</w:t>
            </w:r>
          </w:p>
        </w:tc>
        <w:tc>
          <w:tcPr>
            <w:tcW w:w="15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w:t>
            </w:r>
          </w:p>
        </w:tc>
      </w:tr>
      <w:tr>
        <w:trPr>
          <w:trHeight w:val="216"/>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period ended September 30, 2025</w:t>
            </w:r>
          </w:p>
        </w:tc>
        <w:tc>
          <w:tcPr>
            <w:tcW w:w="17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3,646</w:t>
            </w: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23</w:t>
            </w:r>
          </w:p>
        </w:tc>
        <w:tc>
          <w:tcPr>
            <w:tcW w:w="15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165</w:t>
            </w: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September 30, 2025, we had resolved, by means of settlement or dismissal, 38,074 claims at a total cost of $10.9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7,675 claims as of September 30, 2025,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Shareholders’ Equity for the three and nine month period ended September 30,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35"/>
        </w:trPr>
        <w:tc>
          <w:tcPr>
            <w:tcW w:w="1700" w:type="dxa"/>
            <w:vAlign w:val="bottom"/>
          </w:tcPr>
          <w:p>
            <w:pPr>
              <w:spacing w:after="0"/>
              <w:rPr>
                <w:sz w:val="11"/>
                <w:szCs w:val="11"/>
                <w:color w:val="auto"/>
              </w:rPr>
            </w:pPr>
          </w:p>
        </w:tc>
        <w:tc>
          <w:tcPr>
            <w:tcW w:w="1180" w:type="dxa"/>
            <w:vAlign w:val="bottom"/>
            <w:gridSpan w:val="2"/>
          </w:tcPr>
          <w:p>
            <w:pPr>
              <w:jc w:val="center"/>
              <w:ind w:left="686"/>
              <w:spacing w:after="0"/>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7"/>
              </w:rPr>
              <w:t>Accumulated items of</w:t>
            </w:r>
          </w:p>
        </w:tc>
        <w:tc>
          <w:tcPr>
            <w:tcW w:w="1180" w:type="dxa"/>
            <w:vAlign w:val="bottom"/>
            <w:gridSpan w:val="2"/>
          </w:tcPr>
          <w:p>
            <w:pPr>
              <w:jc w:val="center"/>
              <w:ind w:left="646"/>
              <w:spacing w:after="0"/>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9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9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8"/>
              </w:rPr>
              <w:t>Treasury Stock</w:t>
            </w: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700" w:type="dxa"/>
            <w:vAlign w:val="bottom"/>
          </w:tcPr>
          <w:p>
            <w:pPr>
              <w:spacing w:after="0"/>
              <w:rPr>
                <w:sz w:val="7"/>
                <w:szCs w:val="7"/>
                <w:color w:val="auto"/>
              </w:rPr>
            </w:pPr>
          </w:p>
        </w:tc>
        <w:tc>
          <w:tcPr>
            <w:tcW w:w="1900" w:type="dxa"/>
            <w:vAlign w:val="bottom"/>
            <w:tcBorders>
              <w:bottom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jc w:val="center"/>
              <w:ind w:right="46"/>
              <w:spacing w:after="0" w:line="88" w:lineRule="exact"/>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7"/>
                <w:szCs w:val="7"/>
                <w:color w:val="auto"/>
              </w:rPr>
            </w:pPr>
          </w:p>
        </w:tc>
        <w:tc>
          <w:tcPr>
            <w:tcW w:w="720" w:type="dxa"/>
            <w:vAlign w:val="bottom"/>
          </w:tcPr>
          <w:p>
            <w:pPr>
              <w:jc w:val="center"/>
              <w:ind w:right="126"/>
              <w:spacing w:after="0" w:line="88" w:lineRule="exact"/>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7"/>
                <w:szCs w:val="7"/>
                <w:color w:val="auto"/>
              </w:rPr>
            </w:pPr>
          </w:p>
        </w:tc>
        <w:tc>
          <w:tcPr>
            <w:tcW w:w="1320" w:type="dxa"/>
            <w:vAlign w:val="bottom"/>
          </w:tcPr>
          <w:p>
            <w:pPr>
              <w:jc w:val="center"/>
              <w:ind w:right="46"/>
              <w:spacing w:after="0" w:line="88" w:lineRule="exact"/>
              <w:rPr>
                <w:sz w:val="20"/>
                <w:szCs w:val="20"/>
                <w:color w:val="auto"/>
              </w:rPr>
            </w:pPr>
            <w:r>
              <w:rPr>
                <w:rFonts w:ascii="Arial" w:cs="Arial" w:eastAsia="Arial" w:hAnsi="Arial"/>
                <w:sz w:val="10"/>
                <w:szCs w:val="10"/>
                <w:b w:val="1"/>
                <w:bCs w:val="1"/>
                <w:color w:val="auto"/>
              </w:rPr>
              <w:t>other comprehensive</w:t>
            </w:r>
          </w:p>
        </w:tc>
        <w:tc>
          <w:tcPr>
            <w:tcW w:w="1900" w:type="dxa"/>
            <w:vAlign w:val="bottom"/>
            <w:tcBorders>
              <w:bottom w:val="single" w:sz="8" w:color="auto"/>
            </w:tcBorders>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jc w:val="right"/>
              <w:ind w:right="366"/>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6"/>
              </w:rPr>
              <w:t>in capital</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income</w:t>
            </w:r>
          </w:p>
        </w:tc>
        <w:tc>
          <w:tcPr>
            <w:tcW w:w="9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23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8"/>
              </w:rPr>
              <w:t>Noncontrolling Interest Shareholders' Equity</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40,984</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456,587</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1,075,934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(144,292)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11,516</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(499,658)</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5,497</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894,109</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Net income/(loss)</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(97,760)</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122</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(97,638)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issued under incentive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compensation plans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Taxes paid in lieu of share</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(137)</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issuance</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3,844</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3,844</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Purchase of Treasury shares (a)</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810</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(50,516)</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(50,516)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(7,739)</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(7,739)</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$0.27 per share</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2,395</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2,485</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473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473</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 adjustment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126</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and other</w:t>
            </w:r>
          </w:p>
        </w:tc>
        <w:tc>
          <w:tcPr>
            <w:tcW w:w="9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September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40,989</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460,294</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970,435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(141,298)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12,326</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(550,174)</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5,709</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745,007</w:t>
            </w:r>
          </w:p>
        </w:tc>
        <w:tc>
          <w:tcPr>
            <w:tcW w:w="0" w:type="dxa"/>
            <w:vAlign w:val="bottom"/>
          </w:tcPr>
          <w:p>
            <w:pPr>
              <w:spacing w:after="0"/>
              <w:rPr>
                <w:sz w:val="1"/>
                <w:szCs w:val="1"/>
                <w:color w:val="auto"/>
              </w:rPr>
            </w:pPr>
          </w:p>
        </w:tc>
      </w:tr>
      <w:tr>
        <w:trPr>
          <w:trHeight w:val="229"/>
        </w:trPr>
        <w:tc>
          <w:tcPr>
            <w:tcW w:w="1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180" w:type="dxa"/>
            <w:vAlign w:val="bottom"/>
            <w:gridSpan w:val="2"/>
          </w:tcPr>
          <w:p>
            <w:pPr>
              <w:jc w:val="center"/>
              <w:ind w:left="686"/>
              <w:spacing w:after="0"/>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7"/>
              </w:rPr>
              <w:t>Accumulated items of</w:t>
            </w:r>
          </w:p>
        </w:tc>
        <w:tc>
          <w:tcPr>
            <w:tcW w:w="1180" w:type="dxa"/>
            <w:vAlign w:val="bottom"/>
            <w:gridSpan w:val="2"/>
          </w:tcPr>
          <w:p>
            <w:pPr>
              <w:jc w:val="center"/>
              <w:ind w:left="646"/>
              <w:spacing w:after="0"/>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900" w:type="dxa"/>
            <w:vAlign w:val="bottom"/>
            <w:gridSpan w:val="3"/>
          </w:tcPr>
          <w:p>
            <w:pPr>
              <w:jc w:val="center"/>
              <w:spacing w:after="0" w:line="108" w:lineRule="exact"/>
              <w:rPr>
                <w:sz w:val="20"/>
                <w:szCs w:val="20"/>
                <w:color w:val="auto"/>
              </w:rPr>
            </w:pPr>
            <w:r>
              <w:rPr>
                <w:rFonts w:ascii="Arial" w:cs="Arial" w:eastAsia="Arial" w:hAnsi="Arial"/>
                <w:sz w:val="11"/>
                <w:szCs w:val="11"/>
                <w:b w:val="1"/>
                <w:bCs w:val="1"/>
                <w:color w:val="auto"/>
                <w:w w:val="99"/>
              </w:rPr>
              <w:t>Common Stock</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center"/>
              <w:ind w:right="126"/>
              <w:spacing w:after="0"/>
              <w:rPr>
                <w:sz w:val="20"/>
                <w:szCs w:val="20"/>
                <w:color w:val="auto"/>
              </w:rPr>
            </w:pPr>
            <w:r>
              <w:rPr>
                <w:rFonts w:ascii="Arial" w:cs="Arial" w:eastAsia="Arial" w:hAnsi="Arial"/>
                <w:sz w:val="11"/>
                <w:szCs w:val="11"/>
                <w:b w:val="1"/>
                <w:bCs w:val="1"/>
                <w:color w:val="auto"/>
                <w:w w:val="98"/>
              </w:rPr>
              <w:t>Retained</w:t>
            </w:r>
          </w:p>
        </w:tc>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900" w:type="dxa"/>
            <w:vAlign w:val="bottom"/>
            <w:gridSpan w:val="3"/>
          </w:tcPr>
          <w:p>
            <w:pPr>
              <w:jc w:val="center"/>
              <w:spacing w:after="0" w:line="108" w:lineRule="exact"/>
              <w:rPr>
                <w:sz w:val="20"/>
                <w:szCs w:val="20"/>
                <w:color w:val="auto"/>
              </w:rPr>
            </w:pPr>
            <w:r>
              <w:rPr>
                <w:rFonts w:ascii="Arial" w:cs="Arial" w:eastAsia="Arial" w:hAnsi="Arial"/>
                <w:sz w:val="11"/>
                <w:szCs w:val="11"/>
                <w:b w:val="1"/>
                <w:bCs w:val="1"/>
                <w:color w:val="auto"/>
                <w:w w:val="98"/>
              </w:rPr>
              <w:t>Treasury Stock</w:t>
            </w: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other comprehensive</w:t>
            </w: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line="20" w:lineRule="exact"/>
              <w:rPr>
                <w:sz w:val="1"/>
                <w:szCs w:val="1"/>
                <w:color w:val="auto"/>
              </w:rPr>
            </w:pPr>
          </w:p>
        </w:tc>
        <w:tc>
          <w:tcPr>
            <w:tcW w:w="72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line="20" w:lineRule="exact"/>
              <w:rPr>
                <w:sz w:val="1"/>
                <w:szCs w:val="1"/>
                <w:color w:val="auto"/>
              </w:rPr>
            </w:pPr>
          </w:p>
        </w:tc>
        <w:tc>
          <w:tcPr>
            <w:tcW w:w="7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6"/>
              </w:rPr>
              <w:t>in capital</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income</w:t>
            </w: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3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8"/>
              </w:rPr>
              <w:t>Noncontrolling Interest Shareholders' Equity</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40,917</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452,933</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1,065,763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(195,989)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9,845</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(379,210)</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5,409</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948,947</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Net income/(loss)</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(71,222)</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265</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(70,957)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issued under incentive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(1,067)</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(1,067)</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compensation plans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Taxes paid in lieu of share</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(1,454)</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(1,454)</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issuance</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9,122</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9,122</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940" w:type="dxa"/>
            <w:vAlign w:val="bottom"/>
          </w:tcPr>
          <w:p>
            <w:pPr>
              <w:jc w:val="right"/>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760</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760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 of Treasury shares (a)</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2,481</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(170,964)</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(170,964)</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(24,025)</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(24,025)</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Common Stock, $0.81 per share</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paid to noncontrolling</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interests</w:t>
            </w:r>
          </w:p>
        </w:tc>
        <w:tc>
          <w:tcPr>
            <w:tcW w:w="9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58,366</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35</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58,401</w:t>
            </w:r>
          </w:p>
        </w:tc>
        <w:tc>
          <w:tcPr>
            <w:tcW w:w="0" w:type="dxa"/>
            <w:vAlign w:val="bottom"/>
          </w:tcPr>
          <w:p>
            <w:pPr>
              <w:spacing w:after="0"/>
              <w:rPr>
                <w:sz w:val="1"/>
                <w:szCs w:val="1"/>
                <w:color w:val="auto"/>
              </w:rPr>
            </w:pPr>
          </w:p>
        </w:tc>
      </w:tr>
      <w:tr>
        <w:trPr>
          <w:trHeight w:val="152"/>
        </w:trPr>
        <w:tc>
          <w:tcPr>
            <w:tcW w:w="17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(3,044)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(3,044)</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 adjustment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1"/>
                <w:szCs w:val="11"/>
                <w:color w:val="auto"/>
              </w:rPr>
              <w:t>(631)</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88</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(624)</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and other</w:t>
            </w:r>
          </w:p>
        </w:tc>
        <w:tc>
          <w:tcPr>
            <w:tcW w:w="9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September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40,989</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460,294</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970,435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(141,298)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12,326</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(550,174)</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5,709</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745,007</w:t>
            </w: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98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summarizes changes in Shareholders’ Equity for the three and nine month period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0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900" w:type="dxa"/>
            <w:vAlign w:val="bottom"/>
            <w:gridSpan w:val="3"/>
          </w:tcPr>
          <w:p>
            <w:pPr>
              <w:jc w:val="right"/>
              <w:ind w:right="48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20" w:type="dxa"/>
            <w:vAlign w:val="bottom"/>
            <w:gridSpan w:val="3"/>
          </w:tcPr>
          <w:p>
            <w:pPr>
              <w:jc w:val="right"/>
              <w:ind w:right="50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46"/>
              <w:spacing w:after="0" w:line="122" w:lineRule="exact"/>
              <w:rPr>
                <w:sz w:val="20"/>
                <w:szCs w:val="20"/>
                <w:color w:val="auto"/>
              </w:rPr>
            </w:pPr>
            <w:r>
              <w:rPr>
                <w:rFonts w:ascii="Arial" w:cs="Arial" w:eastAsia="Arial" w:hAnsi="Arial"/>
                <w:sz w:val="11"/>
                <w:szCs w:val="11"/>
                <w:b w:val="1"/>
                <w:bCs w:val="1"/>
                <w:color w:val="auto"/>
                <w:w w:val="98"/>
              </w:rPr>
              <w:t>Additional paid-</w:t>
            </w:r>
          </w:p>
        </w:tc>
        <w:tc>
          <w:tcPr>
            <w:tcW w:w="160" w:type="dxa"/>
            <w:vAlign w:val="bottom"/>
          </w:tcPr>
          <w:p>
            <w:pPr>
              <w:spacing w:after="0"/>
              <w:rPr>
                <w:sz w:val="2"/>
                <w:szCs w:val="2"/>
                <w:color w:val="auto"/>
              </w:rPr>
            </w:pPr>
          </w:p>
        </w:tc>
        <w:tc>
          <w:tcPr>
            <w:tcW w:w="720" w:type="dxa"/>
            <w:vAlign w:val="bottom"/>
            <w:vMerge w:val="restart"/>
          </w:tcPr>
          <w:p>
            <w:pPr>
              <w:jc w:val="right"/>
              <w:ind w:right="166"/>
              <w:spacing w:after="0" w:line="122" w:lineRule="exact"/>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2"/>
                <w:szCs w:val="2"/>
                <w:color w:val="auto"/>
              </w:rPr>
            </w:pPr>
          </w:p>
        </w:tc>
        <w:tc>
          <w:tcPr>
            <w:tcW w:w="1400" w:type="dxa"/>
            <w:vAlign w:val="bottom"/>
            <w:vMerge w:val="restart"/>
          </w:tcPr>
          <w:p>
            <w:pPr>
              <w:jc w:val="right"/>
              <w:ind w:right="146"/>
              <w:spacing w:after="0" w:line="122" w:lineRule="exact"/>
              <w:rPr>
                <w:sz w:val="20"/>
                <w:szCs w:val="20"/>
                <w:color w:val="auto"/>
              </w:rPr>
            </w:pPr>
            <w:r>
              <w:rPr>
                <w:rFonts w:ascii="Arial" w:cs="Arial" w:eastAsia="Arial" w:hAnsi="Arial"/>
                <w:sz w:val="11"/>
                <w:szCs w:val="11"/>
                <w:b w:val="1"/>
                <w:bCs w:val="1"/>
                <w:color w:val="auto"/>
              </w:rPr>
              <w:t>Accumulated items of</w:t>
            </w: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center"/>
              <w:ind w:right="86"/>
              <w:spacing w:after="0" w:line="122" w:lineRule="exact"/>
              <w:rPr>
                <w:sz w:val="20"/>
                <w:szCs w:val="20"/>
                <w:color w:val="auto"/>
              </w:rPr>
            </w:pPr>
            <w:r>
              <w:rPr>
                <w:rFonts w:ascii="Arial" w:cs="Arial" w:eastAsia="Arial" w:hAnsi="Arial"/>
                <w:sz w:val="11"/>
                <w:szCs w:val="11"/>
                <w:b w:val="1"/>
                <w:bCs w:val="1"/>
                <w:color w:val="auto"/>
                <w:w w:val="98"/>
              </w:rPr>
              <w:t>Shareholders'</w:t>
            </w: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8"/>
              </w:rPr>
              <w:t>other comprehensive income</w:t>
            </w: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40,908</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452,461</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1,046,612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(166,907)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9,662</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(364,665)</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5,806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973,348</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income/(loss)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18,029</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192</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18,221</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195</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195</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(8,127)</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(8,127)</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$0.26 per share</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Initial equity related to</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Noncontrolling interest in Arcari</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16,931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16,778</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(623)</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(623)</w:t>
            </w:r>
          </w:p>
        </w:tc>
        <w:tc>
          <w:tcPr>
            <w:tcW w:w="0" w:type="dxa"/>
            <w:vAlign w:val="bottom"/>
          </w:tcPr>
          <w:p>
            <w:pPr>
              <w:spacing w:after="0"/>
              <w:rPr>
                <w:sz w:val="1"/>
                <w:szCs w:val="1"/>
                <w:color w:val="auto"/>
              </w:rPr>
            </w:pPr>
          </w:p>
        </w:tc>
      </w:tr>
      <w:tr>
        <w:trPr>
          <w:trHeight w:val="152"/>
        </w:trPr>
        <w:tc>
          <w:tcPr>
            <w:tcW w:w="17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(2,950)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(2,950)</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40,917</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452,656</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1,056,514</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(153,549)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9,662</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(364,665)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5,679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996,676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35"/>
        </w:trPr>
        <w:tc>
          <w:tcPr>
            <w:tcW w:w="170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900" w:type="dxa"/>
            <w:vAlign w:val="bottom"/>
            <w:gridSpan w:val="3"/>
            <w:vMerge w:val="restart"/>
          </w:tcPr>
          <w:p>
            <w:pPr>
              <w:jc w:val="right"/>
              <w:ind w:right="48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920" w:type="dxa"/>
            <w:vAlign w:val="bottom"/>
            <w:gridSpan w:val="3"/>
            <w:vMerge w:val="restart"/>
          </w:tcPr>
          <w:p>
            <w:pPr>
              <w:jc w:val="right"/>
              <w:ind w:right="50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700" w:type="dxa"/>
            <w:vAlign w:val="bottom"/>
          </w:tcPr>
          <w:p>
            <w:pPr>
              <w:spacing w:after="0"/>
              <w:rPr>
                <w:sz w:val="7"/>
                <w:szCs w:val="7"/>
                <w:color w:val="auto"/>
              </w:rPr>
            </w:pPr>
          </w:p>
        </w:tc>
        <w:tc>
          <w:tcPr>
            <w:tcW w:w="1900" w:type="dxa"/>
            <w:vAlign w:val="bottom"/>
            <w:tcBorders>
              <w:bottom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jc w:val="right"/>
              <w:ind w:right="46"/>
              <w:spacing w:after="0" w:line="88" w:lineRule="exact"/>
              <w:rPr>
                <w:sz w:val="20"/>
                <w:szCs w:val="20"/>
                <w:color w:val="auto"/>
              </w:rPr>
            </w:pPr>
            <w:r>
              <w:rPr>
                <w:rFonts w:ascii="Arial" w:cs="Arial" w:eastAsia="Arial" w:hAnsi="Arial"/>
                <w:sz w:val="10"/>
                <w:szCs w:val="10"/>
                <w:b w:val="1"/>
                <w:bCs w:val="1"/>
                <w:color w:val="auto"/>
              </w:rPr>
              <w:t>Additional paid-</w:t>
            </w:r>
          </w:p>
        </w:tc>
        <w:tc>
          <w:tcPr>
            <w:tcW w:w="160" w:type="dxa"/>
            <w:vAlign w:val="bottom"/>
          </w:tcPr>
          <w:p>
            <w:pPr>
              <w:spacing w:after="0"/>
              <w:rPr>
                <w:sz w:val="7"/>
                <w:szCs w:val="7"/>
                <w:color w:val="auto"/>
              </w:rPr>
            </w:pPr>
          </w:p>
        </w:tc>
        <w:tc>
          <w:tcPr>
            <w:tcW w:w="720" w:type="dxa"/>
            <w:vAlign w:val="bottom"/>
          </w:tcPr>
          <w:p>
            <w:pPr>
              <w:jc w:val="right"/>
              <w:ind w:right="166"/>
              <w:spacing w:after="0" w:line="88" w:lineRule="exact"/>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7"/>
                <w:szCs w:val="7"/>
                <w:color w:val="auto"/>
              </w:rPr>
            </w:pPr>
          </w:p>
        </w:tc>
        <w:tc>
          <w:tcPr>
            <w:tcW w:w="1400" w:type="dxa"/>
            <w:vAlign w:val="bottom"/>
          </w:tcPr>
          <w:p>
            <w:pPr>
              <w:jc w:val="right"/>
              <w:ind w:right="146"/>
              <w:spacing w:after="0" w:line="88" w:lineRule="exact"/>
              <w:rPr>
                <w:sz w:val="20"/>
                <w:szCs w:val="20"/>
                <w:color w:val="auto"/>
              </w:rPr>
            </w:pPr>
            <w:r>
              <w:rPr>
                <w:rFonts w:ascii="Arial" w:cs="Arial" w:eastAsia="Arial" w:hAnsi="Arial"/>
                <w:sz w:val="10"/>
                <w:szCs w:val="10"/>
                <w:b w:val="1"/>
                <w:bCs w:val="1"/>
                <w:color w:val="auto"/>
              </w:rPr>
              <w:t>Accumulated items of</w:t>
            </w:r>
          </w:p>
        </w:tc>
        <w:tc>
          <w:tcPr>
            <w:tcW w:w="1920" w:type="dxa"/>
            <w:vAlign w:val="bottom"/>
            <w:tcBorders>
              <w:bottom w:val="single" w:sz="8" w:color="auto"/>
            </w:tcBorders>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86"/>
              <w:spacing w:after="0" w:line="88"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8"/>
              </w:rPr>
              <w:t>other comprehensive income</w:t>
            </w: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40,856</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448,218</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1,010,942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(133,168)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9,662</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(364,665)</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5,952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967,320</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income/(loss)</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69,944</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366</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70,310</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51</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3,535</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3,535</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903</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903</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w w:val="98"/>
              </w:rPr>
              <w:t>Class A Common Stock, $0.78 per</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(24,372)</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(24,372)</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share</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Inital equity related to</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0</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Noncontolling interest in Arcari</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(12,472)</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(473)</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(12,945)</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0</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Derivative valuation adjustment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(7,914)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(7,914)</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September 30,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40,917</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452,656</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1,056,514</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(153,549)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9,662</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(364,665)</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5,679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996,676</w:t>
            </w:r>
          </w:p>
        </w:tc>
        <w:tc>
          <w:tcPr>
            <w:tcW w:w="0" w:type="dxa"/>
            <w:vAlign w:val="bottom"/>
          </w:tcPr>
          <w:p>
            <w:pPr>
              <w:spacing w:after="0"/>
              <w:rPr>
                <w:sz w:val="1"/>
                <w:szCs w:val="1"/>
                <w:color w:val="auto"/>
              </w:rPr>
            </w:pP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660" w:hanging="652"/>
        <w:spacing w:after="0" w:line="260"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2021, the Company's Board of Directors authorized the Company to repurchase shares of up to $200 million through open market purchases, privately negotiated transactions or otherwise, and to determine the prices, times and amounts. On February 21, 2025, the Company's Board of Directors authorized the Company to repurchase shares up to $250 million (excluding any fees, commissions, taxes or other expenses related to such purchases), which replaced the 2021 authorization. In 2025, the Company repurchased 2,480,769 shares totaling $171.0 million including excise taxes and fees.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Subsequent Events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evaluated subsequent events through the issuance date of these financial statements in Form 10-Q.</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28th, 2025, the Company announced that it is exploring strategic alternatives for its structures assembly business, including a potential sale of all or a part of the business at the Amelia Earhart Drive Facility in Salt Lake City. As part of the strategic alternatives, Albany is in ongoing discussions with its customer about potential contract modifications to offset these cost increases.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 other material subsequent events were identified that require disclosure.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45" w:lineRule="exact"/>
        <w:rPr>
          <w:sz w:val="20"/>
          <w:szCs w:val="20"/>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Some of the Company’s competitors in the Machine Clothing segment have the capability to make and sell paper machines and papermaking equipment as well as other engineered fabrics;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Machine Clothing and Albany Engineered Composites segments are subject to significant risks related to the potential manufacture and sale of defective or non-conforming products;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Deterioration of global economic conditions could have an adverse impact on the Company's segments and overall business and results of operations;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Albany Engineered Composites segment, new and unique risks introduced by the U.S. Government's Department of Defense ("DoD") Cybersecurity Maturity Model Certification ("CMMC") program;</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or logistics and costs due to supply chain constraints and inflationary pressures. These challenges have only increased as a result of the ongoing Russia-Ukraine war and the conflict in the Middle East;</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maintain effective systems of internal controls while consolidating dispersed corporate functions to our corporate headquarters in New Hampshire;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business and employees may depend on our reputation in the marketplace;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Across both segments, potential port strikes could cause additional disruptions to our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Harm caused by changes in our relationships or contracts with suppliers and customers;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unanticipated reductions in demand, delays, technical difficulties, and cancellations in aerospace programs that are expected to generate revenue and drive long-term growth;</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geopolitical conditions impacting countries where the Company does or intends to do business, including the effects of the implementation of trade tariffs on imported goods;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insurance coverage may be inadequate to cover significant risk exposures;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our strategic initiatives and other goals, including, but not limited to, our sustainability goals;</w:t>
      </w:r>
    </w:p>
    <w:p>
      <w:pPr>
        <w:spacing w:after="0" w:line="117"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the estimates and expectations based on aircraft production rates provided by Airbus, Boeing and others;</w:t>
      </w:r>
    </w:p>
    <w:p>
      <w:pPr>
        <w:spacing w:after="0" w:line="44"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spacing w:after="0" w:line="62"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risks associated with changes in estimates and assumptions that could result in a decline in program gross margins or turn a profitable program into a loss program;</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impacts from inflation, an economic slowdown or recession and by disruption in capital and credit markets that might impede our access to credit, increase our borrowing costs and impair the financial soundness of our customers and suppliers;</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our ability to attract, motivate, and retain the workforce necessary to execute our business strategy and other goals;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impacts from fluctuations in foreign currency exchange rates;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Harm caused by customer purchase reductions, payment defaults or contract non-renewal;</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future funding and compliance risks associated with our contracts with government entities, OEM customers or prime contractors on contracts with government entities;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Costly and disruptive legal disputes and settlements and the Company's ability to provide adequate insurance coverage;</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adverse outcomes from current or future patent infringement claims could materially affect our business operations and financial condition;</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defending or settling intellectual property disputes could be significant;</w:t>
      </w:r>
    </w:p>
    <w:p>
      <w:pPr>
        <w:spacing w:after="0" w:line="117"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operational and compliance costs associated with increasing environmental, social and governance regulatory requirements, as well as the risk of noncompliance;</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levels of indebtedness and capital expenditures;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 of goodwill and other intangible assets;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impacts from changes in tax legislation or challenges to our tax positions;</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incidents or significant computer system compromises or data breaches to our information technology systems, processes, sites and cloud-based providers;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or challenges arising from the implementation or upgrading of new information technology systems;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 advancements in artificial intelligence may introduce unforeseen regulatory, ethical, and operational challenges;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AI technologies may involve data privacy, security, and compliance risks;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Evolving legal frameworks around AI and IP protection could impact our competitive position and innovation strategies;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changes in critical estimates and assumptions related to pension and other post-retirement benefit costs and liabilities;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problems with information systems or networks;</w:t>
      </w:r>
    </w:p>
    <w:p>
      <w:pPr>
        <w:spacing w:after="0" w:line="117"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adequately integrate acquired companies into our business systems and processes within the expected timeframe or, failure to or delayed realization of anticipated benefits of the acquisition could adversely impact the Company’s business, financial condition and results of operations;</w:t>
      </w:r>
    </w:p>
    <w:p>
      <w:pPr>
        <w:spacing w:after="0" w:line="62"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adequately protect our proprietary technology or intellectual property, which would allow competitors or others to take advantage of our research and development efforts;</w:t>
      </w:r>
    </w:p>
    <w:p>
      <w:pPr>
        <w:spacing w:after="0" w:line="200" w:lineRule="exact"/>
        <w:rPr>
          <w:sz w:val="20"/>
          <w:szCs w:val="20"/>
          <w:color w:val="auto"/>
        </w:rPr>
      </w:pPr>
    </w:p>
    <w:p>
      <w:pPr>
        <w:spacing w:after="0" w:line="33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39" w:right="339" w:bottom="1440" w:gutter="0" w:footer="0" w:header="0"/>
        </w:sectPr>
      </w:pPr>
    </w:p>
    <w:bookmarkStart w:id="28" w:name="page29"/>
    <w:bookmarkEnd w:id="28"/>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Impacts on our stock price and trading volume if securities or industry analysis do not publish research or publish inaccurate or unfavorable research about our business, or by future sales of shares by our existing stockholders and the impact of any changes in cash dividend payments;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shareholder activism on our operations, strategy, and overall performance;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 and other periodic reports.</w:t>
      </w:r>
    </w:p>
    <w:p>
      <w:pPr>
        <w:spacing w:after="0" w:line="117"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Albany Engineered Composites segment, our exploration and pursuit of strategic alternatives for our structures assembly business may not be successful.</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the “Business Environment Overview and Trends” sections of this quarterly report, as well as in the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 our business under two reportable segments: Machine Clothing (“MC”) and Albany Engineered Composites (“AEC”) each rooted in similar materials sciences know-how that forms a common approach to customer value proposition in design and manufacturability. MC competes on the basis of its deep industry knowledge, customer reputation and customer service and global advanced textile manufacturing capabilities, which has enabled it to develop a robust and market leading product offering that can be tailored to customer-specific requirements. AEC competes on the basis of its innovative technology solutions, extensive composite manufacturing capabilities and capacity that enable it to offer high quality specific part and assembly solutions that achieve its customers’ application performance requirements.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a change occurs, which could have a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Also, please refer to the Business Environment Overview and Trends in the Management's Discussion and Analysis of Financial Condition</w:t>
      </w:r>
    </w:p>
    <w:p>
      <w:pPr>
        <w:jc w:val="both"/>
        <w:spacing w:after="0" w:line="221" w:lineRule="auto"/>
        <w:rPr>
          <w:sz w:val="20"/>
          <w:szCs w:val="20"/>
          <w:color w:val="auto"/>
        </w:rPr>
      </w:pPr>
      <w:r>
        <w:rPr>
          <w:rFonts w:ascii="Arial" w:cs="Arial" w:eastAsia="Arial" w:hAnsi="Arial"/>
          <w:sz w:val="18"/>
          <w:szCs w:val="18"/>
          <w:color w:val="auto"/>
        </w:rPr>
        <w:t>and Results of Operations in our Annual Report on Form 10-K for the year ended December 31, 2024. The Annual Report on Form 10-K, along with the Company's other filings, can be found on the Securities and Exchange Commission's website, www.sec.gov, as well as on the Company's website: www.albint.com.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Clothing Segment</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MC segment expects revenues to continue to decline for publication grade paper and continued softness in Asia, most significantly in China, in the remainder of 2025 and beyond, however, we see an offsetting effect due to growth in demand across Europe for packaging, and to a lesser degree, tissue grade products. The MC segment's backlog continues to be stable through the third quarter of 2025.</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MC believes it is well-positioned in key markets, with high-quality, low-cost production in growth markets, substantially lower fixed costs in mature markets, and continued strength in new product development, technical product support,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8"/>
          <w:szCs w:val="18"/>
          <w:color w:val="auto"/>
        </w:rPr>
        <w:t>and manufacturing technology. Some of the markets in which MC's products are sold are expected to have volume trends that are in line with global GDP. MC continues to face pricing pressures in all markets. Despite these market pressures on revenue growth, the MC segment is expected to improve earnings in the future through cost controls and manufacturing productivity efficiencies.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Albany Engineered Composites Segment</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AEC segment continues to ramp-up production levels on commercial, defense, and space programs. During the third quarter of 2025, we recognized a $147.3 million change in estimated profitability associated with the performance of the CH-53K contracts, inclusive of a loss reserve adjustment of $ 98.0 million, as a result of greater than planned labor content and higher material inputs caused by inflation estimated for the duration of the contract. This adjustment represents the estimated full loss anticipated over the remaining eight year life of the</w:t>
      </w:r>
    </w:p>
    <w:p>
      <w:pPr>
        <w:jc w:val="both"/>
        <w:spacing w:after="0" w:line="247" w:lineRule="auto"/>
        <w:rPr>
          <w:sz w:val="20"/>
          <w:szCs w:val="20"/>
          <w:color w:val="auto"/>
        </w:rPr>
      </w:pPr>
      <w:r>
        <w:rPr>
          <w:rFonts w:ascii="Arial" w:cs="Arial" w:eastAsia="Arial" w:hAnsi="Arial"/>
          <w:sz w:val="18"/>
          <w:szCs w:val="18"/>
          <w:color w:val="auto"/>
        </w:rPr>
        <w:t>program, and we are engaging with our CH-53K customer to discuss potential solutions. In spite of these ongoing discussions, subsequent to the end of the third quarter, we announced that we will commence exploration of alternatives to exit the structures assembly portion of our business, including the CH-53K contract work. In addition to these events, we also updated our labor, material input and scrap assumptions along with estimates of certain other long-term programs that resulted in additional negative cumulative changes in estimated profitability.</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October 28, 2025, we announced that we are exploring strategic alternatives for our structures assembly business. These alternatives include a potential sale of all or a part of the business at our Salt Lake City facility and discussions with our customer about contract</w:t>
      </w:r>
    </w:p>
    <w:p>
      <w:pPr>
        <w:jc w:val="both"/>
        <w:spacing w:after="0" w:line="226" w:lineRule="auto"/>
        <w:rPr>
          <w:sz w:val="20"/>
          <w:szCs w:val="20"/>
          <w:color w:val="auto"/>
        </w:rPr>
      </w:pPr>
      <w:r>
        <w:rPr>
          <w:rFonts w:ascii="Arial" w:cs="Arial" w:eastAsia="Arial" w:hAnsi="Arial"/>
          <w:sz w:val="18"/>
          <w:szCs w:val="18"/>
          <w:color w:val="auto"/>
        </w:rPr>
        <w:t>modifications. Our exploration of strategic alternatives, including a sale or contract modification, may not result in the identification or consummation of any transaction or contract modification. In addition, the process of exploring strategic and other alternatives may be</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disruptive to our operations and we may incur substantial expenses associated with identifying and evaluating potential strategic or other alternatives. Any potential transaction and the related valuation would be dependent upon a number of factors that may be beyond our control, including, among other factors, potential counterparties, market conditions and industry trends. Any potential contract modifications would be dependent on negotiations with our customer and other factors that we cannot control. Further, speculation regarding any developments related to the strategic alternatives process could cause our stock price to fluctuate significantly. Failure to identify and pursue these strategic alternatives could have a material adverse effect on our business, financial condition, and results of operations.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AEC believes it has the ability to mitigate raw material and supplier costs by entering into long-term supply agreements. However, in some cases, higher raw material and supplier costs adversely impacted certain firm-fixed price programs resulting in lower program gross margins. The AEC segment may continue to experience similar issues in further quarters as it ramps up production levels on these key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261,434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298,386</w:t>
            </w:r>
          </w:p>
        </w:tc>
        <w:tc>
          <w:tcPr>
            <w:tcW w:w="15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 xml:space="preserve">(12.4) % </w:t>
            </w: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861,607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943,710</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Gross profit/(loss)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(49,938)</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90,384</w:t>
            </w:r>
          </w:p>
        </w:tc>
        <w:tc>
          <w:tcPr>
            <w:tcW w:w="15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(155.3) %</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144,055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311,453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Gross profit/(loss) margin</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(19.1)%</w:t>
            </w: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i w:val="1"/>
                <w:iCs w:val="1"/>
                <w:color w:val="auto"/>
              </w:rPr>
              <w:t>30.3 %</w:t>
            </w:r>
          </w:p>
        </w:tc>
        <w:tc>
          <w:tcPr>
            <w:tcW w:w="1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i w:val="1"/>
                <w:iCs w:val="1"/>
                <w:color w:val="auto"/>
              </w:rPr>
              <w:t>16.7 %</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i w:val="1"/>
                <w:iCs w:val="1"/>
                <w:color w:val="auto"/>
              </w:rPr>
              <w:t>33.0 %</w:t>
            </w:r>
          </w:p>
        </w:tc>
        <w:tc>
          <w:tcPr>
            <w:tcW w:w="10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100" w:type="dxa"/>
            <w:vAlign w:val="bottom"/>
            <w:shd w:val="clear" w:color="auto" w:fill="CCEEFF"/>
          </w:tcPr>
          <w:p>
            <w:pPr>
              <w:ind w:left="240"/>
              <w:spacing w:after="0" w:line="154" w:lineRule="exact"/>
              <w:rPr>
                <w:sz w:val="20"/>
                <w:szCs w:val="20"/>
                <w:color w:val="auto"/>
              </w:rPr>
            </w:pPr>
            <w:r>
              <w:rPr>
                <w:rFonts w:ascii="Arial" w:cs="Arial" w:eastAsia="Arial" w:hAnsi="Arial"/>
                <w:sz w:val="14"/>
                <w:szCs w:val="14"/>
                <w:color w:val="auto"/>
              </w:rPr>
              <w:t>Selling, general and administrative</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51,905</w:t>
            </w:r>
          </w:p>
        </w:tc>
        <w:tc>
          <w:tcPr>
            <w:tcW w:w="3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52,097</w:t>
            </w:r>
          </w:p>
        </w:tc>
        <w:tc>
          <w:tcPr>
            <w:tcW w:w="1540" w:type="dxa"/>
            <w:vAlign w:val="bottom"/>
            <w:gridSpan w:val="2"/>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(0.4) %</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164,219</w:t>
            </w:r>
          </w:p>
        </w:tc>
        <w:tc>
          <w:tcPr>
            <w:tcW w:w="3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162,447</w:t>
            </w: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expenses</w:t>
            </w:r>
          </w:p>
        </w:tc>
        <w:tc>
          <w:tcPr>
            <w:tcW w:w="3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00" w:type="dxa"/>
            <w:vAlign w:val="bottom"/>
          </w:tcPr>
          <w:p>
            <w:pPr>
              <w:ind w:left="240"/>
              <w:spacing w:after="0"/>
              <w:rPr>
                <w:sz w:val="20"/>
                <w:szCs w:val="20"/>
                <w:color w:val="auto"/>
              </w:rPr>
            </w:pPr>
            <w:r>
              <w:rPr>
                <w:rFonts w:ascii="Arial" w:cs="Arial" w:eastAsia="Arial" w:hAnsi="Arial"/>
                <w:sz w:val="14"/>
                <w:szCs w:val="14"/>
                <w:color w:val="auto"/>
              </w:rPr>
              <w:t>Technical and research expenses</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11,467</w:t>
            </w:r>
          </w:p>
        </w:tc>
        <w:tc>
          <w:tcPr>
            <w:tcW w:w="300" w:type="dxa"/>
            <w:vAlign w:val="bottom"/>
          </w:tcPr>
          <w:p>
            <w:pPr>
              <w:spacing w:after="0"/>
              <w:rPr>
                <w:sz w:val="17"/>
                <w:szCs w:val="17"/>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10,844</w:t>
            </w:r>
          </w:p>
        </w:tc>
        <w:tc>
          <w:tcPr>
            <w:tcW w:w="1040" w:type="dxa"/>
            <w:vAlign w:val="bottom"/>
          </w:tcPr>
          <w:p>
            <w:pPr>
              <w:jc w:val="right"/>
              <w:spacing w:after="0"/>
              <w:rPr>
                <w:sz w:val="20"/>
                <w:szCs w:val="20"/>
                <w:color w:val="auto"/>
              </w:rPr>
            </w:pPr>
            <w:r>
              <w:rPr>
                <w:rFonts w:ascii="Arial" w:cs="Arial" w:eastAsia="Arial" w:hAnsi="Arial"/>
                <w:sz w:val="14"/>
                <w:szCs w:val="14"/>
                <w:color w:val="auto"/>
              </w:rPr>
              <w:t>5.7</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35,915</w:t>
            </w:r>
          </w:p>
        </w:tc>
        <w:tc>
          <w:tcPr>
            <w:tcW w:w="300" w:type="dxa"/>
            <w:vAlign w:val="bottom"/>
          </w:tcPr>
          <w:p>
            <w:pPr>
              <w:spacing w:after="0"/>
              <w:rPr>
                <w:sz w:val="17"/>
                <w:szCs w:val="17"/>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35,369</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Restructuring expenses, net</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3,197</w:t>
            </w: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2,272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9,895</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6,584</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66,569</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65,213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210,029</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204,400</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i w:val="1"/>
                <w:iCs w:val="1"/>
                <w:color w:val="auto"/>
              </w:rPr>
              <w:t>Total operating expenses as a percentage of</w:t>
            </w:r>
          </w:p>
        </w:tc>
        <w:tc>
          <w:tcPr>
            <w:tcW w:w="3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25.5 %</w:t>
            </w: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i w:val="1"/>
                <w:iCs w:val="1"/>
                <w:color w:val="auto"/>
              </w:rPr>
              <w:t>21.9 %</w:t>
            </w:r>
          </w:p>
        </w:tc>
        <w:tc>
          <w:tcPr>
            <w:tcW w:w="10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i w:val="1"/>
                <w:iCs w:val="1"/>
                <w:color w:val="auto"/>
              </w:rPr>
              <w:t>361 bp</w:t>
            </w:r>
          </w:p>
        </w:tc>
        <w:tc>
          <w:tcPr>
            <w:tcW w:w="5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ind w:left="560"/>
              <w:spacing w:after="0"/>
              <w:rPr>
                <w:sz w:val="20"/>
                <w:szCs w:val="20"/>
                <w:color w:val="auto"/>
              </w:rPr>
            </w:pPr>
            <w:r>
              <w:rPr>
                <w:rFonts w:ascii="Arial" w:cs="Arial" w:eastAsia="Arial" w:hAnsi="Arial"/>
                <w:sz w:val="14"/>
                <w:szCs w:val="14"/>
                <w:b w:val="1"/>
                <w:bCs w:val="1"/>
                <w:i w:val="1"/>
                <w:iCs w:val="1"/>
                <w:color w:val="auto"/>
              </w:rPr>
              <w:t>24.4 %</w:t>
            </w:r>
          </w:p>
        </w:tc>
        <w:tc>
          <w:tcPr>
            <w:tcW w:w="3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i w:val="1"/>
                <w:iCs w:val="1"/>
                <w:color w:val="auto"/>
              </w:rPr>
              <w:t>21.7 %</w:t>
            </w:r>
          </w:p>
        </w:tc>
        <w:tc>
          <w:tcPr>
            <w:tcW w:w="10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i w:val="1"/>
                <w:iCs w:val="1"/>
                <w:color w:val="auto"/>
              </w:rPr>
              <w:t>272 bp</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i w:val="1"/>
                <w:iCs w:val="1"/>
                <w:color w:val="auto"/>
              </w:rPr>
              <w:t>net revenues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Operating income/(loss)</w:t>
            </w:r>
          </w:p>
        </w:tc>
        <w:tc>
          <w:tcPr>
            <w:tcW w:w="30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(116,507)</w:t>
            </w:r>
          </w:p>
        </w:tc>
        <w:tc>
          <w:tcPr>
            <w:tcW w:w="30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25,171</w:t>
            </w:r>
          </w:p>
        </w:tc>
        <w:tc>
          <w:tcPr>
            <w:tcW w:w="1540" w:type="dxa"/>
            <w:vAlign w:val="bottom"/>
            <w:gridSpan w:val="2"/>
          </w:tcPr>
          <w:p>
            <w:pPr>
              <w:jc w:val="right"/>
              <w:ind w:right="248"/>
              <w:spacing w:after="0"/>
              <w:rPr>
                <w:sz w:val="20"/>
                <w:szCs w:val="20"/>
                <w:color w:val="auto"/>
              </w:rPr>
            </w:pPr>
            <w:r>
              <w:rPr>
                <w:rFonts w:ascii="Arial" w:cs="Arial" w:eastAsia="Arial" w:hAnsi="Arial"/>
                <w:sz w:val="14"/>
                <w:szCs w:val="14"/>
                <w:color w:val="auto"/>
              </w:rPr>
              <w:t>(562.9) %</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(65,974)</w:t>
            </w:r>
          </w:p>
        </w:tc>
        <w:tc>
          <w:tcPr>
            <w:tcW w:w="300" w:type="dxa"/>
            <w:vAlign w:val="bottom"/>
          </w:tcPr>
          <w:p>
            <w:pPr>
              <w:spacing w:after="0"/>
              <w:rPr>
                <w:sz w:val="16"/>
                <w:szCs w:val="16"/>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107,053</w:t>
            </w:r>
          </w:p>
        </w:tc>
        <w:tc>
          <w:tcPr>
            <w:tcW w:w="1080" w:type="dxa"/>
            <w:vAlign w:val="bottom"/>
          </w:tcPr>
          <w:p>
            <w:pPr>
              <w:jc w:val="right"/>
              <w:spacing w:after="0"/>
              <w:rPr>
                <w:sz w:val="20"/>
                <w:szCs w:val="20"/>
                <w:color w:val="auto"/>
              </w:rPr>
            </w:pPr>
            <w:r>
              <w:rPr>
                <w:rFonts w:ascii="Arial" w:cs="Arial" w:eastAsia="Arial" w:hAnsi="Arial"/>
                <w:sz w:val="14"/>
                <w:szCs w:val="14"/>
                <w:color w:val="auto"/>
              </w:rPr>
              <w:t>(161.6)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5,897</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2,411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14,702</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8,680</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(income)/expense, net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(347)</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3,257</w:t>
            </w:r>
          </w:p>
        </w:tc>
        <w:tc>
          <w:tcPr>
            <w:tcW w:w="15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(110.7) %</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4,170</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5,932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Income/(loss) before income taxes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(122,057)</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19,503</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(725.8) %</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(84,846)</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92,441</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Income tax expense/(benefit)</w:t>
            </w: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(24,419)</w:t>
            </w:r>
          </w:p>
        </w:tc>
        <w:tc>
          <w:tcPr>
            <w:tcW w:w="300" w:type="dxa"/>
            <w:vAlign w:val="bottom"/>
          </w:tcPr>
          <w:p>
            <w:pPr>
              <w:spacing w:after="0"/>
              <w:rPr>
                <w:sz w:val="17"/>
                <w:szCs w:val="17"/>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1,282</w:t>
            </w:r>
          </w:p>
        </w:tc>
        <w:tc>
          <w:tcPr>
            <w:tcW w:w="1540" w:type="dxa"/>
            <w:vAlign w:val="bottom"/>
            <w:gridSpan w:val="2"/>
          </w:tcPr>
          <w:p>
            <w:pPr>
              <w:jc w:val="right"/>
              <w:ind w:right="248"/>
              <w:spacing w:after="0"/>
              <w:rPr>
                <w:sz w:val="20"/>
                <w:szCs w:val="20"/>
                <w:color w:val="auto"/>
              </w:rPr>
            </w:pPr>
            <w:r>
              <w:rPr>
                <w:rFonts w:ascii="Arial" w:cs="Arial" w:eastAsia="Arial" w:hAnsi="Arial"/>
                <w:sz w:val="14"/>
                <w:szCs w:val="14"/>
                <w:color w:val="auto"/>
              </w:rPr>
              <w:t>(2004.8) %</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(13,889)</w:t>
            </w:r>
          </w:p>
        </w:tc>
        <w:tc>
          <w:tcPr>
            <w:tcW w:w="300" w:type="dxa"/>
            <w:vAlign w:val="bottom"/>
          </w:tcPr>
          <w:p>
            <w:pPr>
              <w:spacing w:after="0"/>
              <w:rPr>
                <w:sz w:val="17"/>
                <w:szCs w:val="17"/>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22,131</w:t>
            </w:r>
          </w:p>
        </w:tc>
        <w:tc>
          <w:tcPr>
            <w:tcW w:w="1080" w:type="dxa"/>
            <w:vAlign w:val="bottom"/>
          </w:tcPr>
          <w:p>
            <w:pPr>
              <w:jc w:val="right"/>
              <w:spacing w:after="0"/>
              <w:rPr>
                <w:sz w:val="20"/>
                <w:szCs w:val="20"/>
                <w:color w:val="auto"/>
              </w:rPr>
            </w:pPr>
            <w:r>
              <w:rPr>
                <w:rFonts w:ascii="Arial" w:cs="Arial" w:eastAsia="Arial" w:hAnsi="Arial"/>
                <w:sz w:val="14"/>
                <w:szCs w:val="14"/>
                <w:color w:val="auto"/>
              </w:rPr>
              <w:t>(162.8)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i w:val="1"/>
                <w:iCs w:val="1"/>
                <w:color w:val="auto"/>
              </w:rPr>
              <w:t>Reported income tax rate</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20.0 %</w:t>
            </w: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i w:val="1"/>
                <w:iCs w:val="1"/>
                <w:color w:val="auto"/>
              </w:rPr>
              <w:t>6.6 %</w:t>
            </w:r>
          </w:p>
        </w:tc>
        <w:tc>
          <w:tcPr>
            <w:tcW w:w="154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4"/>
                <w:szCs w:val="14"/>
                <w:i w:val="1"/>
                <w:iCs w:val="1"/>
                <w:color w:val="auto"/>
              </w:rPr>
              <w:t>1,341 bp</w:t>
            </w:r>
          </w:p>
        </w:tc>
        <w:tc>
          <w:tcPr>
            <w:tcW w:w="10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i w:val="1"/>
                <w:iCs w:val="1"/>
                <w:color w:val="auto"/>
              </w:rPr>
              <w:t>16.4 %</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i w:val="1"/>
                <w:iCs w:val="1"/>
                <w:color w:val="auto"/>
              </w:rPr>
              <w:t>23.9 %</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(753) bp</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income/(loss)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(97,638)</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18,221</w:t>
            </w:r>
          </w:p>
        </w:tc>
        <w:tc>
          <w:tcPr>
            <w:tcW w:w="15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 xml:space="preserve">(635.9) % </w:t>
            </w: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(70,957)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70,310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revenues for the three months ended September 30, 2025 decreased 12.4% compared to the three months ended September 30, 2024, MC's net revenues declined as a result of reduced demand in Asia, most significantly in China, while sales in all other regions remained stable. Net revenues declines in AEC were driven by revenue adjustments to the CH-53K program based on our long-term contract estimates, partially offset by higher activity levels on the LEAP program.</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for the nine months ended September 30, 2025 decreased 8.7% as compared to the nine months ended September 30, 2024, MC's net revenues declined as a result of reduced demand in Asia, most significantly in China, an unplanned equipment downtime in one of our production facilities. Further, full-year sales declines occurred in AEC, as a result of $54.3 million of adjustments to the CH-53K program based on our long-term contract estimates. Changes in currency translation rates decreased comparative segment net revenues by $4.0 million as compared to the prior year. AEC revenue declines are partially offset by higher activity levels on the LEAP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gross profit for the three months ended September 30, 2025, as compared to the three months ended September 30, 2024, was driven by increased cost assumptions that adjusted the expected profitability of the AEC segment's CH-53K long-term contracts and resulted in the recording of an expected loss provision of $147.3 million.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gross profit for the nine months ended September 30, 2025, as compared to the nine months ended September 30, 2024, was driven by increased cost assumptions that adjusted the expected profitability of certain long-term contracts in the AEC segment resulted in the recording of an expected loss provision of $157.6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Selling, General, and Administrative ("SG&amp;A")</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Consolidated SG&amp;A expenses decreased $0.2 million or 0.4% as compared to the three months ended September 30, 2024, primarily due to increased integration costs incurred in the prior year associated with the Heimbach acquisition.</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Consolidated SG&amp;A expenses increased $1.8 million or 1.1% as compared to the nine months ended September 30, 2024, primarily resulting from increases in global information services costs to improve security and employee productivity.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and Research 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and Nine Month Comparison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Consolidated Technical and research expenses increased by $0.6 million as compared to the three and nine months ended September 30, 2024, primarily due to new business ventures initiatives in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expense of $3.2 million in the three months ended September 30, 2025 were $0.9 million higher than expenses of $ 2.3 million in the three months ended September 30, 2024. Restructuring actions for the three month period are primarily a result of workforce reorganizational costs.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expense, net, of $9.9 million in the nine months ended September 30, 2025, increased by $3.3 million compared to $6.6 million in the nine months ended September 30, 2024. The change in restructuring actions for the nine month period are a result of workforce reductions, reorganizational costs, fixed asset impairments, and inventory write-off costs, offset by a pension curtailment gain.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net, increased over the prior year primarily due to higher average debt balances, in part offset by a larger amount of interest income earned on cash equivalents during the current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(income)/expense, net, included foreign currency related transactions which resulted in gains of $1.1 million and losses of $7.8 million in the three and nine months ended September 30, 2025, as compared to losses of $1.8 million and $0.7 million in the same periods last year. These changes were primarily the result of unrealized losses and gains on intercompany loans. In addition, changes in the fair value of derivative instruments included gains of $0.1 million and $3.4 million in the three and nine months ended September 30, 2025, as compared to gains of $0.5 million and losses of $3.8 million for the three and nine months ended September 30, 2024. Unrealized gains and losses on both derivative instruments and intercompany loans were driven by currency rate movements, most notably the Brazilian Real and Mexican Peso. Other (income)/expense, net also included a gain of $1.6 million from the divestiture of Arcari during the nine months ended September 30,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Income Tax Rate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top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rPr>
              <w:t>Three months ended September 30,</w:t>
            </w:r>
          </w:p>
        </w:tc>
        <w:tc>
          <w:tcPr>
            <w:tcW w:w="2740" w:type="dxa"/>
            <w:vAlign w:val="bottom"/>
            <w:tcBorders>
              <w:top w:val="single" w:sz="8" w:color="auto"/>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2024</w:t>
            </w:r>
          </w:p>
        </w:tc>
        <w:tc>
          <w:tcPr>
            <w:tcW w:w="1580" w:type="dxa"/>
            <w:vAlign w:val="bottom"/>
            <w:tcBorders>
              <w:bottom w:val="single" w:sz="8" w:color="auto"/>
            </w:tcBorders>
          </w:tcPr>
          <w:p>
            <w:pPr>
              <w:jc w:val="right"/>
              <w:ind w:right="745"/>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24"/>
        </w:trPr>
        <w:tc>
          <w:tcPr>
            <w:tcW w:w="6400" w:type="dxa"/>
            <w:vAlign w:val="bottom"/>
            <w:gridSpan w:val="2"/>
            <w:shd w:val="clear" w:color="auto" w:fill="CCEEFF"/>
          </w:tcPr>
          <w:p>
            <w:pPr>
              <w:jc w:val="right"/>
              <w:ind w:right="4328"/>
              <w:spacing w:after="0"/>
              <w:rPr>
                <w:sz w:val="20"/>
                <w:szCs w:val="20"/>
                <w:color w:val="auto"/>
              </w:rPr>
            </w:pPr>
            <w:r>
              <w:rPr>
                <w:rFonts w:ascii="Arial" w:cs="Arial" w:eastAsia="Arial" w:hAnsi="Arial"/>
                <w:sz w:val="18"/>
                <w:szCs w:val="18"/>
                <w:color w:val="auto"/>
              </w:rPr>
              <w:t>Effective income tax rate</w:t>
            </w:r>
          </w:p>
        </w:tc>
        <w:tc>
          <w:tcPr>
            <w:tcW w:w="8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20.0 %</w:t>
            </w:r>
          </w:p>
        </w:tc>
        <w:tc>
          <w:tcPr>
            <w:tcW w:w="12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6.6 %</w:t>
            </w:r>
          </w:p>
        </w:tc>
        <w:tc>
          <w:tcPr>
            <w:tcW w:w="1580" w:type="dxa"/>
            <w:vAlign w:val="bottom"/>
            <w:shd w:val="clear" w:color="auto" w:fill="CCEEFF"/>
          </w:tcPr>
          <w:p>
            <w:pPr>
              <w:jc w:val="right"/>
              <w:ind w:right="205"/>
              <w:spacing w:after="0"/>
              <w:rPr>
                <w:sz w:val="20"/>
                <w:szCs w:val="20"/>
                <w:color w:val="auto"/>
              </w:rPr>
            </w:pPr>
            <w:r>
              <w:rPr>
                <w:rFonts w:ascii="Arial" w:cs="Arial" w:eastAsia="Arial" w:hAnsi="Arial"/>
                <w:sz w:val="16"/>
                <w:szCs w:val="16"/>
                <w:b w:val="1"/>
                <w:bCs w:val="1"/>
                <w:color w:val="auto"/>
              </w:rPr>
              <w:t>16.4 %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23.9 %</w:t>
            </w: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2" w:name="page33"/>
    <w:bookmarkEnd w:id="32"/>
    <w:p>
      <w:pPr>
        <w:jc w:val="both"/>
        <w:spacing w:after="0" w:line="287" w:lineRule="auto"/>
        <w:rPr>
          <w:sz w:val="20"/>
          <w:szCs w:val="20"/>
          <w:color w:val="auto"/>
        </w:rPr>
      </w:pPr>
      <w:r>
        <w:rPr>
          <w:rFonts w:ascii="Arial" w:cs="Arial" w:eastAsia="Arial" w:hAnsi="Arial"/>
          <w:sz w:val="18"/>
          <w:szCs w:val="18"/>
          <w:color w:val="auto"/>
        </w:rPr>
        <w:t>fluctuations in the normal course of business, as well as the extent and location of other income and expense items, such as pension settlement and restructuring charges.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third quarter of 2025 was 20.0%, compared to 6.6% for the same period in 2024, mainly due to favorable discrete tax adjustments in the prior period exceeding favorable discrete tax adjustments in the current period. For more information, see </w:t>
      </w:r>
      <w:r>
        <w:rPr>
          <w:rFonts w:ascii="Arial" w:cs="Arial" w:eastAsia="Arial" w:hAnsi="Arial"/>
          <w:sz w:val="18"/>
          <w:szCs w:val="18"/>
          <w:i w:val="1"/>
          <w:iCs w:val="1"/>
          <w:color w:val="auto"/>
        </w:rPr>
        <w:t>Note 7, Income Taxes,</w:t>
      </w:r>
      <w:r>
        <w:rPr>
          <w:rFonts w:ascii="Arial" w:cs="Arial" w:eastAsia="Arial" w:hAnsi="Arial"/>
          <w:sz w:val="18"/>
          <w:szCs w:val="18"/>
          <w:color w:val="auto"/>
        </w:rPr>
        <w:t xml:space="preserve"> in the Notes to the Consolidated Financial Statements.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Organization for Economic Co-operation and Development has issued Pillar Two model rules introducing a new global minimum tax of 15 percent intended to be effective on January 1, 2024. While the U.S. has not yet adopted the Pillar Two rules, various other governments around the world are enacting legislation. As currently designed, Pillar Two will ultimately apply to our worldwide operations. Although we do not expect these rules to materially increase our global tax costs in 2025, there remains uncertainty as to the final Pillar Two model rules. We will continue to monitor U.S. and global legislative action related to Pillar Two for potential impacts.</w:t>
      </w:r>
    </w:p>
    <w:p>
      <w:pPr>
        <w:spacing w:after="0" w:line="1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July 4, 2025, the One Big Beautiful Bill (OBBB) Act, which includes a broad range of tax reform provisions, was signed into law in the United States and we continue to assess its impact.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Gross Profit: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197"/>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2"/>
        </w:trPr>
        <w:tc>
          <w:tcPr>
            <w:tcW w:w="2940" w:type="dxa"/>
            <w:vAlign w:val="bottom"/>
          </w:tcPr>
          <w:p>
            <w:pPr>
              <w:ind w:left="140"/>
              <w:spacing w:after="0"/>
              <w:rPr>
                <w:sz w:val="20"/>
                <w:szCs w:val="20"/>
                <w:color w:val="auto"/>
              </w:rPr>
            </w:pPr>
            <w:r>
              <w:rPr>
                <w:rFonts w:ascii="Arial" w:cs="Arial" w:eastAsia="Arial" w:hAnsi="Arial"/>
                <w:sz w:val="14"/>
                <w:szCs w:val="14"/>
                <w:color w:val="auto"/>
              </w:rPr>
              <w:t>Machine Clothing</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174,950</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183,033</w:t>
            </w: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530,573</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561,828</w:t>
            </w:r>
          </w:p>
        </w:tc>
        <w:tc>
          <w:tcPr>
            <w:tcW w:w="11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3"/>
        </w:trPr>
        <w:tc>
          <w:tcPr>
            <w:tcW w:w="2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Albany Engineered Composites</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86,484</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115,353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331,034</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381,882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9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Consolidated total</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261,434</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298,386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861,607</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943,710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197"/>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 Gross profit</w:t>
            </w: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2"/>
        </w:trPr>
        <w:tc>
          <w:tcPr>
            <w:tcW w:w="2940" w:type="dxa"/>
            <w:vAlign w:val="bottom"/>
          </w:tcPr>
          <w:p>
            <w:pPr>
              <w:ind w:left="140"/>
              <w:spacing w:after="0"/>
              <w:rPr>
                <w:sz w:val="20"/>
                <w:szCs w:val="20"/>
                <w:color w:val="auto"/>
              </w:rPr>
            </w:pPr>
            <w:r>
              <w:rPr>
                <w:rFonts w:ascii="Arial" w:cs="Arial" w:eastAsia="Arial" w:hAnsi="Arial"/>
                <w:sz w:val="14"/>
                <w:szCs w:val="14"/>
                <w:color w:val="auto"/>
              </w:rPr>
              <w:t>Machine Clothing</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82,070</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88,921</w:t>
            </w:r>
          </w:p>
        </w:tc>
        <w:tc>
          <w:tcPr>
            <w:tcW w:w="1140" w:type="dxa"/>
            <w:vAlign w:val="bottom"/>
          </w:tcPr>
          <w:p>
            <w:pPr>
              <w:jc w:val="right"/>
              <w:spacing w:after="0"/>
              <w:rPr>
                <w:sz w:val="20"/>
                <w:szCs w:val="20"/>
                <w:color w:val="auto"/>
              </w:rPr>
            </w:pPr>
            <w:r>
              <w:rPr>
                <w:rFonts w:ascii="Arial" w:cs="Arial" w:eastAsia="Arial" w:hAnsi="Arial"/>
                <w:sz w:val="14"/>
                <w:szCs w:val="14"/>
                <w:color w:val="auto"/>
              </w:rPr>
              <w:t>(7.7)%</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245,731</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262,449</w:t>
            </w:r>
          </w:p>
        </w:tc>
        <w:tc>
          <w:tcPr>
            <w:tcW w:w="114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3"/>
        </w:trPr>
        <w:tc>
          <w:tcPr>
            <w:tcW w:w="2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Albany Engineered Composites</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(132,008)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1,463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(9123.1)%</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(101,676)</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49,004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(307.5)%</w:t>
            </w:r>
          </w:p>
        </w:tc>
      </w:tr>
      <w:tr>
        <w:trPr>
          <w:trHeight w:val="195"/>
        </w:trPr>
        <w:tc>
          <w:tcPr>
            <w:tcW w:w="2940" w:type="dxa"/>
            <w:vAlign w:val="bottom"/>
          </w:tcPr>
          <w:p>
            <w:pPr>
              <w:ind w:left="20"/>
              <w:spacing w:after="0"/>
              <w:rPr>
                <w:sz w:val="20"/>
                <w:szCs w:val="20"/>
                <w:color w:val="auto"/>
              </w:rPr>
            </w:pPr>
            <w:r>
              <w:rPr>
                <w:rFonts w:ascii="Arial" w:cs="Arial" w:eastAsia="Arial" w:hAnsi="Arial"/>
                <w:sz w:val="14"/>
                <w:szCs w:val="14"/>
                <w:color w:val="auto"/>
              </w:rPr>
              <w:t>Consolidated total</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(49,938)</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90,384</w:t>
            </w:r>
          </w:p>
        </w:tc>
        <w:tc>
          <w:tcPr>
            <w:tcW w:w="1140" w:type="dxa"/>
            <w:vAlign w:val="bottom"/>
          </w:tcPr>
          <w:p>
            <w:pPr>
              <w:jc w:val="right"/>
              <w:spacing w:after="0"/>
              <w:rPr>
                <w:sz w:val="20"/>
                <w:szCs w:val="20"/>
                <w:color w:val="auto"/>
              </w:rPr>
            </w:pPr>
            <w:r>
              <w:rPr>
                <w:rFonts w:ascii="Arial" w:cs="Arial" w:eastAsia="Arial" w:hAnsi="Arial"/>
                <w:sz w:val="14"/>
                <w:szCs w:val="14"/>
                <w:color w:val="auto"/>
              </w:rPr>
              <w:t>(155.3)%</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144,055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311,453</w:t>
            </w:r>
          </w:p>
        </w:tc>
        <w:tc>
          <w:tcPr>
            <w:tcW w:w="1140" w:type="dxa"/>
            <w:vAlign w:val="bottom"/>
          </w:tcPr>
          <w:p>
            <w:pPr>
              <w:jc w:val="right"/>
              <w:spacing w:after="0"/>
              <w:rPr>
                <w:sz w:val="20"/>
                <w:szCs w:val="20"/>
                <w:color w:val="auto"/>
              </w:rPr>
            </w:pPr>
            <w:r>
              <w:rPr>
                <w:rFonts w:ascii="Arial" w:cs="Arial" w:eastAsia="Arial" w:hAnsi="Arial"/>
                <w:sz w:val="14"/>
                <w:szCs w:val="14"/>
                <w:color w:val="auto"/>
              </w:rPr>
              <w:t>(53.7)%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Gross profit margin</w:t>
            </w:r>
          </w:p>
        </w:tc>
        <w:tc>
          <w:tcPr>
            <w:tcW w:w="194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rPr>
                <w:sz w:val="17"/>
                <w:szCs w:val="17"/>
                <w:color w:val="auto"/>
              </w:rPr>
            </w:pPr>
          </w:p>
        </w:tc>
      </w:tr>
      <w:tr>
        <w:trPr>
          <w:trHeight w:val="201"/>
        </w:trPr>
        <w:tc>
          <w:tcPr>
            <w:tcW w:w="3260" w:type="dxa"/>
            <w:vAlign w:val="bottom"/>
          </w:tcPr>
          <w:p>
            <w:pPr>
              <w:ind w:left="140"/>
              <w:spacing w:after="0"/>
              <w:rPr>
                <w:sz w:val="20"/>
                <w:szCs w:val="20"/>
                <w:color w:val="auto"/>
              </w:rPr>
            </w:pPr>
            <w:r>
              <w:rPr>
                <w:rFonts w:ascii="Arial" w:cs="Arial" w:eastAsia="Arial" w:hAnsi="Arial"/>
                <w:sz w:val="14"/>
                <w:szCs w:val="14"/>
                <w:i w:val="1"/>
                <w:iCs w:val="1"/>
                <w:color w:val="auto"/>
              </w:rPr>
              <w:t>% of Segment net revenues - MC</w:t>
            </w:r>
          </w:p>
        </w:tc>
        <w:tc>
          <w:tcPr>
            <w:tcW w:w="1940" w:type="dxa"/>
            <w:vAlign w:val="bottom"/>
          </w:tcPr>
          <w:p>
            <w:pPr>
              <w:jc w:val="right"/>
              <w:ind w:right="368"/>
              <w:spacing w:after="0"/>
              <w:rPr>
                <w:sz w:val="20"/>
                <w:szCs w:val="20"/>
                <w:color w:val="auto"/>
              </w:rPr>
            </w:pPr>
            <w:r>
              <w:rPr>
                <w:rFonts w:ascii="Arial" w:cs="Arial" w:eastAsia="Arial" w:hAnsi="Arial"/>
                <w:sz w:val="14"/>
                <w:szCs w:val="14"/>
                <w:b w:val="1"/>
                <w:bCs w:val="1"/>
                <w:i w:val="1"/>
                <w:iCs w:val="1"/>
                <w:color w:val="auto"/>
              </w:rPr>
              <w:t>46.9 %</w:t>
            </w:r>
          </w:p>
        </w:tc>
        <w:tc>
          <w:tcPr>
            <w:tcW w:w="1920" w:type="dxa"/>
            <w:vAlign w:val="bottom"/>
          </w:tcPr>
          <w:p>
            <w:pPr>
              <w:jc w:val="right"/>
              <w:ind w:right="948"/>
              <w:spacing w:after="0"/>
              <w:rPr>
                <w:sz w:val="20"/>
                <w:szCs w:val="20"/>
                <w:color w:val="auto"/>
              </w:rPr>
            </w:pPr>
            <w:r>
              <w:rPr>
                <w:rFonts w:ascii="Arial" w:cs="Arial" w:eastAsia="Arial" w:hAnsi="Arial"/>
                <w:sz w:val="14"/>
                <w:szCs w:val="14"/>
                <w:i w:val="1"/>
                <w:iCs w:val="1"/>
                <w:color w:val="auto"/>
              </w:rPr>
              <w:t>48.6 %</w:t>
            </w:r>
          </w:p>
        </w:tc>
        <w:tc>
          <w:tcPr>
            <w:tcW w:w="1980" w:type="dxa"/>
            <w:vAlign w:val="bottom"/>
          </w:tcPr>
          <w:p>
            <w:pPr>
              <w:jc w:val="right"/>
              <w:ind w:right="368"/>
              <w:spacing w:after="0"/>
              <w:rPr>
                <w:sz w:val="20"/>
                <w:szCs w:val="20"/>
                <w:color w:val="auto"/>
              </w:rPr>
            </w:pPr>
            <w:r>
              <w:rPr>
                <w:rFonts w:ascii="Arial" w:cs="Arial" w:eastAsia="Arial" w:hAnsi="Arial"/>
                <w:sz w:val="14"/>
                <w:szCs w:val="14"/>
                <w:b w:val="1"/>
                <w:bCs w:val="1"/>
                <w:i w:val="1"/>
                <w:iCs w:val="1"/>
                <w:color w:val="auto"/>
              </w:rPr>
              <w:t>46.3 %</w:t>
            </w:r>
          </w:p>
        </w:tc>
        <w:tc>
          <w:tcPr>
            <w:tcW w:w="2140" w:type="dxa"/>
            <w:vAlign w:val="bottom"/>
          </w:tcPr>
          <w:p>
            <w:pPr>
              <w:jc w:val="right"/>
              <w:ind w:right="1168"/>
              <w:spacing w:after="0"/>
              <w:rPr>
                <w:sz w:val="20"/>
                <w:szCs w:val="20"/>
                <w:color w:val="auto"/>
              </w:rPr>
            </w:pPr>
            <w:r>
              <w:rPr>
                <w:rFonts w:ascii="Arial" w:cs="Arial" w:eastAsia="Arial" w:hAnsi="Arial"/>
                <w:sz w:val="14"/>
                <w:szCs w:val="14"/>
                <w:i w:val="1"/>
                <w:iCs w:val="1"/>
                <w:color w:val="auto"/>
              </w:rPr>
              <w:t>46.7 %</w:t>
            </w:r>
          </w:p>
        </w:tc>
      </w:tr>
      <w:tr>
        <w:trPr>
          <w:trHeight w:val="204"/>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 of Segment net revenues - AEC</w:t>
            </w:r>
          </w:p>
        </w:tc>
        <w:tc>
          <w:tcPr>
            <w:tcW w:w="194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i w:val="1"/>
                <w:iCs w:val="1"/>
                <w:color w:val="auto"/>
              </w:rPr>
              <w:t>(152.6)%</w:t>
            </w:r>
          </w:p>
        </w:tc>
        <w:tc>
          <w:tcPr>
            <w:tcW w:w="1920" w:type="dxa"/>
            <w:vAlign w:val="bottom"/>
            <w:shd w:val="clear" w:color="auto" w:fill="CCEEFF"/>
          </w:tcPr>
          <w:p>
            <w:pPr>
              <w:jc w:val="right"/>
              <w:ind w:right="948"/>
              <w:spacing w:after="0"/>
              <w:rPr>
                <w:sz w:val="20"/>
                <w:szCs w:val="20"/>
                <w:color w:val="auto"/>
              </w:rPr>
            </w:pPr>
            <w:r>
              <w:rPr>
                <w:rFonts w:ascii="Arial" w:cs="Arial" w:eastAsia="Arial" w:hAnsi="Arial"/>
                <w:sz w:val="14"/>
                <w:szCs w:val="14"/>
                <w:i w:val="1"/>
                <w:iCs w:val="1"/>
                <w:color w:val="auto"/>
              </w:rPr>
              <w:t>1.3 %</w:t>
            </w:r>
          </w:p>
        </w:tc>
        <w:tc>
          <w:tcPr>
            <w:tcW w:w="19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i w:val="1"/>
                <w:iCs w:val="1"/>
                <w:color w:val="auto"/>
              </w:rPr>
              <w:t>(30.7)%</w:t>
            </w:r>
          </w:p>
        </w:tc>
        <w:tc>
          <w:tcPr>
            <w:tcW w:w="2140" w:type="dxa"/>
            <w:vAlign w:val="bottom"/>
            <w:shd w:val="clear" w:color="auto" w:fill="CCEEFF"/>
          </w:tcPr>
          <w:p>
            <w:pPr>
              <w:jc w:val="right"/>
              <w:ind w:right="1168"/>
              <w:spacing w:after="0"/>
              <w:rPr>
                <w:sz w:val="20"/>
                <w:szCs w:val="20"/>
                <w:color w:val="auto"/>
              </w:rPr>
            </w:pPr>
            <w:r>
              <w:rPr>
                <w:rFonts w:ascii="Arial" w:cs="Arial" w:eastAsia="Arial" w:hAnsi="Arial"/>
                <w:sz w:val="14"/>
                <w:szCs w:val="14"/>
                <w:i w:val="1"/>
                <w:iCs w:val="1"/>
                <w:color w:val="auto"/>
              </w:rPr>
              <w:t>12.8 %</w:t>
            </w:r>
          </w:p>
        </w:tc>
      </w:tr>
      <w:tr>
        <w:trPr>
          <w:trHeight w:val="201"/>
        </w:trPr>
        <w:tc>
          <w:tcPr>
            <w:tcW w:w="326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 of Consolidated net revenues</w:t>
            </w:r>
          </w:p>
        </w:tc>
        <w:tc>
          <w:tcPr>
            <w:tcW w:w="1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i w:val="1"/>
                <w:iCs w:val="1"/>
                <w:color w:val="auto"/>
              </w:rPr>
              <w:t>(19.1)%</w:t>
            </w:r>
          </w:p>
        </w:tc>
        <w:tc>
          <w:tcPr>
            <w:tcW w:w="19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i w:val="1"/>
                <w:iCs w:val="1"/>
                <w:color w:val="auto"/>
              </w:rPr>
              <w:t>30.3 %</w:t>
            </w:r>
          </w:p>
        </w:tc>
        <w:tc>
          <w:tcPr>
            <w:tcW w:w="1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i w:val="1"/>
                <w:iCs w:val="1"/>
                <w:color w:val="auto"/>
              </w:rPr>
              <w:t>16.7 %</w:t>
            </w:r>
          </w:p>
        </w:tc>
        <w:tc>
          <w:tcPr>
            <w:tcW w:w="214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i w:val="1"/>
                <w:iCs w:val="1"/>
                <w:color w:val="auto"/>
              </w:rPr>
              <w:t>33.0 %</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September 30, 2025, MC segment net revenues decreased $8.1 million or 4.4% as compared to the three months ended September 30, 2024, driven by reduced demand in Asia, particularly in China while all other regions remained stable. In addition, changes in currency translation rates had the effect of decreasing segment net revenues $2.6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2025, MC segment gross profit decreased by $6.9 million, primarily the result of lower revenues during the third quarter of 2025 as the gross profit margin decreased to 46.9% compared to 48.6% for the three months ended September 30, 2024. Gross margin was primarily impacted by lower Asia sales volume partially offset by the benefits of ongoing footprint optimization initiatives. Going forward, we will continue to execute our plan of rationalizing production across our network of facilities in order to realize productivity movements.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2025, MC segment net revenues decreased $31.3 million or 5.6% as compared to the nine months ended September 30, 2024, driven by reduced demand in Asia, particularly in China,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8"/>
          <w:szCs w:val="18"/>
          <w:color w:val="auto"/>
        </w:rPr>
        <w:t>and an unplanned equipment downtime in one of our production facilities. In addition, changes in currency translation rates decreased comparative segment net revenues by $3.1 million as compared to the prior year.</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2025, MC segment gross profit decreased by $16.7 million, primarily the result of lower revenues during the nine months of 2025 and unplanned equipment downtime in one of our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("AEC") Segment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September 30, 2025, segment net revenues decreased $28.9 million or 25.0% as compared to the three months ended September 30, 2024. This decrease is primarily driven by $46.0 million of revenue adjustments to the CH-53K program based on our long-term contract estimates. These reductions are partially offset by higher activity levels in the LEAP program.</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AEC is party to contracts with certain customers, including its contract for the LEAP program, where revenue is determined by a cost-plus-fee agreement. Revenue earned under these arrangements accounted for approximately 50 percent and 33 percent of segment revenue for the three months ended September 30, 2025 and September 30, 2024, respectively.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2025, segment gross profit decreased $133.5 million as compared to the three months ended September 30, 2024. This decrease in gross profit was driven primarily by approximately $147.3 million of increased life of contract cost assumptions surrounding the estimated profitability of our CH-53K long-term contracts. For the three months ended September 30, 2024, adjustments in the estimated profitability of long-term contracts decreased segment gross profit $13.3 million. Subsequent to quarter end, the Company announced that it has initiated a strategic review of its structures assembly business, including the CH-53K program and its production site. The strategic review may include a potential sale of all or part of the site.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2025, segment net revenues decreased $50.8 million or 13.3% as compared to the nine months ended September 30, 2024. This decrease is primarily driven by $54.3 million of revenue adjustments to the CH-53K program based on our long-term contract estimates. These reductions are partially offset by higher activity levels in the LEAP program.</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AEC is party to contracts with certain customers, including its contract for the LEAP program, where revenue is determined by a cost-plus-fee agreement. Revenue earned under these arrangements accounted for approximately 37 percent and 40 percent of segment revenue for the first nine months of 2025 and 2024, respectively.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2025, segment gross profit decreased $150.7 million as compared to the nine months ended September 30, 2024. This decrease in gross profit was driven primarily by changes in the estimated profitability of our CH-53K and other long-term contracts, including the recognition of an estimated loss reserve on CH-53K, which decreased gross profit by $157.6 million and $13.3 million in 2025 and 2024, respectively due to increased material, labor, and overhead cost assumptions. For the nine months ended September 30, 2024, adjustments in the estimated profitability of long-term contracts decreased segment gross profit $28.3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Segment Operating Expenses, Segment Operating Income/(loss):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selling, general and administrative expenses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Arial" w:cs="Arial" w:eastAsia="Arial" w:hAnsi="Arial"/>
                <w:sz w:val="14"/>
                <w:szCs w:val="14"/>
                <w:color w:val="auto"/>
              </w:rPr>
              <w:t>Machine Clothing</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30,291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32,048</w:t>
            </w: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98,841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95,384</w:t>
            </w: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Segment net revenues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17.3 %</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17.5 %</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(20) bp</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18.6 %</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17.0 %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bp</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Arial" w:cs="Arial" w:eastAsia="Arial" w:hAnsi="Arial"/>
                <w:sz w:val="14"/>
                <w:szCs w:val="14"/>
                <w:color w:val="auto"/>
              </w:rPr>
              <w:t>Albany Engineered Composites</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12,218</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11,923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34,121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36,249</w:t>
            </w: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Segment net revenues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14.1 %</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10.3 %</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379</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bp</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10.3 %</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9.5 %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bp</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Arial" w:cs="Arial" w:eastAsia="Arial" w:hAnsi="Arial"/>
                <w:sz w:val="14"/>
                <w:szCs w:val="14"/>
                <w:color w:val="auto"/>
              </w:rPr>
              <w:t>Corporate</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9,396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8,126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31,257</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30,814</w:t>
            </w: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i w:val="1"/>
                <w:iCs w:val="1"/>
                <w:color w:val="auto"/>
              </w:rPr>
              <w:t>% of Consolidated net revenues</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3.6 %</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2.7 %</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87</w:t>
            </w:r>
          </w:p>
        </w:tc>
        <w:tc>
          <w:tcPr>
            <w:tcW w:w="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bp</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3.6 %</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3.3 %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bp</w:t>
            </w:r>
          </w:p>
        </w:tc>
        <w:tc>
          <w:tcPr>
            <w:tcW w:w="0" w:type="dxa"/>
            <w:vAlign w:val="bottom"/>
          </w:tcPr>
          <w:p>
            <w:pPr>
              <w:spacing w:after="0"/>
              <w:rPr>
                <w:sz w:val="1"/>
                <w:szCs w:val="1"/>
                <w:color w:val="auto"/>
              </w:rPr>
            </w:pPr>
          </w:p>
        </w:tc>
      </w:tr>
      <w:tr>
        <w:trPr>
          <w:trHeight w:val="143"/>
        </w:trPr>
        <w:tc>
          <w:tcPr>
            <w:tcW w:w="3700" w:type="dxa"/>
            <w:vAlign w:val="bottom"/>
          </w:tcPr>
          <w:p>
            <w:pPr>
              <w:ind w:left="20"/>
              <w:spacing w:after="0" w:line="143" w:lineRule="exact"/>
              <w:rPr>
                <w:sz w:val="20"/>
                <w:szCs w:val="20"/>
                <w:color w:val="auto"/>
              </w:rPr>
            </w:pPr>
            <w:r>
              <w:rPr>
                <w:rFonts w:ascii="Arial" w:cs="Arial" w:eastAsia="Arial" w:hAnsi="Arial"/>
                <w:sz w:val="14"/>
                <w:szCs w:val="14"/>
                <w:color w:val="auto"/>
              </w:rPr>
              <w:t>Consolidated total selling, general and administrative</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51,905</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color w:val="auto"/>
              </w:rPr>
              <w:t>52,097</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164,219</w:t>
            </w: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162,447</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expenses</w:t>
            </w:r>
          </w:p>
        </w:tc>
        <w:tc>
          <w:tcPr>
            <w:tcW w:w="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technical and research expenses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00" w:type="dxa"/>
            <w:vAlign w:val="bottom"/>
          </w:tcPr>
          <w:p>
            <w:pPr>
              <w:ind w:left="140"/>
              <w:spacing w:after="0"/>
              <w:rPr>
                <w:sz w:val="20"/>
                <w:szCs w:val="20"/>
                <w:color w:val="auto"/>
              </w:rPr>
            </w:pPr>
            <w:r>
              <w:rPr>
                <w:rFonts w:ascii="Arial" w:cs="Arial" w:eastAsia="Arial" w:hAnsi="Arial"/>
                <w:sz w:val="14"/>
                <w:szCs w:val="14"/>
                <w:color w:val="auto"/>
              </w:rPr>
              <w:t>Machine Clothing</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6,716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7,042</w:t>
            </w: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21,332</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22,066</w:t>
            </w:r>
          </w:p>
        </w:tc>
        <w:tc>
          <w:tcPr>
            <w:tcW w:w="820" w:type="dxa"/>
            <w:vAlign w:val="bottom"/>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Segment net revenues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3.8 %</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3.8 %</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(1) bp</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4.0 %</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3.9 %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bp</w:t>
            </w:r>
          </w:p>
        </w:tc>
        <w:tc>
          <w:tcPr>
            <w:tcW w:w="0" w:type="dxa"/>
            <w:vAlign w:val="bottom"/>
          </w:tcPr>
          <w:p>
            <w:pPr>
              <w:spacing w:after="0"/>
              <w:rPr>
                <w:sz w:val="1"/>
                <w:szCs w:val="1"/>
                <w:color w:val="auto"/>
              </w:rPr>
            </w:pPr>
          </w:p>
        </w:tc>
      </w:tr>
      <w:tr>
        <w:trPr>
          <w:trHeight w:val="201"/>
        </w:trPr>
        <w:tc>
          <w:tcPr>
            <w:tcW w:w="3700" w:type="dxa"/>
            <w:vAlign w:val="bottom"/>
          </w:tcPr>
          <w:p>
            <w:pPr>
              <w:ind w:left="140"/>
              <w:spacing w:after="0"/>
              <w:rPr>
                <w:sz w:val="20"/>
                <w:szCs w:val="20"/>
                <w:color w:val="auto"/>
              </w:rPr>
            </w:pPr>
            <w:r>
              <w:rPr>
                <w:rFonts w:ascii="Arial" w:cs="Arial" w:eastAsia="Arial" w:hAnsi="Arial"/>
                <w:sz w:val="14"/>
                <w:szCs w:val="14"/>
                <w:color w:val="auto"/>
              </w:rPr>
              <w:t>Albany Engineered Composites</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3,673</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3,802</w:t>
            </w: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11,472</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13,303</w:t>
            </w:r>
          </w:p>
        </w:tc>
        <w:tc>
          <w:tcPr>
            <w:tcW w:w="820" w:type="dxa"/>
            <w:vAlign w:val="bottom"/>
          </w:tcPr>
          <w:p>
            <w:pPr>
              <w:jc w:val="right"/>
              <w:spacing w:after="0"/>
              <w:rPr>
                <w:sz w:val="20"/>
                <w:szCs w:val="20"/>
                <w:color w:val="auto"/>
              </w:rPr>
            </w:pPr>
            <w:r>
              <w:rPr>
                <w:rFonts w:ascii="Arial" w:cs="Arial" w:eastAsia="Arial" w:hAnsi="Arial"/>
                <w:sz w:val="14"/>
                <w:szCs w:val="14"/>
                <w:color w:val="auto"/>
              </w:rPr>
              <w:t>(13.8)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Segment net revenues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4.2 %</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3.3 %</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95</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bp</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3.5 %</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3.5 %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(2) bp</w:t>
            </w:r>
          </w:p>
        </w:tc>
        <w:tc>
          <w:tcPr>
            <w:tcW w:w="0" w:type="dxa"/>
            <w:vAlign w:val="bottom"/>
          </w:tcPr>
          <w:p>
            <w:pPr>
              <w:spacing w:after="0"/>
              <w:rPr>
                <w:sz w:val="1"/>
                <w:szCs w:val="1"/>
                <w:color w:val="auto"/>
              </w:rPr>
            </w:pPr>
          </w:p>
        </w:tc>
      </w:tr>
      <w:tr>
        <w:trPr>
          <w:trHeight w:val="201"/>
        </w:trPr>
        <w:tc>
          <w:tcPr>
            <w:tcW w:w="3700" w:type="dxa"/>
            <w:vAlign w:val="bottom"/>
          </w:tcPr>
          <w:p>
            <w:pPr>
              <w:ind w:left="140"/>
              <w:spacing w:after="0"/>
              <w:rPr>
                <w:sz w:val="20"/>
                <w:szCs w:val="20"/>
                <w:color w:val="auto"/>
              </w:rPr>
            </w:pPr>
            <w:r>
              <w:rPr>
                <w:rFonts w:ascii="Arial" w:cs="Arial" w:eastAsia="Arial" w:hAnsi="Arial"/>
                <w:sz w:val="14"/>
                <w:szCs w:val="14"/>
                <w:color w:val="auto"/>
              </w:rPr>
              <w:t>Corporate</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1,078</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3,111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i w:val="1"/>
                <w:iCs w:val="1"/>
                <w:color w:val="auto"/>
              </w:rPr>
              <w:t>% of Consolidated net revenues</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0.4 %</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 %</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41</w:t>
            </w:r>
          </w:p>
        </w:tc>
        <w:tc>
          <w:tcPr>
            <w:tcW w:w="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bp</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0.4 %</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bp</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Consolidated total technical and research expenses</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11,467</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10,844</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35,915</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35,369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restructuring expenses, net</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00" w:type="dxa"/>
            <w:vAlign w:val="bottom"/>
          </w:tcPr>
          <w:p>
            <w:pPr>
              <w:ind w:left="140"/>
              <w:spacing w:after="0"/>
              <w:rPr>
                <w:sz w:val="20"/>
                <w:szCs w:val="20"/>
                <w:color w:val="auto"/>
              </w:rPr>
            </w:pPr>
            <w:r>
              <w:rPr>
                <w:rFonts w:ascii="Arial" w:cs="Arial" w:eastAsia="Arial" w:hAnsi="Arial"/>
                <w:sz w:val="14"/>
                <w:szCs w:val="14"/>
                <w:color w:val="auto"/>
              </w:rPr>
              <w:t>Machine Clothing</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1,960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2,207</w:t>
            </w: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6,322</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3,294</w:t>
            </w:r>
          </w:p>
        </w:tc>
        <w:tc>
          <w:tcPr>
            <w:tcW w:w="820" w:type="dxa"/>
            <w:vAlign w:val="bottom"/>
          </w:tcPr>
          <w:p>
            <w:pPr>
              <w:jc w:val="right"/>
              <w:spacing w:after="0"/>
              <w:rPr>
                <w:sz w:val="20"/>
                <w:szCs w:val="20"/>
                <w:color w:val="auto"/>
              </w:rPr>
            </w:pPr>
            <w:r>
              <w:rPr>
                <w:rFonts w:ascii="Arial" w:cs="Arial" w:eastAsia="Arial" w:hAnsi="Arial"/>
                <w:sz w:val="14"/>
                <w:szCs w:val="14"/>
                <w:color w:val="auto"/>
              </w:rPr>
              <w:t>91.9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Segment net revenues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1.1 %</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1.2 %</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(9) bp</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1.2 %</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0.6 %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bp</w:t>
            </w:r>
          </w:p>
        </w:tc>
        <w:tc>
          <w:tcPr>
            <w:tcW w:w="0" w:type="dxa"/>
            <w:vAlign w:val="bottom"/>
          </w:tcPr>
          <w:p>
            <w:pPr>
              <w:spacing w:after="0"/>
              <w:rPr>
                <w:sz w:val="1"/>
                <w:szCs w:val="1"/>
                <w:color w:val="auto"/>
              </w:rPr>
            </w:pPr>
          </w:p>
        </w:tc>
      </w:tr>
      <w:tr>
        <w:trPr>
          <w:trHeight w:val="201"/>
        </w:trPr>
        <w:tc>
          <w:tcPr>
            <w:tcW w:w="3700" w:type="dxa"/>
            <w:vAlign w:val="bottom"/>
          </w:tcPr>
          <w:p>
            <w:pPr>
              <w:ind w:left="140"/>
              <w:spacing w:after="0"/>
              <w:rPr>
                <w:sz w:val="20"/>
                <w:szCs w:val="20"/>
                <w:color w:val="auto"/>
              </w:rPr>
            </w:pPr>
            <w:r>
              <w:rPr>
                <w:rFonts w:ascii="Arial" w:cs="Arial" w:eastAsia="Arial" w:hAnsi="Arial"/>
                <w:sz w:val="14"/>
                <w:szCs w:val="14"/>
                <w:color w:val="auto"/>
              </w:rPr>
              <w:t>Albany Engineered Composites</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113</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34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232.4</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1,801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3,144</w:t>
            </w:r>
          </w:p>
        </w:tc>
        <w:tc>
          <w:tcPr>
            <w:tcW w:w="820" w:type="dxa"/>
            <w:vAlign w:val="bottom"/>
          </w:tcPr>
          <w:p>
            <w:pPr>
              <w:jc w:val="right"/>
              <w:spacing w:after="0"/>
              <w:rPr>
                <w:sz w:val="20"/>
                <w:szCs w:val="20"/>
                <w:color w:val="auto"/>
              </w:rPr>
            </w:pPr>
            <w:r>
              <w:rPr>
                <w:rFonts w:ascii="Arial" w:cs="Arial" w:eastAsia="Arial" w:hAnsi="Arial"/>
                <w:sz w:val="14"/>
                <w:szCs w:val="14"/>
                <w:color w:val="auto"/>
              </w:rPr>
              <w:t>(42.7)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Segment net revenues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0.1 %</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 %</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10</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bp</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0.5 %</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0.8 %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(28) bp</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Arial" w:cs="Arial" w:eastAsia="Arial" w:hAnsi="Arial"/>
                <w:sz w:val="14"/>
                <w:szCs w:val="14"/>
                <w:color w:val="auto"/>
              </w:rPr>
              <w:t>Corporate</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1,124</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31</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3525.8</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1,772</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146</w:t>
            </w:r>
          </w:p>
        </w:tc>
        <w:tc>
          <w:tcPr>
            <w:tcW w:w="820" w:type="dxa"/>
            <w:vAlign w:val="bottom"/>
          </w:tcPr>
          <w:p>
            <w:pPr>
              <w:jc w:val="right"/>
              <w:spacing w:after="0"/>
              <w:rPr>
                <w:sz w:val="20"/>
                <w:szCs w:val="20"/>
                <w:color w:val="auto"/>
              </w:rPr>
            </w:pPr>
            <w:r>
              <w:rPr>
                <w:rFonts w:ascii="Arial" w:cs="Arial" w:eastAsia="Arial" w:hAnsi="Arial"/>
                <w:sz w:val="14"/>
                <w:szCs w:val="14"/>
                <w:color w:val="auto"/>
              </w:rPr>
              <w:t>1113.7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i w:val="1"/>
                <w:iCs w:val="1"/>
                <w:color w:val="auto"/>
              </w:rPr>
              <w:t>% of Consolidated net revenues</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0.4 %</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 %</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42</w:t>
            </w:r>
          </w:p>
        </w:tc>
        <w:tc>
          <w:tcPr>
            <w:tcW w:w="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i w:val="1"/>
                <w:iCs w:val="1"/>
                <w:color w:val="auto"/>
              </w:rPr>
              <w:t>bp</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0.2 %</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bp</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Consolidated total restructuring expenses, net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3,197</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2,272</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w:t>
            </w: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9,895</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6,584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Operating income/(loss)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Arial" w:cs="Arial" w:eastAsia="Arial" w:hAnsi="Arial"/>
                <w:sz w:val="14"/>
                <w:szCs w:val="14"/>
                <w:color w:val="auto"/>
              </w:rPr>
              <w:t>Machine Clothing</w:t>
            </w: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43,103</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47,624</w:t>
            </w:r>
          </w:p>
        </w:tc>
        <w:tc>
          <w:tcPr>
            <w:tcW w:w="840" w:type="dxa"/>
            <w:vAlign w:val="bottom"/>
          </w:tcPr>
          <w:p>
            <w:pPr>
              <w:jc w:val="right"/>
              <w:spacing w:after="0"/>
              <w:rPr>
                <w:sz w:val="20"/>
                <w:szCs w:val="20"/>
                <w:color w:val="auto"/>
              </w:rPr>
            </w:pPr>
            <w:r>
              <w:rPr>
                <w:rFonts w:ascii="Arial" w:cs="Arial" w:eastAsia="Arial" w:hAnsi="Arial"/>
                <w:sz w:val="14"/>
                <w:szCs w:val="14"/>
                <w:color w:val="auto"/>
              </w:rPr>
              <w:t>(9.5)</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119,236</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141,705</w:t>
            </w:r>
          </w:p>
        </w:tc>
        <w:tc>
          <w:tcPr>
            <w:tcW w:w="820" w:type="dxa"/>
            <w:vAlign w:val="bottom"/>
          </w:tcPr>
          <w:p>
            <w:pPr>
              <w:jc w:val="right"/>
              <w:spacing w:after="0"/>
              <w:rPr>
                <w:sz w:val="20"/>
                <w:szCs w:val="20"/>
                <w:color w:val="auto"/>
              </w:rPr>
            </w:pPr>
            <w:r>
              <w:rPr>
                <w:rFonts w:ascii="Arial" w:cs="Arial" w:eastAsia="Arial" w:hAnsi="Arial"/>
                <w:sz w:val="14"/>
                <w:szCs w:val="14"/>
                <w:color w:val="auto"/>
              </w:rPr>
              <w:t>(15.9)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Albany Engineered Composites</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(148,012)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(14,296)</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935.3</w:t>
            </w: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(149,070)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(3,692)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3937.6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2"/>
        </w:trPr>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Corporate expenses</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(11,598)</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(8,157)</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42.2</w:t>
            </w: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(36,140)</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(30,960)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Segment Operating income</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(116,507)</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25,171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(65,974)</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107,053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the three months ended September 30, 2025, segment operating income decreased as compared to the three months ended September 30, 2024, decreasing $4.5 million or 9.5%. The weaker segment gross profit performance was offset by technical and research expenses and SG&amp;A expenses decreasing by $2.1 million, primarily a result of cost containment and the realization of Heimbach integration synergies.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September 30, 2025, segment operating income decreased $22.5 million as compared to the first nine months of 2024. The weaker segment operating income performance was impacted by lower gross profit in the current year, as well as general inflationary pressures. This change was slightly offset by a decrease in Heimbach integration costs that occurred in the first nine months of 2024, as this did not recur in 2025.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("AEC") Segment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5" w:name="page36"/>
    <w:bookmarkEnd w:id="35"/>
    <w:p>
      <w:pPr>
        <w:jc w:val="both"/>
        <w:spacing w:after="0" w:line="287" w:lineRule="auto"/>
        <w:rPr>
          <w:sz w:val="20"/>
          <w:szCs w:val="20"/>
          <w:color w:val="auto"/>
        </w:rPr>
      </w:pPr>
      <w:r>
        <w:rPr>
          <w:rFonts w:ascii="Arial" w:cs="Arial" w:eastAsia="Arial" w:hAnsi="Arial"/>
          <w:sz w:val="18"/>
          <w:szCs w:val="18"/>
          <w:color w:val="auto"/>
        </w:rPr>
        <w:t>For the three months ended September 30, 2025, segment operating income decreased $133.7 million, principally due to contract loss reserve charges associated with the CH-53K program.</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2025, segment operating income/(loss) decreased $145.4 million, principally due to reduced segment gross profit as noted above, offset by a decrease in compensation and personnel-related SG&amp;A expenses and lower restructuring charges.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(70,957)</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70,310</w:t>
            </w:r>
          </w:p>
        </w:tc>
      </w:tr>
      <w:tr>
        <w:trPr>
          <w:trHeight w:val="216"/>
        </w:trPr>
        <w:tc>
          <w:tcPr>
            <w:tcW w:w="8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65,480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67,003</w:t>
            </w: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(15,108)</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7,700</w:t>
            </w:r>
          </w:p>
        </w:tc>
      </w:tr>
      <w:tr>
        <w:trPr>
          <w:trHeight w:val="216"/>
        </w:trPr>
        <w:tc>
          <w:tcPr>
            <w:tcW w:w="814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(26,171)</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(7,569)</w:t>
            </w:r>
          </w:p>
        </w:tc>
      </w:tr>
      <w:tr>
        <w:trPr>
          <w:trHeight w:val="216"/>
        </w:trPr>
        <w:tc>
          <w:tcPr>
            <w:tcW w:w="8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125,528</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36"/>
        </w:trPr>
        <w:tc>
          <w:tcPr>
            <w:tcW w:w="81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78,772</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139,985</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(45,566)</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(61,053)</w:t>
            </w:r>
          </w:p>
        </w:tc>
      </w:tr>
      <w:tr>
        <w:trPr>
          <w:trHeight w:val="243"/>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(48,268)</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(121,773)</w:t>
            </w:r>
          </w:p>
        </w:tc>
      </w:tr>
      <w:tr>
        <w:trPr>
          <w:trHeight w:val="216"/>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8,089</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(3,357)</w:t>
            </w:r>
          </w:p>
        </w:tc>
      </w:tr>
      <w:tr>
        <w:trPr>
          <w:trHeight w:val="237"/>
        </w:trPr>
        <w:tc>
          <w:tcPr>
            <w:tcW w:w="8140" w:type="dxa"/>
            <w:vAlign w:val="bottom"/>
          </w:tcPr>
          <w:p>
            <w:pPr>
              <w:ind w:left="20"/>
              <w:spacing w:after="0"/>
              <w:rPr>
                <w:sz w:val="20"/>
                <w:szCs w:val="20"/>
                <w:color w:val="auto"/>
              </w:rPr>
            </w:pPr>
            <w:r>
              <w:rPr>
                <w:rFonts w:ascii="Arial" w:cs="Arial" w:eastAsia="Arial" w:hAnsi="Arial"/>
                <w:sz w:val="16"/>
                <w:szCs w:val="16"/>
                <w:color w:val="auto"/>
              </w:rPr>
              <w:t>Decrease in cash and cash equivalents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(6,973)</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(46,198)</w:t>
            </w:r>
          </w:p>
        </w:tc>
      </w:tr>
      <w:tr>
        <w:trPr>
          <w:trHeight w:val="216"/>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115,283</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173,420</w:t>
            </w:r>
          </w:p>
        </w:tc>
      </w:tr>
      <w:tr>
        <w:trPr>
          <w:trHeight w:val="237"/>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108,310</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127,222</w:t>
            </w:r>
          </w:p>
        </w:tc>
      </w:tr>
    </w:tbl>
    <w:p>
      <w:pPr>
        <w:spacing w:after="0" w:line="6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3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operating activities during the nine months ended September 30, 2025 was $78.8 million, compared to $140.0 million in the nine months ended September 30, 2024. The decrease was primarily driven by a reduction in the gross profit of both segments along with an inventory build in AEC early in the year in anticipation of production ramp. Non-cash adjustments to the CH-53K programs, including loss reserves of $98.0 million, are a component of other operating items within net cash provided by operating activities.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included capital expenditures totaling $48.8 million and $62.1 million for the nine months ended September 30, 2025 and September 30, 2024, respectively, with investments focused on aerospace program support, continued maintenance capex and capital designed to improve operating efficiencies across the Company.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in financing activities was $48.3 million for the nine months ended September 30, 2025 as compared to net cash used of $121.8 million for the nine months ended September 30, 2024. During 2025, we had net borrowings of $150.0 million as compared to net repayments of $94.6 million in the prior year. Additionally, the Company repurchased $171.0 million of share repurchases and paid dividends of $24.7 million in the first nine months of 2025.</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Structure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finance our business activities principally with cash generated from operations and borrowings, largely through our revolving credit agreement as discussed below. As of September 30, 2025, $480.6 million of borrowings were outstanding under our $800 million unsecured committed Amended Credit Agreement.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2025, we had cash and cash equivalents of $108.3 million and borrowing capacity under our Amended Credit Agreement of $319.4 million, for a total liquidity of approximately $427.7 million. We believe cash flows from operations and the availability of funds under our Amended Credit Agreement will be adequate to fund our operations and business needs over the next twelve months.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2025, $88.7 million of our total cash and cash equivalents were held by non-U.S. subsidiaries. The accumulated undistributed earnings of the Company’s foreign operations not targeted for repatriation to the U.S.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were in excess of $140.0 million, as of September 30, 2025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also returned cash to shareholders through dividends and share repurchases. During the nine months ended September 30, 2025, we paid $24.7 million in dividends and repurchased 2,480,769 shares for a total cost of $171.0 million, including excise taxes and fees.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Earlier this year, the Company announced that it will be consolidating its corporate headquarters in Portsmouth, NH. This change impacts approximately 100 employees, will take place over the next year and a half, and will cost an estimated $7.0 million over that period related to retention, relocation, severance, and professional costs.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$10 million. There were no material changes in the Company’s off-balance sheet arrangements during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changes in both foreign currency exchange rates and interest rates. From time to time, the Company enters into derivative agreements to manage these risks. The market risk is the potential loss arising from adverse changes in these rates as discussed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Our operational results can be materially impacted depending on the volatility and magnitude of foreign rate changes.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$599.9 million. The potential loss in fair value resulting from a hypothetical 10% adverse change in quoted foreign currency exchange rates amounts to $59.9 million. Furthermore, related to foreign currency transactions, we have exposure to various nonfunctional currency balances totaling $170.4 million. This amount includes, on an absolute basis, exposures to assets and liabilities held in currencies other than our local entities’ functional currencies. On a net basis, we had $41.0 million of foreign currency assets as of September 30, 2025. As currency rates change, these nonfunctional currency balances are revalued, and the corresponding adjustment is recorded in the income statement. A hypothetical change of 10% in currency rates could result in an adjustment to the income statement of approximately $4.1 million. Actual results may differ from these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2025, we had the following unhedged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0294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thousands, except interest rates)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5"/>
        </w:trPr>
        <w:tc>
          <w:tcPr>
            <w:tcW w:w="7020" w:type="dxa"/>
            <w:vAlign w:val="bottom"/>
          </w:tcPr>
          <w:p>
            <w:pPr>
              <w:ind w:left="200"/>
              <w:spacing w:after="0"/>
              <w:rPr>
                <w:sz w:val="20"/>
                <w:szCs w:val="20"/>
                <w:color w:val="auto"/>
              </w:rPr>
            </w:pPr>
            <w:r>
              <w:rPr>
                <w:rFonts w:ascii="Arial" w:cs="Arial" w:eastAsia="Arial" w:hAnsi="Arial"/>
                <w:sz w:val="16"/>
                <w:szCs w:val="16"/>
                <w:color w:val="auto"/>
              </w:rPr>
              <w:t>Credit agreement borrowings outstanding (due in 2028):</w:t>
            </w: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USD borrowings (end of period all-in interest rate of 6.0%)</w:t>
            </w: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15"/>
        </w:trPr>
        <w:tc>
          <w:tcPr>
            <w:tcW w:w="7020" w:type="dxa"/>
            <w:vAlign w:val="bottom"/>
          </w:tcPr>
          <w:p>
            <w:pPr>
              <w:ind w:left="680"/>
              <w:spacing w:after="0"/>
              <w:rPr>
                <w:sz w:val="20"/>
                <w:szCs w:val="20"/>
                <w:color w:val="auto"/>
              </w:rPr>
            </w:pPr>
            <w:r>
              <w:rPr>
                <w:rFonts w:ascii="Arial" w:cs="Arial" w:eastAsia="Arial" w:hAnsi="Arial"/>
                <w:sz w:val="16"/>
                <w:szCs w:val="16"/>
                <w:color w:val="auto"/>
              </w:rPr>
              <w:t>EUR borrowings (end of period all-in interest rate of 3.5%)</w:t>
            </w:r>
          </w:p>
        </w:tc>
        <w:tc>
          <w:tcPr>
            <w:tcW w:w="28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52,815</w:t>
            </w:r>
          </w:p>
        </w:tc>
      </w:tr>
      <w:tr>
        <w:trPr>
          <w:trHeight w:val="216"/>
        </w:trPr>
        <w:tc>
          <w:tcPr>
            <w:tcW w:w="7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Foreign bank debt</w:t>
            </w:r>
          </w:p>
        </w:tc>
        <w:tc>
          <w:tcPr>
            <w:tcW w:w="28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0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302,815</w:t>
            </w:r>
          </w:p>
        </w:tc>
      </w:tr>
    </w:tbl>
    <w:p>
      <w:pPr>
        <w:spacing w:after="0" w:line="200" w:lineRule="exact"/>
        <w:rPr>
          <w:sz w:val="20"/>
          <w:szCs w:val="20"/>
          <w:color w:val="auto"/>
        </w:rPr>
      </w:pP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Assuming borrowings were outstanding for an entire year, an increase of one percentage point in weighted average interest rates would increase interest expense by $3.0 million. To manage interest rate risk, we may periodically enter into interest rate swap agreements to effectively fix the interest rates on variable debt to a specific rate for a period of time. See </w:t>
      </w:r>
      <w:r>
        <w:rPr>
          <w:rFonts w:ascii="Arial" w:cs="Arial" w:eastAsia="Arial" w:hAnsi="Arial"/>
          <w:sz w:val="18"/>
          <w:szCs w:val="18"/>
          <w:i w:val="1"/>
          <w:iCs w:val="1"/>
          <w:color w:val="auto"/>
        </w:rPr>
        <w:t>Note 15. Financial Instruments</w:t>
      </w:r>
      <w:r>
        <w:rPr>
          <w:rFonts w:ascii="Arial" w:cs="Arial" w:eastAsia="Arial" w:hAnsi="Arial"/>
          <w:sz w:val="18"/>
          <w:szCs w:val="18"/>
          <w:color w:val="auto"/>
        </w:rPr>
        <w:t xml:space="preserve"> in the Notes to the Consolidated Financial Statements in Item 1, which is incorporated herein by reference.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line="287" w:lineRule="auto"/>
        <w:rPr>
          <w:sz w:val="20"/>
          <w:szCs w:val="20"/>
          <w:color w:val="auto"/>
        </w:rPr>
      </w:pPr>
      <w:r>
        <w:rPr>
          <w:rFonts w:ascii="Arial" w:cs="Arial" w:eastAsia="Arial" w:hAnsi="Arial"/>
          <w:sz w:val="18"/>
          <w:szCs w:val="18"/>
          <w:color w:val="auto"/>
        </w:rPr>
        <w:t>and communicated to the Company’s management, including its principal executive officer and principal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information set forth above under </w:t>
      </w:r>
      <w:r>
        <w:rPr>
          <w:rFonts w:ascii="Arial" w:cs="Arial" w:eastAsia="Arial" w:hAnsi="Arial"/>
          <w:sz w:val="18"/>
          <w:szCs w:val="18"/>
          <w:i w:val="1"/>
          <w:iCs w:val="1"/>
          <w:color w:val="auto"/>
        </w:rPr>
        <w:t>Note 17. Commitments and Contingencies</w:t>
      </w:r>
      <w:r>
        <w:rPr>
          <w:rFonts w:ascii="Arial" w:cs="Arial" w:eastAsia="Arial" w:hAnsi="Arial"/>
          <w:sz w:val="18"/>
          <w:szCs w:val="18"/>
          <w:color w:val="auto"/>
        </w:rPr>
        <w:t xml:space="preserve"> in Item 1, Notes to Consolidated Financial Statements is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during the three months ended September 30, 2025</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rPr>
              <w:t>Total number of shares purchased</w:t>
            </w:r>
          </w:p>
        </w:tc>
        <w:tc>
          <w:tcPr>
            <w:tcW w:w="2220" w:type="dxa"/>
            <w:vAlign w:val="bottom"/>
            <w:gridSpan w:val="2"/>
          </w:tcPr>
          <w:p>
            <w:pPr>
              <w:jc w:val="center"/>
              <w:spacing w:after="0"/>
              <w:rPr>
                <w:sz w:val="20"/>
                <w:szCs w:val="20"/>
                <w:color w:val="auto"/>
              </w:rPr>
            </w:pPr>
            <w:r>
              <w:rPr>
                <w:rFonts w:ascii="Arial" w:cs="Arial" w:eastAsia="Arial" w:hAnsi="Arial"/>
                <w:sz w:val="16"/>
                <w:szCs w:val="16"/>
                <w:color w:val="auto"/>
              </w:rPr>
              <w:t>Approx. dollar value of shares</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60" w:type="dxa"/>
            <w:vAlign w:val="bottom"/>
            <w:gridSpan w:val="2"/>
            <w:vMerge w:val="restart"/>
          </w:tcPr>
          <w:p>
            <w:pPr>
              <w:jc w:val="right"/>
              <w:spacing w:after="0"/>
              <w:rPr>
                <w:sz w:val="20"/>
                <w:szCs w:val="20"/>
                <w:color w:val="auto"/>
              </w:rPr>
            </w:pPr>
            <w:r>
              <w:rPr>
                <w:rFonts w:ascii="Arial" w:cs="Arial" w:eastAsia="Arial" w:hAnsi="Arial"/>
                <w:sz w:val="16"/>
                <w:szCs w:val="16"/>
                <w:color w:val="auto"/>
              </w:rPr>
              <w:t>Total number of shares Average price paid</w:t>
            </w:r>
          </w:p>
        </w:tc>
        <w:tc>
          <w:tcPr>
            <w:tcW w:w="2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that may yet be purchased</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900" w:type="dxa"/>
            <w:vAlign w:val="bottom"/>
            <w:gridSpan w:val="2"/>
            <w:vMerge w:val="restart"/>
          </w:tcPr>
          <w:p>
            <w:pPr>
              <w:spacing w:after="0"/>
              <w:rPr>
                <w:sz w:val="20"/>
                <w:szCs w:val="20"/>
                <w:color w:val="auto"/>
              </w:rPr>
            </w:pPr>
            <w:r>
              <w:rPr>
                <w:rFonts w:ascii="Arial" w:cs="Arial" w:eastAsia="Arial" w:hAnsi="Arial"/>
                <w:sz w:val="16"/>
                <w:szCs w:val="16"/>
                <w:color w:val="auto"/>
              </w:rPr>
              <w:t>Period</w:t>
            </w:r>
          </w:p>
        </w:tc>
        <w:tc>
          <w:tcPr>
            <w:tcW w:w="3160" w:type="dxa"/>
            <w:vAlign w:val="bottom"/>
            <w:gridSpan w:val="2"/>
            <w:vMerge w:val="continue"/>
          </w:tcPr>
          <w:p>
            <w:pPr>
              <w:spacing w:after="0"/>
              <w:rPr>
                <w:sz w:val="14"/>
                <w:szCs w:val="14"/>
                <w:color w:val="auto"/>
              </w:rPr>
            </w:pPr>
          </w:p>
        </w:tc>
        <w:tc>
          <w:tcPr>
            <w:tcW w:w="2520" w:type="dxa"/>
            <w:vAlign w:val="bottom"/>
          </w:tcPr>
          <w:p>
            <w:pPr>
              <w:jc w:val="center"/>
              <w:spacing w:after="0" w:line="162" w:lineRule="exact"/>
              <w:rPr>
                <w:sz w:val="20"/>
                <w:szCs w:val="20"/>
                <w:color w:val="auto"/>
              </w:rPr>
            </w:pPr>
            <w:r>
              <w:rPr>
                <w:rFonts w:ascii="Arial" w:cs="Arial" w:eastAsia="Arial" w:hAnsi="Arial"/>
                <w:sz w:val="16"/>
                <w:szCs w:val="16"/>
                <w:color w:val="auto"/>
              </w:rPr>
              <w:t>as part of publicly announced</w:t>
            </w:r>
          </w:p>
        </w:tc>
        <w:tc>
          <w:tcPr>
            <w:tcW w:w="140" w:type="dxa"/>
            <w:vAlign w:val="bottom"/>
          </w:tcPr>
          <w:p>
            <w:pPr>
              <w:spacing w:after="0"/>
              <w:rPr>
                <w:sz w:val="14"/>
                <w:szCs w:val="14"/>
                <w:color w:val="auto"/>
              </w:rPr>
            </w:pPr>
          </w:p>
        </w:tc>
        <w:tc>
          <w:tcPr>
            <w:tcW w:w="20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under the program (in</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880" w:type="dxa"/>
            <w:vAlign w:val="bottom"/>
          </w:tcPr>
          <w:p>
            <w:pPr>
              <w:jc w:val="right"/>
              <w:ind w:right="559"/>
              <w:spacing w:after="0" w:line="175" w:lineRule="exact"/>
              <w:rPr>
                <w:sz w:val="20"/>
                <w:szCs w:val="20"/>
                <w:color w:val="auto"/>
              </w:rPr>
            </w:pPr>
            <w:r>
              <w:rPr>
                <w:rFonts w:ascii="Arial" w:cs="Arial" w:eastAsia="Arial" w:hAnsi="Arial"/>
                <w:sz w:val="16"/>
                <w:szCs w:val="16"/>
                <w:color w:val="auto"/>
              </w:rPr>
              <w:t>purchased</w:t>
            </w:r>
          </w:p>
        </w:tc>
        <w:tc>
          <w:tcPr>
            <w:tcW w:w="1280" w:type="dxa"/>
            <w:vAlign w:val="bottom"/>
          </w:tcPr>
          <w:p>
            <w:pPr>
              <w:jc w:val="right"/>
              <w:ind w:right="299"/>
              <w:spacing w:after="0" w:line="175" w:lineRule="exact"/>
              <w:rPr>
                <w:sz w:val="20"/>
                <w:szCs w:val="20"/>
                <w:color w:val="auto"/>
              </w:rPr>
            </w:pPr>
            <w:r>
              <w:rPr>
                <w:rFonts w:ascii="Arial" w:cs="Arial" w:eastAsia="Arial" w:hAnsi="Arial"/>
                <w:sz w:val="16"/>
                <w:szCs w:val="16"/>
                <w:color w:val="auto"/>
              </w:rPr>
              <w:t>per share</w:t>
            </w:r>
          </w:p>
        </w:tc>
        <w:tc>
          <w:tcPr>
            <w:tcW w:w="2520" w:type="dxa"/>
            <w:vAlign w:val="bottom"/>
          </w:tcPr>
          <w:p>
            <w:pPr>
              <w:jc w:val="center"/>
              <w:spacing w:after="0" w:line="175" w:lineRule="exact"/>
              <w:rPr>
                <w:sz w:val="20"/>
                <w:szCs w:val="20"/>
                <w:color w:val="auto"/>
              </w:rPr>
            </w:pPr>
            <w:r>
              <w:rPr>
                <w:rFonts w:ascii="Arial" w:cs="Arial" w:eastAsia="Arial" w:hAnsi="Arial"/>
                <w:sz w:val="16"/>
                <w:szCs w:val="16"/>
                <w:color w:val="auto"/>
              </w:rPr>
              <w:t>program</w:t>
            </w:r>
          </w:p>
        </w:tc>
        <w:tc>
          <w:tcPr>
            <w:tcW w:w="140" w:type="dxa"/>
            <w:vAlign w:val="bottom"/>
          </w:tcPr>
          <w:p>
            <w:pPr>
              <w:spacing w:after="0"/>
              <w:rPr>
                <w:sz w:val="15"/>
                <w:szCs w:val="15"/>
                <w:color w:val="auto"/>
              </w:rPr>
            </w:pPr>
          </w:p>
        </w:tc>
        <w:tc>
          <w:tcPr>
            <w:tcW w:w="2080" w:type="dxa"/>
            <w:vAlign w:val="bottom"/>
          </w:tcPr>
          <w:p>
            <w:pPr>
              <w:jc w:val="center"/>
              <w:ind w:right="39"/>
              <w:spacing w:after="0" w:line="175" w:lineRule="exact"/>
              <w:rPr>
                <w:sz w:val="20"/>
                <w:szCs w:val="20"/>
                <w:color w:val="auto"/>
              </w:rPr>
            </w:pPr>
            <w:r>
              <w:rPr>
                <w:rFonts w:ascii="Arial" w:cs="Arial" w:eastAsia="Arial" w:hAnsi="Arial"/>
                <w:sz w:val="16"/>
                <w:szCs w:val="16"/>
                <w:color w:val="auto"/>
              </w:rPr>
              <w:t>thousands)</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20" w:type="dxa"/>
            <w:vAlign w:val="bottom"/>
            <w:gridSpan w:val="3"/>
            <w:vMerge w:val="restart"/>
          </w:tcPr>
          <w:p>
            <w:pPr>
              <w:spacing w:after="0"/>
              <w:rPr>
                <w:sz w:val="20"/>
                <w:szCs w:val="20"/>
                <w:color w:val="auto"/>
              </w:rPr>
            </w:pPr>
            <w:r>
              <w:rPr>
                <w:rFonts w:ascii="Arial" w:cs="Arial" w:eastAsia="Arial" w:hAnsi="Arial"/>
                <w:sz w:val="16"/>
                <w:szCs w:val="16"/>
                <w:color w:val="auto"/>
              </w:rPr>
              <w:t>July 1 to July 31, 2025</w:t>
            </w:r>
          </w:p>
        </w:tc>
        <w:tc>
          <w:tcPr>
            <w:tcW w:w="1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320" w:type="dxa"/>
            <w:vAlign w:val="bottom"/>
            <w:gridSpan w:val="3"/>
            <w:vMerge w:val="continue"/>
          </w:tcPr>
          <w:p>
            <w:pPr>
              <w:spacing w:after="0"/>
              <w:rPr>
                <w:sz w:val="18"/>
                <w:szCs w:val="18"/>
                <w:color w:val="auto"/>
              </w:rPr>
            </w:pP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143,445</w:t>
            </w:r>
          </w:p>
        </w:tc>
        <w:tc>
          <w:tcPr>
            <w:tcW w:w="0" w:type="dxa"/>
            <w:vAlign w:val="bottom"/>
          </w:tcPr>
          <w:p>
            <w:pPr>
              <w:spacing w:after="0"/>
              <w:rPr>
                <w:sz w:val="1"/>
                <w:szCs w:val="1"/>
                <w:color w:val="auto"/>
              </w:rPr>
            </w:pPr>
          </w:p>
        </w:tc>
      </w:tr>
      <w:tr>
        <w:trPr>
          <w:trHeight w:val="215"/>
        </w:trPr>
        <w:tc>
          <w:tcPr>
            <w:tcW w:w="3320" w:type="dxa"/>
            <w:vAlign w:val="bottom"/>
            <w:gridSpan w:val="3"/>
          </w:tcPr>
          <w:p>
            <w:pPr>
              <w:spacing w:after="0"/>
              <w:rPr>
                <w:sz w:val="20"/>
                <w:szCs w:val="20"/>
                <w:color w:val="auto"/>
              </w:rPr>
            </w:pPr>
            <w:r>
              <w:rPr>
                <w:rFonts w:ascii="Arial" w:cs="Arial" w:eastAsia="Arial" w:hAnsi="Arial"/>
                <w:sz w:val="16"/>
                <w:szCs w:val="16"/>
                <w:color w:val="auto"/>
              </w:rPr>
              <w:t>August 1 to August 31, 2025</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809,911</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61.74</w:t>
            </w:r>
          </w:p>
        </w:tc>
        <w:tc>
          <w:tcPr>
            <w:tcW w:w="2520" w:type="dxa"/>
            <w:vAlign w:val="bottom"/>
          </w:tcPr>
          <w:p>
            <w:pPr>
              <w:jc w:val="right"/>
              <w:spacing w:after="0"/>
              <w:rPr>
                <w:sz w:val="20"/>
                <w:szCs w:val="20"/>
                <w:color w:val="auto"/>
              </w:rPr>
            </w:pPr>
            <w:r>
              <w:rPr>
                <w:rFonts w:ascii="Arial" w:cs="Arial" w:eastAsia="Arial" w:hAnsi="Arial"/>
                <w:sz w:val="16"/>
                <w:szCs w:val="16"/>
                <w:color w:val="auto"/>
              </w:rPr>
              <w:t>809,911</w:t>
            </w:r>
          </w:p>
        </w:tc>
        <w:tc>
          <w:tcPr>
            <w:tcW w:w="1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93,445</w:t>
            </w:r>
          </w:p>
        </w:tc>
        <w:tc>
          <w:tcPr>
            <w:tcW w:w="0" w:type="dxa"/>
            <w:vAlign w:val="bottom"/>
          </w:tcPr>
          <w:p>
            <w:pPr>
              <w:spacing w:after="0"/>
              <w:rPr>
                <w:sz w:val="1"/>
                <w:szCs w:val="1"/>
                <w:color w:val="auto"/>
              </w:rPr>
            </w:pPr>
          </w:p>
        </w:tc>
      </w:tr>
      <w:tr>
        <w:trPr>
          <w:trHeight w:val="217"/>
        </w:trPr>
        <w:tc>
          <w:tcPr>
            <w:tcW w:w="3320" w:type="dxa"/>
            <w:vAlign w:val="bottom"/>
            <w:gridSpan w:val="3"/>
          </w:tcPr>
          <w:p>
            <w:pPr>
              <w:spacing w:after="0"/>
              <w:rPr>
                <w:sz w:val="20"/>
                <w:szCs w:val="20"/>
                <w:color w:val="auto"/>
              </w:rPr>
            </w:pPr>
            <w:r>
              <w:rPr>
                <w:rFonts w:ascii="Arial" w:cs="Arial" w:eastAsia="Arial" w:hAnsi="Arial"/>
                <w:sz w:val="16"/>
                <w:szCs w:val="16"/>
                <w:color w:val="auto"/>
              </w:rPr>
              <w:t>September 1 to September 30, 2025</w:t>
            </w:r>
          </w:p>
        </w:tc>
        <w:tc>
          <w:tcPr>
            <w:tcW w:w="1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93,445</w:t>
            </w:r>
          </w:p>
        </w:tc>
        <w:tc>
          <w:tcPr>
            <w:tcW w:w="0" w:type="dxa"/>
            <w:vAlign w:val="bottom"/>
          </w:tcPr>
          <w:p>
            <w:pPr>
              <w:spacing w:after="0"/>
              <w:rPr>
                <w:sz w:val="1"/>
                <w:szCs w:val="1"/>
                <w:color w:val="auto"/>
              </w:rPr>
            </w:pPr>
          </w:p>
        </w:tc>
      </w:tr>
      <w:tr>
        <w:trPr>
          <w:trHeight w:val="210"/>
        </w:trPr>
        <w:tc>
          <w:tcPr>
            <w:tcW w:w="3320" w:type="dxa"/>
            <w:vAlign w:val="bottom"/>
            <w:gridSpan w:val="3"/>
          </w:tcPr>
          <w:p>
            <w:pPr>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809,911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61.74</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809,911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93,445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21, 2025, the Company's Board of Directors authorized the Company to repurchase shares up to $ 250 million (excluding any fees, commissions, taxes or other expenses related to such purchases), which replaces the 2021 authorization. Share purchases may be made through open market purchases, privately negotiated transactions or otherwise. The program does not obligate the Company to acquire any particular amount of common stock, and it may be suspended or terminated at any time at the Company's discretion. The timing and amount of any share repurchases will be based on the Company’s liquidity, general business and market conditions, debt covenant restrictions and other factors, including alternative investment opportunities and capital structure. In total, the Company has repurchased 2,480,769 shares in 2025 for a total cost including excise taxes and fees of $171.0 million. As of September 30, 2025, we were authorized to repurchase shares up to $93.4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5.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2025,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98"/>
        </w:trPr>
        <w:tc>
          <w:tcPr>
            <w:tcW w:w="1240" w:type="dxa"/>
            <w:vAlign w:val="bottom"/>
          </w:tcPr>
          <w:p>
            <w:pPr>
              <w:ind w:left="20"/>
              <w:spacing w:after="0" w:line="178" w:lineRule="exact"/>
              <w:rPr>
                <w:sz w:val="20"/>
                <w:szCs w:val="20"/>
                <w:color w:val="auto"/>
              </w:rPr>
            </w:pPr>
            <w:r>
              <w:rPr>
                <w:rFonts w:ascii="Arial" w:cs="Arial" w:eastAsia="Arial" w:hAnsi="Arial"/>
                <w:sz w:val="16"/>
                <w:szCs w:val="16"/>
                <w:color w:val="auto"/>
              </w:rPr>
              <w:t>31.1</w:t>
            </w:r>
          </w:p>
        </w:tc>
        <w:tc>
          <w:tcPr>
            <w:tcW w:w="7300" w:type="dxa"/>
            <w:vAlign w:val="bottom"/>
            <w:tcBorders>
              <w:left w:val="single" w:sz="8" w:color="CCEEFF"/>
              <w:bottom w:val="single" w:sz="8" w:color="0000FF"/>
            </w:tcBorders>
            <w:gridSpan w:val="3"/>
            <w:shd w:val="clear" w:color="auto" w:fill="CCEEFF"/>
          </w:tcPr>
          <w:p>
            <w:pPr>
              <w:ind w:left="20"/>
              <w:spacing w:after="0" w:line="178" w:lineRule="exact"/>
              <w:rPr>
                <w:sz w:val="20"/>
                <w:szCs w:val="20"/>
                <w:color w:val="auto"/>
              </w:rPr>
            </w:pPr>
            <w:r>
              <w:rPr>
                <w:rFonts w:ascii="Arial" w:cs="Arial" w:eastAsia="Arial" w:hAnsi="Arial"/>
                <w:sz w:val="16"/>
                <w:szCs w:val="16"/>
                <w:color w:val="0000FF"/>
              </w:rPr>
              <w:t>Certification of the Chief Executive Officer pursuant to Rule 13a-14(a)/15d-14(a) of the Exchange Act.</w:t>
            </w:r>
          </w:p>
        </w:tc>
        <w:tc>
          <w:tcPr>
            <w:tcW w:w="27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10000" w:type="dxa"/>
            <w:vAlign w:val="bottom"/>
            <w:gridSpan w:val="5"/>
          </w:tcPr>
          <w:p>
            <w:pPr>
              <w:ind w:left="20"/>
              <w:spacing w:after="0" w:line="175"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c>
          <w:tcPr>
            <w:tcW w:w="0" w:type="dxa"/>
            <w:vAlign w:val="bottom"/>
          </w:tcPr>
          <w:p>
            <w:pPr>
              <w:spacing w:after="0"/>
              <w:rPr>
                <w:sz w:val="1"/>
                <w:szCs w:val="1"/>
                <w:color w:val="auto"/>
              </w:rPr>
            </w:pPr>
          </w:p>
        </w:tc>
      </w:tr>
      <w:tr>
        <w:trPr>
          <w:trHeight w:val="21"/>
        </w:trPr>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540" w:type="dxa"/>
            <w:vAlign w:val="bottom"/>
            <w:tcBorders>
              <w:top w:val="single" w:sz="8" w:color="0000FF"/>
            </w:tcBorders>
          </w:tcPr>
          <w:p>
            <w:pPr>
              <w:spacing w:after="0" w:line="20" w:lineRule="exact"/>
              <w:rPr>
                <w:sz w:val="1"/>
                <w:szCs w:val="1"/>
                <w:color w:val="auto"/>
              </w:rPr>
            </w:pPr>
          </w:p>
        </w:tc>
        <w:tc>
          <w:tcPr>
            <w:tcW w:w="5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vMerge w:val="continue"/>
          </w:tcPr>
          <w:p>
            <w:pPr>
              <w:spacing w:after="0"/>
              <w:rPr>
                <w:sz w:val="15"/>
                <w:szCs w:val="15"/>
                <w:color w:val="auto"/>
              </w:rPr>
            </w:pPr>
          </w:p>
        </w:tc>
        <w:tc>
          <w:tcPr>
            <w:tcW w:w="10000" w:type="dxa"/>
            <w:vAlign w:val="bottom"/>
            <w:tcBorders>
              <w:left w:val="single" w:sz="8" w:color="CCEEFF"/>
            </w:tcBorders>
            <w:gridSpan w:val="5"/>
            <w:shd w:val="clear" w:color="auto" w:fill="CCEEFF"/>
          </w:tcPr>
          <w:p>
            <w:pPr>
              <w:ind w:left="20"/>
              <w:spacing w:after="0" w:line="175"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540" w:type="dxa"/>
            <w:vAlign w:val="bottom"/>
            <w:tcBorders>
              <w:top w:val="single" w:sz="8" w:color="0000FF"/>
              <w:left w:val="single" w:sz="8" w:color="CCEEFF"/>
              <w:bottom w:val="single" w:sz="8" w:color="0000FF"/>
            </w:tcBorders>
            <w:shd w:val="clear" w:color="auto" w:fill="CCEEFF"/>
          </w:tcPr>
          <w:p>
            <w:pPr>
              <w:ind w:left="20"/>
              <w:spacing w:after="0" w:line="142" w:lineRule="exact"/>
              <w:rPr>
                <w:sz w:val="20"/>
                <w:szCs w:val="20"/>
                <w:color w:val="auto"/>
              </w:rPr>
            </w:pPr>
            <w:r>
              <w:rPr>
                <w:rFonts w:ascii="Arial" w:cs="Arial" w:eastAsia="Arial" w:hAnsi="Arial"/>
                <w:sz w:val="16"/>
                <w:szCs w:val="16"/>
                <w:color w:val="0000FF"/>
              </w:rPr>
              <w:t>United States Code).</w:t>
            </w:r>
          </w:p>
        </w:tc>
        <w:tc>
          <w:tcPr>
            <w:tcW w:w="826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Arial" w:cs="Arial" w:eastAsia="Arial" w:hAnsi="Arial"/>
                <w:sz w:val="16"/>
                <w:szCs w:val="16"/>
                <w:color w:val="auto"/>
              </w:rPr>
              <w:t>101.INS</w:t>
            </w:r>
          </w:p>
        </w:tc>
        <w:tc>
          <w:tcPr>
            <w:tcW w:w="1000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within the Inline XBRL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101.CAL</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101.LAB</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104</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r>
        <w:trPr>
          <w:trHeight w:val="1007"/>
        </w:trPr>
        <w:tc>
          <w:tcPr>
            <w:tcW w:w="1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82"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November 6, 2025</w:t>
      </w:r>
      <w:r>
        <w:rPr>
          <w:sz w:val="20"/>
          <w:szCs w:val="20"/>
          <w:color w:val="auto"/>
        </w:rPr>
        <w:tab/>
      </w:r>
      <w:r>
        <w:rPr>
          <w:rFonts w:ascii="Arial" w:cs="Arial" w:eastAsia="Arial" w:hAnsi="Arial"/>
          <w:sz w:val="16"/>
          <w:szCs w:val="16"/>
          <w:color w:val="auto"/>
        </w:rPr>
        <w:t>By</w:t>
        <w:tab/>
        <w:t>/s/ Willard C.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20955</wp:posOffset>
            </wp:positionV>
            <wp:extent cx="4106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Willard C. Station</w:t>
      </w:r>
    </w:p>
    <w:p>
      <w:pPr>
        <w:ind w:left="4560"/>
        <w:spacing w:after="0" w:line="211" w:lineRule="auto"/>
        <w:rPr>
          <w:sz w:val="20"/>
          <w:szCs w:val="20"/>
          <w:color w:val="auto"/>
        </w:rPr>
      </w:pPr>
      <w:r>
        <w:rPr>
          <w:rFonts w:ascii="Arial" w:cs="Arial" w:eastAsia="Arial" w:hAnsi="Arial"/>
          <w:sz w:val="16"/>
          <w:szCs w:val="16"/>
          <w:color w:val="auto"/>
        </w:rPr>
        <w:t>Executive Vice President, Chief Financial Officer</w:t>
      </w:r>
    </w:p>
    <w:p>
      <w:pPr>
        <w:ind w:left="45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20"/>
          </w:cols>
          <w:pgMar w:left="320" w:top="1039"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Gunnar Kleveland, certify that:</w:t>
      </w:r>
    </w:p>
    <w:p>
      <w:pPr>
        <w:spacing w:after="0" w:line="11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November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Gunnar Kleveland</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Willard Station, certify that:</w:t>
      </w:r>
    </w:p>
    <w:p>
      <w:pPr>
        <w:spacing w:after="0" w:line="11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November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Willard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Willard Station</w:t>
      </w:r>
    </w:p>
    <w:p>
      <w:pPr>
        <w:ind w:left="4620"/>
        <w:spacing w:after="0" w:line="203" w:lineRule="auto"/>
        <w:rPr>
          <w:sz w:val="20"/>
          <w:szCs w:val="20"/>
          <w:color w:val="auto"/>
        </w:rPr>
      </w:pPr>
      <w:r>
        <w:rPr>
          <w:rFonts w:ascii="Arial" w:cs="Arial" w:eastAsia="Arial" w:hAnsi="Arial"/>
          <w:sz w:val="18"/>
          <w:szCs w:val="18"/>
          <w:color w:val="auto"/>
        </w:rPr>
        <w:t>Executive Vice President, Chief Financial Officer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2025, as filed with the Securities and Exchange Commission on the date hereof (the Report), Gunnar Kleveland, President and Chief Executive Officer, and Willard Station, Chief Financial Officer, Executive Vice President, certify, pursuant to 18 U.S.C. § 1350, as adopted pursuant to §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2"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November 6, 2025</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34029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Gunnar Kleveland</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Willard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3402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Willard Station</w:t>
      </w:r>
    </w:p>
    <w:p>
      <w:pPr>
        <w:ind w:left="4880"/>
        <w:spacing w:after="0" w:line="203" w:lineRule="auto"/>
        <w:rPr>
          <w:sz w:val="20"/>
          <w:szCs w:val="20"/>
          <w:color w:val="auto"/>
        </w:rPr>
      </w:pPr>
      <w:r>
        <w:rPr>
          <w:rFonts w:ascii="Arial" w:cs="Arial" w:eastAsia="Arial" w:hAnsi="Arial"/>
          <w:sz w:val="18"/>
          <w:szCs w:val="18"/>
          <w:color w:val="auto"/>
        </w:rPr>
        <w:t>Executive Vice President, Chief Financial Officer</w:t>
      </w:r>
    </w:p>
    <w:p>
      <w:pPr>
        <w:ind w:left="48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7"/>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2025-11-06T12:34:35Z</dcterms:created>
  <dcterms:modified xsi:type="dcterms:W3CDTF">2025-11-06T12:34:35Z</dcterms:modified>
</cp:coreProperties>
</file>