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tabs>
          <w:tab w:leader="none" w:pos="198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ALBANY INTERNATIONAL CORP.</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 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012348108</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10" w:lineRule="exact"/>
        <w:rPr>
          <w:sz w:val="24"/>
          <w:szCs w:val="24"/>
          <w:color w:val="auto"/>
        </w:rPr>
      </w:pPr>
    </w:p>
    <w:p>
      <w:pPr>
        <w:ind w:right="3359"/>
        <w:spacing w:after="0" w:line="268" w:lineRule="auto"/>
        <w:rPr>
          <w:sz w:val="20"/>
          <w:szCs w:val="20"/>
          <w:color w:val="auto"/>
        </w:rPr>
      </w:pPr>
      <w:r>
        <w:rPr>
          <w:rFonts w:ascii="Courier New" w:cs="Courier New" w:eastAsia="Courier New" w:hAnsi="Courier New"/>
          <w:sz w:val="16"/>
          <w:szCs w:val="16"/>
          <w:color w:val="auto"/>
        </w:rPr>
        <w:t>Check the following box if a fee is being paid with this statement (X). (A fee is not required only if the filing person:</w:t>
      </w:r>
    </w:p>
    <w:p>
      <w:pPr>
        <w:ind w:right="335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88"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PERSONS.</w:t>
      </w:r>
    </w:p>
    <w:p>
      <w:pPr>
        <w:spacing w:after="0" w:line="4" w:lineRule="exact"/>
        <w:rPr>
          <w:rFonts w:ascii="Courier New" w:cs="Courier New" w:eastAsia="Courier New" w:hAnsi="Courier New"/>
          <w:sz w:val="16"/>
          <w:szCs w:val="16"/>
          <w:color w:val="auto"/>
        </w:rPr>
      </w:pPr>
    </w:p>
    <w:p>
      <w:pPr>
        <w:ind w:right="57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THOMPSON, SIEGEL &amp; WALMSLEY, INC.</w:t>
      </w:r>
    </w:p>
    <w:p>
      <w:pPr>
        <w:spacing w:after="0" w:line="238" w:lineRule="auto"/>
        <w:rPr>
          <w:sz w:val="20"/>
          <w:szCs w:val="20"/>
          <w:color w:val="auto"/>
        </w:rPr>
      </w:pPr>
      <w:r>
        <w:rPr>
          <w:rFonts w:ascii="Courier New" w:cs="Courier New" w:eastAsia="Courier New" w:hAnsi="Courier New"/>
          <w:sz w:val="18"/>
          <w:szCs w:val="18"/>
          <w:color w:val="auto"/>
        </w:rPr>
        <w:t>IRS# 54-0854396</w:t>
      </w:r>
    </w:p>
    <w:p>
      <w:pPr>
        <w:spacing w:after="0" w:line="5"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60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spacing w:after="0" w:line="203" w:lineRule="exact"/>
        <w:rPr>
          <w:sz w:val="24"/>
          <w:szCs w:val="24"/>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5"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5000 MONUMENT AVENUE, RICHMOND, VA</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23230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NUMBER OF SHARES BENEFICIALLY OWNED</w:t>
      </w:r>
      <w:r>
        <w:rPr>
          <w:sz w:val="20"/>
          <w:szCs w:val="20"/>
          <w:color w:val="auto"/>
        </w:rPr>
        <w:tab/>
      </w:r>
      <w:r>
        <w:rPr>
          <w:rFonts w:ascii="Courier New" w:cs="Courier New" w:eastAsia="Courier New" w:hAnsi="Courier New"/>
          <w:sz w:val="16"/>
          <w:szCs w:val="16"/>
          <w:color w:val="auto"/>
        </w:rPr>
        <w:t>BY EACH</w:t>
      </w:r>
    </w:p>
    <w:p>
      <w:pPr>
        <w:spacing w:after="0" w:line="238" w:lineRule="auto"/>
        <w:rPr>
          <w:sz w:val="20"/>
          <w:szCs w:val="20"/>
          <w:color w:val="auto"/>
        </w:rPr>
      </w:pPr>
      <w:r>
        <w:rPr>
          <w:rFonts w:ascii="Courier New" w:cs="Courier New" w:eastAsia="Courier New" w:hAnsi="Courier New"/>
          <w:sz w:val="18"/>
          <w:szCs w:val="18"/>
          <w:color w:val="auto"/>
        </w:rPr>
        <w:t>REPORTING PERSON WITH</w:t>
      </w:r>
    </w:p>
    <w:p>
      <w:pPr>
        <w:spacing w:after="0" w:line="202" w:lineRule="exact"/>
        <w:rPr>
          <w:sz w:val="24"/>
          <w:szCs w:val="24"/>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4"/>
          <w:szCs w:val="24"/>
          <w:color w:val="auto"/>
        </w:rPr>
      </w:pPr>
    </w:p>
    <w:p>
      <w:pPr>
        <w:ind w:left="1700"/>
        <w:spacing w:after="0"/>
        <w:tabs>
          <w:tab w:leader="none" w:pos="3360" w:val="left"/>
        </w:tabs>
        <w:rPr>
          <w:sz w:val="20"/>
          <w:szCs w:val="20"/>
          <w:color w:val="auto"/>
        </w:rPr>
      </w:pPr>
      <w:r>
        <w:rPr>
          <w:rFonts w:ascii="Courier New" w:cs="Courier New" w:eastAsia="Courier New" w:hAnsi="Courier New"/>
          <w:sz w:val="18"/>
          <w:szCs w:val="18"/>
          <w:color w:val="auto"/>
        </w:rPr>
        <w:t>634,282</w:t>
      </w:r>
      <w:r>
        <w:rPr>
          <w:sz w:val="20"/>
          <w:szCs w:val="20"/>
          <w:color w:val="auto"/>
        </w:rPr>
        <w:tab/>
      </w:r>
      <w:r>
        <w:rPr>
          <w:rFonts w:ascii="Courier New" w:cs="Courier New" w:eastAsia="Courier New" w:hAnsi="Courier New"/>
          <w:sz w:val="18"/>
          <w:szCs w:val="18"/>
          <w:color w:val="auto"/>
        </w:rPr>
        <w:t>2.5%</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SHARED VOTING POWER</w:t>
      </w:r>
    </w:p>
    <w:p>
      <w:pPr>
        <w:spacing w:after="0" w:line="202" w:lineRule="exact"/>
        <w:rPr>
          <w:sz w:val="24"/>
          <w:szCs w:val="24"/>
          <w:color w:val="auto"/>
        </w:rPr>
      </w:pPr>
    </w:p>
    <w:p>
      <w:pPr>
        <w:ind w:left="1700"/>
        <w:spacing w:after="0"/>
        <w:tabs>
          <w:tab w:leader="none" w:pos="3360" w:val="left"/>
        </w:tabs>
        <w:rPr>
          <w:sz w:val="20"/>
          <w:szCs w:val="20"/>
          <w:color w:val="auto"/>
        </w:rPr>
      </w:pPr>
      <w:r>
        <w:rPr>
          <w:rFonts w:ascii="Courier New" w:cs="Courier New" w:eastAsia="Courier New" w:hAnsi="Courier New"/>
          <w:sz w:val="18"/>
          <w:szCs w:val="18"/>
          <w:color w:val="auto"/>
        </w:rPr>
        <w:t>358,615</w:t>
      </w:r>
      <w:r>
        <w:rPr>
          <w:sz w:val="20"/>
          <w:szCs w:val="20"/>
          <w:color w:val="auto"/>
        </w:rPr>
        <w:tab/>
      </w:r>
      <w:r>
        <w:rPr>
          <w:rFonts w:ascii="Courier New" w:cs="Courier New" w:eastAsia="Courier New" w:hAnsi="Courier New"/>
          <w:sz w:val="18"/>
          <w:szCs w:val="18"/>
          <w:color w:val="auto"/>
        </w:rPr>
        <w:t>1.4%</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DISPOSITIVE POWER</w:t>
      </w:r>
    </w:p>
    <w:p>
      <w:pPr>
        <w:sectPr>
          <w:pgSz w:w="11900" w:h="16838" w:orient="portrait"/>
          <w:cols w:equalWidth="0" w:num="1">
            <w:col w:w="10219"/>
          </w:cols>
          <w:pgMar w:left="240" w:top="447" w:right="1440" w:bottom="0" w:gutter="0" w:footer="0" w:header="0"/>
        </w:sectPr>
      </w:pPr>
    </w:p>
    <w:bookmarkStart w:id="1" w:name="page2"/>
    <w:bookmarkEnd w:id="1"/>
    <w:p>
      <w:pPr>
        <w:ind w:left="1700"/>
        <w:spacing w:after="0"/>
        <w:tabs>
          <w:tab w:leader="none" w:pos="3360" w:val="left"/>
        </w:tabs>
        <w:rPr>
          <w:sz w:val="20"/>
          <w:szCs w:val="20"/>
          <w:color w:val="auto"/>
        </w:rPr>
      </w:pPr>
      <w:r>
        <w:rPr>
          <w:rFonts w:ascii="Courier New" w:cs="Courier New" w:eastAsia="Courier New" w:hAnsi="Courier New"/>
          <w:sz w:val="18"/>
          <w:szCs w:val="18"/>
          <w:color w:val="auto"/>
        </w:rPr>
        <w:t>1,054,072</w:t>
      </w:r>
      <w:r>
        <w:rPr>
          <w:sz w:val="20"/>
          <w:szCs w:val="20"/>
          <w:color w:val="auto"/>
        </w:rPr>
        <w:tab/>
      </w:r>
      <w:r>
        <w:rPr>
          <w:rFonts w:ascii="Courier New" w:cs="Courier New" w:eastAsia="Courier New" w:hAnsi="Courier New"/>
          <w:sz w:val="18"/>
          <w:szCs w:val="18"/>
          <w:color w:val="auto"/>
        </w:rPr>
        <w:t>4.2%</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w:t>
      </w:r>
      <w:r>
        <w:rPr>
          <w:rFonts w:ascii="Courier New" w:cs="Courier New" w:eastAsia="Courier New" w:hAnsi="Courier New"/>
          <w:sz w:val="16"/>
          <w:szCs w:val="16"/>
          <w:color w:val="auto"/>
        </w:rPr>
        <w:t>SHARED DISPOSITIVE POWER</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6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1,054,072 Shares</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IF THE AGGREGATE AMOUNT IN ROW</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EXCLUDES CERTAIN SHARES*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66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7"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136" w:right="1440" w:bottom="1440" w:gutter="0" w:footer="0" w:header="0"/>
        </w:sectPr>
      </w:pPr>
    </w:p>
    <w:bookmarkStart w:id="2" w:name="page3"/>
    <w:bookmarkEnd w:id="2"/>
    <w:p>
      <w:pPr>
        <w:spacing w:after="0"/>
        <w:tabs>
          <w:tab w:leader="none" w:pos="16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Name of Issuer:</w:t>
      </w:r>
    </w:p>
    <w:p>
      <w:pPr>
        <w:ind w:left="120"/>
        <w:spacing w:after="0" w:line="238" w:lineRule="auto"/>
        <w:rPr>
          <w:sz w:val="20"/>
          <w:szCs w:val="20"/>
          <w:color w:val="auto"/>
        </w:rPr>
      </w:pPr>
      <w:r>
        <w:rPr>
          <w:rFonts w:ascii="Courier New" w:cs="Courier New" w:eastAsia="Courier New" w:hAnsi="Courier New"/>
          <w:sz w:val="18"/>
          <w:szCs w:val="18"/>
          <w:color w:val="auto"/>
        </w:rPr>
        <w:t>ALBANY INTERNATIONAL CORP.</w:t>
      </w:r>
    </w:p>
    <w:p>
      <w:pPr>
        <w:spacing w:after="0" w:line="207" w:lineRule="exact"/>
        <w:rPr>
          <w:sz w:val="20"/>
          <w:szCs w:val="20"/>
          <w:color w:val="auto"/>
        </w:rPr>
      </w:pPr>
    </w:p>
    <w:p>
      <w:pPr>
        <w:ind w:left="120" w:right="5779" w:hanging="112"/>
        <w:spacing w:after="0" w:line="235" w:lineRule="auto"/>
        <w:tabs>
          <w:tab w:leader="none" w:pos="436"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Offices: P.O. BOX 1907</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ALBANY, NY 12201-1907</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 Name of Person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THOMPSON, SIEGEL &amp; WALMSLEY, INC.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 Address of Principal Office:</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5000 MONUMENT AVENUE</w:t>
      </w:r>
    </w:p>
    <w:p>
      <w:pPr>
        <w:ind w:left="1700"/>
        <w:spacing w:after="0" w:line="238" w:lineRule="auto"/>
        <w:tabs>
          <w:tab w:leader="none" w:pos="3140" w:val="left"/>
        </w:tabs>
        <w:rPr>
          <w:sz w:val="20"/>
          <w:szCs w:val="20"/>
          <w:color w:val="auto"/>
        </w:rPr>
      </w:pPr>
      <w:r>
        <w:rPr>
          <w:rFonts w:ascii="Courier New" w:cs="Courier New" w:eastAsia="Courier New" w:hAnsi="Courier New"/>
          <w:sz w:val="18"/>
          <w:szCs w:val="18"/>
          <w:color w:val="auto"/>
        </w:rPr>
        <w:t>RICHMOND, VA</w:t>
        <w:tab/>
        <w:t>23230</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Thompson, Siegel &amp; Walmsley, Inc. is a</w:t>
      </w:r>
    </w:p>
    <w:p>
      <w:pPr>
        <w:spacing w:after="0" w:line="238" w:lineRule="auto"/>
        <w:rPr>
          <w:sz w:val="20"/>
          <w:szCs w:val="20"/>
          <w:color w:val="auto"/>
        </w:rPr>
      </w:pPr>
      <w:r>
        <w:rPr>
          <w:rFonts w:ascii="Courier New" w:cs="Courier New" w:eastAsia="Courier New" w:hAnsi="Courier New"/>
          <w:sz w:val="18"/>
          <w:szCs w:val="18"/>
          <w:color w:val="auto"/>
        </w:rPr>
        <w:t>Virginia Corporation</w:t>
      </w:r>
    </w:p>
    <w:p>
      <w:pPr>
        <w:spacing w:after="0" w:line="207" w:lineRule="exact"/>
        <w:rPr>
          <w:sz w:val="20"/>
          <w:szCs w:val="20"/>
          <w:color w:val="auto"/>
        </w:rPr>
      </w:pPr>
    </w:p>
    <w:p>
      <w:pPr>
        <w:ind w:left="1700" w:right="6099" w:hanging="849"/>
        <w:spacing w:after="0" w:line="536" w:lineRule="auto"/>
        <w:tabs>
          <w:tab w:leader="none" w:pos="1278"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Security: Class A - Common Stock</w:t>
      </w:r>
    </w:p>
    <w:p>
      <w:pPr>
        <w:ind w:left="1280" w:hanging="429"/>
        <w:spacing w:after="0"/>
        <w:tabs>
          <w:tab w:leader="none" w:pos="12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012348108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IF THIS STATEMENT IS FILED</w:t>
      </w:r>
    </w:p>
    <w:p>
      <w:pPr>
        <w:spacing w:after="0" w:line="238" w:lineRule="auto"/>
        <w:rPr>
          <w:sz w:val="20"/>
          <w:szCs w:val="20"/>
          <w:color w:val="auto"/>
        </w:rPr>
      </w:pPr>
      <w:r>
        <w:rPr>
          <w:rFonts w:ascii="Courier New" w:cs="Courier New" w:eastAsia="Courier New" w:hAnsi="Courier New"/>
          <w:sz w:val="18"/>
          <w:szCs w:val="18"/>
          <w:color w:val="auto"/>
        </w:rPr>
        <w:t>PURSUANT TO RULE 13D-1 (B) OR 13D-2</w:t>
      </w:r>
    </w:p>
    <w:p>
      <w:pPr>
        <w:spacing w:after="0"/>
        <w:tabs>
          <w:tab w:leader="none" w:pos="2520" w:val="left"/>
        </w:tabs>
        <w:rPr>
          <w:sz w:val="20"/>
          <w:szCs w:val="20"/>
          <w:color w:val="auto"/>
        </w:rPr>
      </w:pPr>
      <w:r>
        <w:rPr>
          <w:rFonts w:ascii="Courier New" w:cs="Courier New" w:eastAsia="Courier New" w:hAnsi="Courier New"/>
          <w:sz w:val="18"/>
          <w:szCs w:val="18"/>
          <w:color w:val="auto"/>
        </w:rPr>
        <w:t>(B), CHECK WHETHER THE</w:t>
      </w:r>
      <w:r>
        <w:rPr>
          <w:sz w:val="20"/>
          <w:szCs w:val="20"/>
          <w:color w:val="auto"/>
        </w:rPr>
        <w:tab/>
      </w:r>
      <w:r>
        <w:rPr>
          <w:rFonts w:ascii="Courier New" w:cs="Courier New" w:eastAsia="Courier New" w:hAnsi="Courier New"/>
          <w:sz w:val="16"/>
          <w:szCs w:val="16"/>
          <w:color w:val="auto"/>
        </w:rPr>
        <w:t>PERSON</w:t>
      </w:r>
    </w:p>
    <w:p>
      <w:pPr>
        <w:spacing w:after="0" w:line="237" w:lineRule="auto"/>
        <w:rPr>
          <w:sz w:val="20"/>
          <w:szCs w:val="20"/>
          <w:color w:val="auto"/>
        </w:rPr>
      </w:pPr>
      <w:r>
        <w:rPr>
          <w:rFonts w:ascii="Courier New" w:cs="Courier New" w:eastAsia="Courier New" w:hAnsi="Courier New"/>
          <w:sz w:val="18"/>
          <w:szCs w:val="18"/>
          <w:color w:val="auto"/>
        </w:rPr>
        <w:t>FILING IS A:</w:t>
      </w:r>
    </w:p>
    <w:p>
      <w:pPr>
        <w:spacing w:after="0" w:line="207" w:lineRule="exact"/>
        <w:rPr>
          <w:sz w:val="20"/>
          <w:szCs w:val="20"/>
          <w:color w:val="auto"/>
        </w:rPr>
      </w:pPr>
    </w:p>
    <w:p>
      <w:pPr>
        <w:ind w:right="4419" w:firstLine="8"/>
        <w:spacing w:after="0" w:line="235" w:lineRule="auto"/>
        <w:tabs>
          <w:tab w:leader="none" w:pos="6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__X__ Investment Adviser registered under section 203 of the Investment Advisers Act of 1940.</w:t>
      </w:r>
    </w:p>
    <w:p>
      <w:pPr>
        <w:spacing w:after="0" w:line="20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280" w:hanging="429"/>
        <w:spacing w:after="0"/>
        <w:tabs>
          <w:tab w:leader="none" w:pos="12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1,054,072</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4.2% Based upon 25,094,77 shares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outstanding</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w:t>
      </w:r>
    </w:p>
    <w:p>
      <w:pPr>
        <w:spacing w:after="0" w:line="238" w:lineRule="auto"/>
        <w:tabs>
          <w:tab w:leader="none" w:pos="2840" w:val="left"/>
        </w:tabs>
        <w:rPr>
          <w:sz w:val="20"/>
          <w:szCs w:val="20"/>
          <w:color w:val="auto"/>
        </w:rPr>
      </w:pPr>
      <w:r>
        <w:rPr>
          <w:rFonts w:ascii="Courier New" w:cs="Courier New" w:eastAsia="Courier New" w:hAnsi="Courier New"/>
          <w:sz w:val="18"/>
          <w:szCs w:val="18"/>
          <w:color w:val="auto"/>
        </w:rPr>
        <w:t>vote:</w:t>
      </w:r>
      <w:r>
        <w:rPr>
          <w:sz w:val="20"/>
          <w:szCs w:val="20"/>
          <w:color w:val="auto"/>
        </w:rPr>
        <w:tab/>
      </w:r>
      <w:r>
        <w:rPr>
          <w:rFonts w:ascii="Courier New" w:cs="Courier New" w:eastAsia="Courier New" w:hAnsi="Courier New"/>
          <w:sz w:val="18"/>
          <w:szCs w:val="18"/>
          <w:color w:val="auto"/>
        </w:rPr>
        <w:t>634,282</w:t>
      </w: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vote:</w:t>
      </w:r>
      <w:r>
        <w:rPr>
          <w:rFonts w:ascii="Courier New" w:cs="Courier New" w:eastAsia="Courier New" w:hAnsi="Courier New"/>
          <w:sz w:val="16"/>
          <w:szCs w:val="16"/>
          <w:color w:val="auto"/>
        </w:rPr>
        <w:t>358,615</w:t>
      </w:r>
    </w:p>
    <w:p>
      <w:pPr>
        <w:ind w:left="640" w:hanging="632"/>
        <w:spacing w:after="0" w:line="238" w:lineRule="auto"/>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tbl>
      <w:tblPr>
        <w:tblLayout w:type="fixed"/>
        <w:tblInd w:w="0" w:type="dxa"/>
        <w:tblCellMar>
          <w:top w:w="0" w:type="dxa"/>
          <w:left w:w="0" w:type="dxa"/>
          <w:bottom w:w="0" w:type="dxa"/>
          <w:right w:w="0" w:type="dxa"/>
        </w:tblCellMar>
      </w:tblPr>
      <w:tr>
        <w:trPr>
          <w:trHeight w:val="203"/>
        </w:trPr>
        <w:tc>
          <w:tcPr>
            <w:tcW w:w="1220" w:type="dxa"/>
            <w:vAlign w:val="bottom"/>
            <w:gridSpan w:val="2"/>
          </w:tcPr>
          <w:p>
            <w:pPr>
              <w:spacing w:after="0"/>
              <w:rPr>
                <w:sz w:val="20"/>
                <w:szCs w:val="20"/>
                <w:color w:val="auto"/>
              </w:rPr>
            </w:pPr>
            <w:r>
              <w:rPr>
                <w:rFonts w:ascii="Courier New" w:cs="Courier New" w:eastAsia="Courier New" w:hAnsi="Courier New"/>
                <w:sz w:val="18"/>
                <w:szCs w:val="18"/>
                <w:color w:val="auto"/>
              </w:rPr>
              <w:t>disposition</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3540" w:type="dxa"/>
            <w:vAlign w:val="bottom"/>
            <w:gridSpan w:val="2"/>
          </w:tcPr>
          <w:p>
            <w:pPr>
              <w:jc w:val="right"/>
              <w:ind w:right="1612"/>
              <w:spacing w:after="0"/>
              <w:rPr>
                <w:sz w:val="20"/>
                <w:szCs w:val="20"/>
                <w:color w:val="auto"/>
              </w:rPr>
            </w:pPr>
            <w:r>
              <w:rPr>
                <w:rFonts w:ascii="Courier New" w:cs="Courier New" w:eastAsia="Courier New" w:hAnsi="Courier New"/>
                <w:sz w:val="18"/>
                <w:szCs w:val="18"/>
                <w:color w:val="auto"/>
              </w:rPr>
              <w:t>1,054,072</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(iv) Shared</w:t>
            </w: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power to dispose</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 to direct</w:t>
            </w:r>
          </w:p>
        </w:tc>
      </w:tr>
      <w:tr>
        <w:trPr>
          <w:trHeight w:val="203"/>
        </w:trPr>
        <w:tc>
          <w:tcPr>
            <w:tcW w:w="3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the disposition of:</w:t>
            </w:r>
          </w:p>
        </w:tc>
        <w:tc>
          <w:tcPr>
            <w:tcW w:w="216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5.</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OWNERSHIP OF</w:t>
            </w: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w w:val="97"/>
              </w:rPr>
              <w:t>FIVE PERCENT OR LESS</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OF A</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160" w:type="dxa"/>
            <w:vAlign w:val="bottom"/>
          </w:tcPr>
          <w:p>
            <w:pPr>
              <w:spacing w:after="0"/>
              <w:rPr>
                <w:sz w:val="17"/>
                <w:szCs w:val="17"/>
                <w:color w:val="auto"/>
              </w:rPr>
            </w:pPr>
          </w:p>
        </w:tc>
      </w:tr>
    </w:tbl>
    <w:p>
      <w:pPr>
        <w:spacing w:after="0" w:line="207" w:lineRule="exact"/>
        <w:rPr>
          <w:sz w:val="20"/>
          <w:szCs w:val="20"/>
          <w:color w:val="auto"/>
        </w:rPr>
      </w:pPr>
    </w:p>
    <w:p>
      <w:pPr>
        <w:ind w:right="3159" w:firstLine="843"/>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the date hereof the reporting person has ceased to be the beneficial owner of more than five percent of the class of securities, check the following</w:t>
      </w:r>
    </w:p>
    <w:p>
      <w:pPr>
        <w:spacing w:after="0" w:line="202" w:lineRule="exact"/>
        <w:rPr>
          <w:sz w:val="20"/>
          <w:szCs w:val="20"/>
          <w:color w:val="auto"/>
        </w:rPr>
      </w:pPr>
    </w:p>
    <w:p>
      <w:pPr>
        <w:ind w:left="1700"/>
        <w:spacing w:after="0"/>
        <w:tabs>
          <w:tab w:leader="none" w:pos="2100" w:val="left"/>
          <w:tab w:leader="none" w:pos="2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w:t>
      </w:r>
    </w:p>
    <w:p>
      <w:pPr>
        <w:spacing w:after="0" w:line="238" w:lineRule="auto"/>
        <w:rPr>
          <w:sz w:val="20"/>
          <w:szCs w:val="20"/>
          <w:color w:val="auto"/>
        </w:rPr>
      </w:pPr>
      <w:r>
        <w:rPr>
          <w:rFonts w:ascii="Courier New" w:cs="Courier New" w:eastAsia="Courier New" w:hAnsi="Courier New"/>
          <w:sz w:val="18"/>
          <w:szCs w:val="18"/>
          <w:color w:val="auto"/>
        </w:rPr>
        <w:t>PERCENT ON BEHALF OF ANOTHER</w:t>
      </w:r>
    </w:p>
    <w:p>
      <w:pPr>
        <w:spacing w:after="0"/>
        <w:rPr>
          <w:sz w:val="20"/>
          <w:szCs w:val="20"/>
          <w:color w:val="auto"/>
        </w:rPr>
      </w:pPr>
      <w:r>
        <w:rPr>
          <w:rFonts w:ascii="Courier New" w:cs="Courier New" w:eastAsia="Courier New" w:hAnsi="Courier New"/>
          <w:sz w:val="18"/>
          <w:szCs w:val="18"/>
          <w:color w:val="auto"/>
        </w:rPr>
        <w:t>PERSON</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w:t>
      </w:r>
    </w:p>
    <w:p>
      <w:pPr>
        <w:spacing w:after="0" w:line="238" w:lineRule="auto"/>
        <w:rPr>
          <w:sz w:val="20"/>
          <w:szCs w:val="20"/>
          <w:color w:val="auto"/>
        </w:rPr>
      </w:pPr>
      <w:r>
        <w:rPr>
          <w:rFonts w:ascii="Courier New" w:cs="Courier New" w:eastAsia="Courier New" w:hAnsi="Courier New"/>
          <w:sz w:val="18"/>
          <w:szCs w:val="18"/>
          <w:color w:val="auto"/>
        </w:rPr>
        <w:t>OF THE SUBSIDIARY WHICH ACQUIRED</w:t>
      </w:r>
    </w:p>
    <w:p>
      <w:pPr>
        <w:spacing w:after="0"/>
        <w:rPr>
          <w:sz w:val="20"/>
          <w:szCs w:val="20"/>
          <w:color w:val="auto"/>
        </w:rPr>
      </w:pPr>
      <w:r>
        <w:rPr>
          <w:rFonts w:ascii="Courier New" w:cs="Courier New" w:eastAsia="Courier New" w:hAnsi="Courier New"/>
          <w:sz w:val="18"/>
          <w:szCs w:val="18"/>
          <w:color w:val="auto"/>
        </w:rPr>
        <w:t>THE SECURITIES BEING REPORTED BY</w:t>
      </w:r>
    </w:p>
    <w:p>
      <w:pPr>
        <w:spacing w:after="0" w:line="237" w:lineRule="auto"/>
        <w:rPr>
          <w:sz w:val="20"/>
          <w:szCs w:val="20"/>
          <w:color w:val="auto"/>
        </w:rPr>
      </w:pPr>
      <w:r>
        <w:rPr>
          <w:rFonts w:ascii="Courier New" w:cs="Courier New" w:eastAsia="Courier New" w:hAnsi="Courier New"/>
          <w:sz w:val="18"/>
          <w:szCs w:val="18"/>
          <w:color w:val="auto"/>
        </w:rPr>
        <w:t>THE PARENT HOLDING COMPANY.</w:t>
      </w:r>
    </w:p>
    <w:p>
      <w:pPr>
        <w:sectPr>
          <w:pgSz w:w="11900" w:h="16838" w:orient="portrait"/>
          <w:cols w:equalWidth="0" w:num="1">
            <w:col w:w="10219"/>
          </w:cols>
          <w:pgMar w:left="240" w:top="514" w:right="1440" w:bottom="0" w:gutter="0" w:footer="0" w:header="0"/>
        </w:sectPr>
      </w:pPr>
    </w:p>
    <w:bookmarkStart w:id="3" w:name="page4"/>
    <w:bookmarkEnd w:id="3"/>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w:t>
      </w:r>
    </w:p>
    <w:p>
      <w:pPr>
        <w:spacing w:after="0" w:line="238" w:lineRule="auto"/>
        <w:rPr>
          <w:sz w:val="20"/>
          <w:szCs w:val="20"/>
          <w:color w:val="auto"/>
        </w:rPr>
      </w:pPr>
      <w:r>
        <w:rPr>
          <w:rFonts w:ascii="Courier New" w:cs="Courier New" w:eastAsia="Courier New" w:hAnsi="Courier New"/>
          <w:sz w:val="18"/>
          <w:szCs w:val="18"/>
          <w:color w:val="auto"/>
        </w:rPr>
        <w:t>OF MEMBER OF A GROUP</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679" w:firstLine="843"/>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After</w:t>
            </w:r>
          </w:p>
        </w:tc>
        <w:tc>
          <w:tcPr>
            <w:tcW w:w="24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reasonable inquiry and</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to the best of my</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knowledge and</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belief, I</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certify that</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the information set forth in</w:t>
            </w:r>
          </w:p>
        </w:tc>
      </w:tr>
      <w:tr>
        <w:trPr>
          <w:trHeight w:val="203"/>
        </w:trPr>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this statement is true,</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complete and</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correct.</w:t>
            </w:r>
          </w:p>
        </w:tc>
      </w:tr>
    </w:tbl>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10, 1998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center"/>
        <w:ind w:right="5039"/>
        <w:spacing w:after="0"/>
        <w:rPr>
          <w:sz w:val="20"/>
          <w:szCs w:val="20"/>
          <w:color w:val="auto"/>
        </w:rPr>
      </w:pPr>
      <w:r>
        <w:rPr>
          <w:rFonts w:ascii="Courier New" w:cs="Courier New" w:eastAsia="Courier New" w:hAnsi="Courier New"/>
          <w:sz w:val="18"/>
          <w:szCs w:val="18"/>
          <w:color w:val="auto"/>
        </w:rPr>
        <w:t>Thompson, Siegel &amp; Walmsley, Inc.</w:t>
      </w:r>
    </w:p>
    <w:p>
      <w:pPr>
        <w:jc w:val="center"/>
        <w:ind w:right="5039"/>
        <w:spacing w:after="0" w:line="238" w:lineRule="auto"/>
        <w:rPr>
          <w:sz w:val="20"/>
          <w:szCs w:val="20"/>
          <w:color w:val="auto"/>
        </w:rPr>
      </w:pPr>
      <w:r>
        <w:rPr>
          <w:rFonts w:ascii="Courier New" w:cs="Courier New" w:eastAsia="Courier New" w:hAnsi="Courier New"/>
          <w:sz w:val="18"/>
          <w:szCs w:val="18"/>
          <w:color w:val="auto"/>
        </w:rPr>
        <w:t>As Investment Adviser</w:t>
      </w:r>
    </w:p>
    <w:p>
      <w:pPr>
        <w:spacing w:after="0" w:line="202" w:lineRule="exact"/>
        <w:rPr>
          <w:sz w:val="20"/>
          <w:szCs w:val="20"/>
          <w:color w:val="auto"/>
        </w:rPr>
      </w:pPr>
    </w:p>
    <w:p>
      <w:pPr>
        <w:ind w:left="1700"/>
        <w:spacing w:after="0"/>
        <w:tabs>
          <w:tab w:leader="none" w:pos="2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8"/>
          <w:szCs w:val="18"/>
          <w:color w:val="auto"/>
        </w:rPr>
        <w:t>A. Gordon Goodykoontz</w:t>
      </w:r>
    </w:p>
    <w:p>
      <w:pPr>
        <w:ind w:left="120"/>
        <w:spacing w:after="0"/>
        <w:rPr>
          <w:sz w:val="20"/>
          <w:szCs w:val="20"/>
          <w:color w:val="auto"/>
        </w:rPr>
      </w:pPr>
      <w:r>
        <w:rPr>
          <w:rFonts w:ascii="Courier New" w:cs="Courier New" w:eastAsia="Courier New" w:hAnsi="Courier New"/>
          <w:sz w:val="18"/>
          <w:szCs w:val="18"/>
          <w:color w:val="auto"/>
        </w:rPr>
        <w:t>Senior Vice President</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lowerLetter"/>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5"/>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lowerLetter"/>
      <w:start w:val="2"/>
    </w:lvl>
  </w:abstractNum>
  <w:abstractNum w:abstractNumId="18">
    <w:nsid w:val="628C895D"/>
    <w:multiLevelType w:val="hybridMultilevel"/>
    <w:lvl w:ilvl="0">
      <w:lvlJc w:val="left"/>
      <w:lvlText w:val="(%1)"/>
      <w:numFmt w:val="lowerLetter"/>
      <w:start w:val="4"/>
    </w:lvl>
  </w:abstractNum>
  <w:abstractNum w:abstractNumId="19">
    <w:nsid w:val="333AB105"/>
    <w:multiLevelType w:val="hybridMultilevel"/>
    <w:lvl w:ilvl="0">
      <w:lvlJc w:val="left"/>
      <w:lvlText w:val="(%1)"/>
      <w:numFmt w:val="lowerLetter"/>
      <w:start w:val="5"/>
    </w:lvl>
  </w:abstractNum>
  <w:abstractNum w:abstractNumId="20">
    <w:nsid w:val="721DA317"/>
    <w:multiLevelType w:val="hybridMultilevel"/>
    <w:lvl w:ilvl="0">
      <w:lvlJc w:val="left"/>
      <w:lvlText w:val="%1"/>
      <w:numFmt w:val="lowerLetter"/>
      <w:start w:val="1"/>
    </w:lvl>
    <w:lvl w:ilvl="1">
      <w:lvlJc w:val="left"/>
      <w:lvlText w:val="(%2)"/>
      <w:numFmt w:val="lowerLetter"/>
      <w:start w:val="1"/>
    </w:lvl>
  </w:abstractNum>
  <w:abstractNum w:abstractNumId="21">
    <w:nsid w:val="2443A858"/>
    <w:multiLevelType w:val="hybridMultilevel"/>
    <w:lvl w:ilvl="0">
      <w:lvlJc w:val="left"/>
      <w:lvlText w:val="(%1)"/>
      <w:numFmt w:val="lowerLetter"/>
      <w:start w:val="9"/>
    </w:lvl>
    <w:lvl w:ilvl="1">
      <w:lvlJc w:val="left"/>
      <w:lvlText w:val="%2"/>
      <w:numFmt w:val="lowerLetter"/>
      <w:start w:val="1"/>
    </w:lvl>
  </w:abstractNum>
  <w:abstractNum w:abstractNumId="22">
    <w:nsid w:val="2D1D5AE9"/>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2019-12-12T11:11:10Z</dcterms:created>
  <dcterms:modified xsi:type="dcterms:W3CDTF">2019-12-12T11:11:10Z</dcterms:modified>
</cp:coreProperties>
</file>