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40"/>
        <w:spacing w:after="0"/>
        <w:rPr>
          <w:sz w:val="20"/>
          <w:szCs w:val="20"/>
          <w:color w:val="auto"/>
        </w:rPr>
      </w:pPr>
      <w:r>
        <w:rPr>
          <w:rFonts w:ascii="Arial" w:cs="Arial" w:eastAsia="Arial" w:hAnsi="Arial"/>
          <w:sz w:val="18"/>
          <w:szCs w:val="18"/>
          <w:color w:val="auto"/>
        </w:rPr>
        <w:t>UNITED STATES</w:t>
      </w:r>
    </w:p>
    <w:p>
      <w:pPr>
        <w:spacing w:after="0" w:line="167"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SECURITIES AND EXCHANGE COMMISSION</w:t>
      </w:r>
    </w:p>
    <w:p>
      <w:pPr>
        <w:ind w:left="5060"/>
        <w:spacing w:after="0"/>
        <w:rPr>
          <w:sz w:val="20"/>
          <w:szCs w:val="20"/>
          <w:color w:val="auto"/>
        </w:rPr>
      </w:pPr>
      <w:r>
        <w:rPr>
          <w:rFonts w:ascii="Arial" w:cs="Arial" w:eastAsia="Arial" w:hAnsi="Arial"/>
          <w:sz w:val="18"/>
          <w:szCs w:val="18"/>
          <w:color w:val="auto"/>
        </w:rPr>
        <w:t>Washington, D.C. 20549</w:t>
      </w:r>
    </w:p>
    <w:p>
      <w:pPr>
        <w:spacing w:after="0" w:line="203" w:lineRule="exact"/>
        <w:rPr>
          <w:sz w:val="24"/>
          <w:szCs w:val="24"/>
          <w:color w:val="auto"/>
        </w:rPr>
      </w:pPr>
    </w:p>
    <w:p>
      <w:pPr>
        <w:jc w:val="center"/>
        <w:ind w:left="660"/>
        <w:spacing w:after="0"/>
        <w:rPr>
          <w:sz w:val="20"/>
          <w:szCs w:val="20"/>
          <w:color w:val="auto"/>
        </w:rPr>
      </w:pPr>
      <w:r>
        <w:rPr>
          <w:rFonts w:ascii="Arial" w:cs="Arial" w:eastAsia="Arial" w:hAnsi="Arial"/>
          <w:sz w:val="32"/>
          <w:szCs w:val="32"/>
          <w:color w:val="auto"/>
        </w:rPr>
        <w:t>FORM 10-K</w:t>
      </w:r>
    </w:p>
    <w:p>
      <w:pPr>
        <w:spacing w:after="0" w:line="195"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94"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2012</w:t>
      </w:r>
    </w:p>
    <w:p>
      <w:pPr>
        <w:ind w:left="590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jc w:val="center"/>
        <w:ind w:left="3440" w:right="720" w:hanging="2069"/>
        <w:spacing w:after="0" w:line="454" w:lineRule="auto"/>
        <w:tabs>
          <w:tab w:leader="none" w:pos="1539"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_____________ to _____________</w:t>
      </w:r>
    </w:p>
    <w:p>
      <w:pPr>
        <w:ind w:left="470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3" w:lineRule="exact"/>
        <w:rPr>
          <w:sz w:val="24"/>
          <w:szCs w:val="24"/>
          <w:color w:val="auto"/>
        </w:rPr>
      </w:pPr>
    </w:p>
    <w:p>
      <w:pPr>
        <w:jc w:val="center"/>
        <w:ind w:left="660"/>
        <w:spacing w:after="0"/>
        <w:rPr>
          <w:sz w:val="20"/>
          <w:szCs w:val="20"/>
          <w:color w:val="auto"/>
        </w:rPr>
      </w:pPr>
      <w:r>
        <w:rPr>
          <w:rFonts w:ascii="Arial" w:cs="Arial" w:eastAsia="Arial" w:hAnsi="Arial"/>
          <w:sz w:val="32"/>
          <w:szCs w:val="32"/>
          <w:u w:val="single" w:color="auto"/>
          <w:color w:val="auto"/>
        </w:rPr>
        <w:t>ALBANY INTERNATIONAL CORP.</w:t>
      </w:r>
    </w:p>
    <w:p>
      <w:pPr>
        <w:spacing w:after="0" w:line="6"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80" w:type="dxa"/>
            <w:vAlign w:val="bottom"/>
            <w:gridSpan w:val="7"/>
          </w:tcPr>
          <w:p>
            <w:pPr>
              <w:jc w:val="center"/>
              <w:ind w:right="3120"/>
              <w:spacing w:after="0"/>
              <w:rPr>
                <w:sz w:val="20"/>
                <w:szCs w:val="20"/>
                <w:color w:val="auto"/>
              </w:rPr>
            </w:pPr>
            <w:r>
              <w:rPr>
                <w:rFonts w:ascii="Arial" w:cs="Arial" w:eastAsia="Arial" w:hAnsi="Arial"/>
                <w:sz w:val="18"/>
                <w:szCs w:val="18"/>
                <w:color w:val="auto"/>
                <w:w w:val="99"/>
              </w:rPr>
              <w:t>Delaware</w:t>
            </w:r>
          </w:p>
        </w:tc>
        <w:tc>
          <w:tcPr>
            <w:tcW w:w="3260" w:type="dxa"/>
            <w:vAlign w:val="bottom"/>
            <w:gridSpan w:val="6"/>
          </w:tcPr>
          <w:p>
            <w:pPr>
              <w:jc w:val="right"/>
              <w:ind w:right="560"/>
              <w:spacing w:after="0"/>
              <w:rPr>
                <w:sz w:val="20"/>
                <w:szCs w:val="20"/>
                <w:color w:val="auto"/>
              </w:rPr>
            </w:pPr>
            <w:r>
              <w:rPr>
                <w:rFonts w:ascii="Arial" w:cs="Arial" w:eastAsia="Arial" w:hAnsi="Arial"/>
                <w:sz w:val="18"/>
                <w:szCs w:val="18"/>
                <w:color w:val="auto"/>
              </w:rPr>
              <w:t>14-0462060</w:t>
            </w:r>
          </w:p>
        </w:tc>
        <w:tc>
          <w:tcPr>
            <w:tcW w:w="18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8"/>
          </w:tcPr>
          <w:p>
            <w:pPr>
              <w:jc w:val="center"/>
              <w:ind w:right="1780"/>
              <w:spacing w:after="0"/>
              <w:rPr>
                <w:sz w:val="20"/>
                <w:szCs w:val="20"/>
                <w:color w:val="auto"/>
              </w:rPr>
            </w:pPr>
            <w:r>
              <w:rPr>
                <w:rFonts w:ascii="Arial" w:cs="Arial" w:eastAsia="Arial" w:hAnsi="Arial"/>
                <w:sz w:val="18"/>
                <w:szCs w:val="18"/>
                <w:color w:val="auto"/>
              </w:rPr>
              <w:t>(State or other jurisdiction of</w:t>
            </w:r>
          </w:p>
        </w:tc>
        <w:tc>
          <w:tcPr>
            <w:tcW w:w="1160" w:type="dxa"/>
            <w:vAlign w:val="bottom"/>
          </w:tcPr>
          <w:p>
            <w:pPr>
              <w:spacing w:after="0"/>
              <w:rPr>
                <w:sz w:val="18"/>
                <w:szCs w:val="18"/>
                <w:color w:val="auto"/>
              </w:rPr>
            </w:pPr>
          </w:p>
        </w:tc>
        <w:tc>
          <w:tcPr>
            <w:tcW w:w="3900" w:type="dxa"/>
            <w:vAlign w:val="bottom"/>
            <w:gridSpan w:val="6"/>
          </w:tcPr>
          <w:p>
            <w:pPr>
              <w:jc w:val="center"/>
              <w:ind w:right="1800"/>
              <w:spacing w:after="0"/>
              <w:rPr>
                <w:sz w:val="20"/>
                <w:szCs w:val="20"/>
                <w:color w:val="auto"/>
              </w:rPr>
            </w:pPr>
            <w:r>
              <w:rPr>
                <w:rFonts w:ascii="Arial" w:cs="Arial" w:eastAsia="Arial" w:hAnsi="Arial"/>
                <w:sz w:val="18"/>
                <w:szCs w:val="18"/>
                <w:color w:val="auto"/>
              </w:rPr>
              <w:t>(IRS Employer</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8"/>
          </w:tcPr>
          <w:p>
            <w:pPr>
              <w:jc w:val="center"/>
              <w:ind w:right="1780"/>
              <w:spacing w:after="0"/>
              <w:rPr>
                <w:sz w:val="20"/>
                <w:szCs w:val="20"/>
                <w:color w:val="auto"/>
              </w:rPr>
            </w:pPr>
            <w:r>
              <w:rPr>
                <w:rFonts w:ascii="Arial" w:cs="Arial" w:eastAsia="Arial" w:hAnsi="Arial"/>
                <w:sz w:val="18"/>
                <w:szCs w:val="18"/>
                <w:color w:val="auto"/>
                <w:w w:val="99"/>
              </w:rPr>
              <w:t>incorporation or organization)</w:t>
            </w:r>
          </w:p>
        </w:tc>
        <w:tc>
          <w:tcPr>
            <w:tcW w:w="1160" w:type="dxa"/>
            <w:vAlign w:val="bottom"/>
          </w:tcPr>
          <w:p>
            <w:pPr>
              <w:spacing w:after="0"/>
              <w:rPr>
                <w:sz w:val="18"/>
                <w:szCs w:val="18"/>
                <w:color w:val="auto"/>
              </w:rPr>
            </w:pPr>
          </w:p>
        </w:tc>
        <w:tc>
          <w:tcPr>
            <w:tcW w:w="3900" w:type="dxa"/>
            <w:vAlign w:val="bottom"/>
            <w:gridSpan w:val="6"/>
          </w:tcPr>
          <w:p>
            <w:pPr>
              <w:jc w:val="center"/>
              <w:ind w:right="1780"/>
              <w:spacing w:after="0"/>
              <w:rPr>
                <w:sz w:val="20"/>
                <w:szCs w:val="20"/>
                <w:color w:val="auto"/>
              </w:rPr>
            </w:pPr>
            <w:r>
              <w:rPr>
                <w:rFonts w:ascii="Arial" w:cs="Arial" w:eastAsia="Arial" w:hAnsi="Arial"/>
                <w:sz w:val="18"/>
                <w:szCs w:val="18"/>
                <w:color w:val="auto"/>
                <w:w w:val="99"/>
              </w:rPr>
              <w:t>Identification No.)</w:t>
            </w:r>
          </w:p>
        </w:tc>
      </w:tr>
      <w:tr>
        <w:trPr>
          <w:trHeight w:val="338"/>
        </w:trPr>
        <w:tc>
          <w:tcPr>
            <w:tcW w:w="1040" w:type="dxa"/>
            <w:vAlign w:val="bottom"/>
          </w:tcPr>
          <w:p>
            <w:pPr>
              <w:spacing w:after="0"/>
              <w:rPr>
                <w:sz w:val="24"/>
                <w:szCs w:val="24"/>
                <w:color w:val="auto"/>
              </w:rPr>
            </w:pPr>
          </w:p>
        </w:tc>
        <w:tc>
          <w:tcPr>
            <w:tcW w:w="5320" w:type="dxa"/>
            <w:vAlign w:val="bottom"/>
            <w:gridSpan w:val="9"/>
          </w:tcPr>
          <w:p>
            <w:pPr>
              <w:jc w:val="center"/>
              <w:ind w:right="1680"/>
              <w:spacing w:after="0"/>
              <w:rPr>
                <w:sz w:val="20"/>
                <w:szCs w:val="20"/>
                <w:color w:val="auto"/>
              </w:rPr>
            </w:pPr>
            <w:r>
              <w:rPr>
                <w:rFonts w:ascii="Arial" w:cs="Arial" w:eastAsia="Arial" w:hAnsi="Arial"/>
                <w:sz w:val="18"/>
                <w:szCs w:val="18"/>
                <w:color w:val="auto"/>
                <w:w w:val="99"/>
              </w:rPr>
              <w:t>216 Airport Drive, Rochester, New Hampshire</w:t>
            </w:r>
          </w:p>
        </w:tc>
        <w:tc>
          <w:tcPr>
            <w:tcW w:w="2700" w:type="dxa"/>
            <w:vAlign w:val="bottom"/>
            <w:gridSpan w:val="5"/>
          </w:tcPr>
          <w:p>
            <w:pPr>
              <w:jc w:val="right"/>
              <w:ind w:right="240"/>
              <w:spacing w:after="0"/>
              <w:rPr>
                <w:sz w:val="20"/>
                <w:szCs w:val="20"/>
                <w:color w:val="auto"/>
              </w:rPr>
            </w:pPr>
            <w:r>
              <w:rPr>
                <w:rFonts w:ascii="Arial" w:cs="Arial" w:eastAsia="Arial" w:hAnsi="Arial"/>
                <w:sz w:val="18"/>
                <w:szCs w:val="18"/>
                <w:color w:val="auto"/>
              </w:rPr>
              <w:t>03867</w:t>
            </w: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3"/>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(Address of principal executive offices)</w:t>
            </w:r>
          </w:p>
        </w:tc>
        <w:tc>
          <w:tcPr>
            <w:tcW w:w="1680" w:type="dxa"/>
            <w:vAlign w:val="bottom"/>
            <w:gridSpan w:val="4"/>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340" w:type="dxa"/>
            <w:vAlign w:val="bottom"/>
            <w:gridSpan w:val="5"/>
          </w:tcPr>
          <w:p>
            <w:pPr>
              <w:jc w:val="center"/>
              <w:ind w:right="2360"/>
              <w:spacing w:after="0"/>
              <w:rPr>
                <w:sz w:val="20"/>
                <w:szCs w:val="20"/>
                <w:color w:val="auto"/>
              </w:rPr>
            </w:pPr>
            <w:r>
              <w:rPr>
                <w:rFonts w:ascii="Arial" w:cs="Arial" w:eastAsia="Arial" w:hAnsi="Arial"/>
                <w:sz w:val="18"/>
                <w:szCs w:val="18"/>
                <w:color w:val="auto"/>
              </w:rPr>
              <w:t>(Zip Code)</w:t>
            </w:r>
          </w:p>
        </w:tc>
      </w:tr>
      <w:tr>
        <w:trPr>
          <w:trHeight w:val="338"/>
        </w:trPr>
        <w:tc>
          <w:tcPr>
            <w:tcW w:w="6360" w:type="dxa"/>
            <w:vAlign w:val="bottom"/>
            <w:gridSpan w:val="10"/>
          </w:tcPr>
          <w:p>
            <w:pPr>
              <w:ind w:left="660"/>
              <w:spacing w:after="0"/>
              <w:rPr>
                <w:sz w:val="20"/>
                <w:szCs w:val="20"/>
                <w:color w:val="auto"/>
              </w:rPr>
            </w:pPr>
            <w:r>
              <w:rPr>
                <w:rFonts w:ascii="Arial" w:cs="Arial" w:eastAsia="Arial" w:hAnsi="Arial"/>
                <w:sz w:val="18"/>
                <w:szCs w:val="18"/>
                <w:color w:val="auto"/>
              </w:rPr>
              <w:t>Registrant's telephone number, including area code 603-330-5850</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77"/>
        </w:trPr>
        <w:tc>
          <w:tcPr>
            <w:tcW w:w="6360" w:type="dxa"/>
            <w:vAlign w:val="bottom"/>
            <w:gridSpan w:val="10"/>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9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gridSpan w:val="8"/>
          </w:tcPr>
          <w:p>
            <w:pPr>
              <w:jc w:val="center"/>
              <w:ind w:right="1800"/>
              <w:spacing w:after="0"/>
              <w:rPr>
                <w:sz w:val="20"/>
                <w:szCs w:val="20"/>
                <w:color w:val="auto"/>
              </w:rPr>
            </w:pPr>
            <w:r>
              <w:rPr>
                <w:rFonts w:ascii="Arial" w:cs="Arial" w:eastAsia="Arial" w:hAnsi="Arial"/>
                <w:sz w:val="18"/>
                <w:szCs w:val="18"/>
                <w:color w:val="auto"/>
                <w:w w:val="99"/>
              </w:rPr>
              <w:t>Title of each class</w:t>
            </w:r>
          </w:p>
        </w:tc>
        <w:tc>
          <w:tcPr>
            <w:tcW w:w="5060" w:type="dxa"/>
            <w:vAlign w:val="bottom"/>
            <w:gridSpan w:val="7"/>
          </w:tcPr>
          <w:p>
            <w:pPr>
              <w:jc w:val="center"/>
              <w:ind w:right="640"/>
              <w:spacing w:after="0"/>
              <w:rPr>
                <w:sz w:val="20"/>
                <w:szCs w:val="20"/>
                <w:color w:val="auto"/>
              </w:rPr>
            </w:pPr>
            <w:r>
              <w:rPr>
                <w:rFonts w:ascii="Arial" w:cs="Arial" w:eastAsia="Arial" w:hAnsi="Arial"/>
                <w:sz w:val="18"/>
                <w:szCs w:val="18"/>
                <w:color w:val="auto"/>
              </w:rPr>
              <w:t>Name of each exchange on which registered</w:t>
            </w:r>
          </w:p>
        </w:tc>
      </w:tr>
      <w:tr>
        <w:trPr>
          <w:trHeight w:val="33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3"/>
          </w:tcPr>
          <w:p>
            <w:pPr>
              <w:jc w:val="center"/>
              <w:spacing w:after="0"/>
              <w:rPr>
                <w:sz w:val="20"/>
                <w:szCs w:val="20"/>
                <w:color w:val="auto"/>
              </w:rPr>
            </w:pPr>
            <w:r>
              <w:rPr>
                <w:rFonts w:ascii="Arial" w:cs="Arial" w:eastAsia="Arial" w:hAnsi="Arial"/>
                <w:sz w:val="18"/>
                <w:szCs w:val="18"/>
                <w:color w:val="auto"/>
              </w:rPr>
              <w:t xml:space="preserve">Class A Common Stock </w:t>
            </w:r>
            <w:r>
              <w:rPr>
                <w:rFonts w:ascii="Arial" w:cs="Arial" w:eastAsia="Arial" w:hAnsi="Arial"/>
                <w:sz w:val="18"/>
                <w:szCs w:val="18"/>
                <w:u w:val="single" w:color="auto"/>
                <w:color w:val="auto"/>
              </w:rPr>
              <w:t>($</w:t>
            </w:r>
            <w:r>
              <w:rPr>
                <w:rFonts w:ascii="Arial" w:cs="Arial" w:eastAsia="Arial" w:hAnsi="Arial"/>
                <w:sz w:val="18"/>
                <w:szCs w:val="18"/>
                <w:color w:val="auto"/>
              </w:rPr>
              <w:t>0.001 par value)</w:t>
            </w:r>
          </w:p>
        </w:tc>
        <w:tc>
          <w:tcPr>
            <w:tcW w:w="1780" w:type="dxa"/>
            <w:vAlign w:val="bottom"/>
            <w:gridSpan w:val="5"/>
          </w:tcPr>
          <w:p>
            <w:pPr>
              <w:spacing w:after="0"/>
              <w:rPr>
                <w:sz w:val="24"/>
                <w:szCs w:val="24"/>
                <w:color w:val="auto"/>
              </w:rPr>
            </w:pPr>
          </w:p>
        </w:tc>
        <w:tc>
          <w:tcPr>
            <w:tcW w:w="1160" w:type="dxa"/>
            <w:vAlign w:val="bottom"/>
          </w:tcPr>
          <w:p>
            <w:pPr>
              <w:spacing w:after="0"/>
              <w:rPr>
                <w:sz w:val="24"/>
                <w:szCs w:val="24"/>
                <w:color w:val="auto"/>
              </w:rPr>
            </w:pPr>
          </w:p>
        </w:tc>
        <w:tc>
          <w:tcPr>
            <w:tcW w:w="3900" w:type="dxa"/>
            <w:vAlign w:val="bottom"/>
            <w:gridSpan w:val="6"/>
          </w:tcPr>
          <w:p>
            <w:pPr>
              <w:jc w:val="center"/>
              <w:ind w:right="1800"/>
              <w:spacing w:after="0"/>
              <w:rPr>
                <w:sz w:val="20"/>
                <w:szCs w:val="20"/>
                <w:color w:val="auto"/>
              </w:rPr>
            </w:pPr>
            <w:r>
              <w:rPr>
                <w:rFonts w:ascii="Arial" w:cs="Arial" w:eastAsia="Arial" w:hAnsi="Arial"/>
                <w:sz w:val="18"/>
                <w:szCs w:val="18"/>
                <w:color w:val="auto"/>
                <w:w w:val="98"/>
              </w:rPr>
              <w:t>New York Stock Exchange</w:t>
            </w:r>
          </w:p>
        </w:tc>
      </w:tr>
      <w:tr>
        <w:trPr>
          <w:trHeight w:val="20"/>
        </w:trPr>
        <w:tc>
          <w:tcPr>
            <w:tcW w:w="1160" w:type="dxa"/>
            <w:vAlign w:val="bottom"/>
            <w:gridSpan w:val="2"/>
          </w:tcPr>
          <w:p>
            <w:pPr>
              <w:spacing w:after="0" w:line="20" w:lineRule="exact"/>
              <w:rPr>
                <w:sz w:val="1"/>
                <w:szCs w:val="1"/>
                <w:color w:val="auto"/>
              </w:rPr>
            </w:pPr>
          </w:p>
        </w:tc>
        <w:tc>
          <w:tcPr>
            <w:tcW w:w="3420" w:type="dxa"/>
            <w:vAlign w:val="bottom"/>
            <w:gridSpan w:val="3"/>
            <w:shd w:val="clear" w:color="auto" w:fill="00000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9"/>
        </w:trPr>
        <w:tc>
          <w:tcPr>
            <w:tcW w:w="6360" w:type="dxa"/>
            <w:vAlign w:val="bottom"/>
            <w:gridSpan w:val="10"/>
          </w:tcPr>
          <w:p>
            <w:pPr>
              <w:ind w:left="660"/>
              <w:spacing w:after="0"/>
              <w:rPr>
                <w:sz w:val="20"/>
                <w:szCs w:val="20"/>
                <w:color w:val="auto"/>
              </w:rPr>
            </w:pPr>
            <w:r>
              <w:rPr>
                <w:rFonts w:ascii="Arial" w:cs="Arial" w:eastAsia="Arial" w:hAnsi="Arial"/>
                <w:sz w:val="18"/>
                <w:szCs w:val="18"/>
                <w:color w:val="auto"/>
              </w:rPr>
              <w:t>Securities registered pursuant to Section 12(g) of the Act:</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6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80" w:type="dxa"/>
            <w:vAlign w:val="bottom"/>
            <w:gridSpan w:val="7"/>
          </w:tcPr>
          <w:p>
            <w:pPr>
              <w:jc w:val="center"/>
              <w:ind w:right="3120"/>
              <w:spacing w:after="0"/>
              <w:rPr>
                <w:sz w:val="20"/>
                <w:szCs w:val="20"/>
                <w:color w:val="auto"/>
              </w:rPr>
            </w:pPr>
            <w:r>
              <w:rPr>
                <w:rFonts w:ascii="Arial" w:cs="Arial" w:eastAsia="Arial" w:hAnsi="Arial"/>
                <w:sz w:val="18"/>
                <w:szCs w:val="18"/>
                <w:color w:val="auto"/>
              </w:rPr>
              <w:t>None</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0"/>
        </w:trPr>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gridSpan w:val="6"/>
          </w:tcPr>
          <w:p>
            <w:pPr>
              <w:jc w:val="center"/>
              <w:ind w:right="1160"/>
              <w:spacing w:after="0"/>
              <w:rPr>
                <w:sz w:val="20"/>
                <w:szCs w:val="20"/>
                <w:color w:val="auto"/>
              </w:rPr>
            </w:pPr>
            <w:r>
              <w:rPr>
                <w:rFonts w:ascii="Arial" w:cs="Arial" w:eastAsia="Arial" w:hAnsi="Arial"/>
                <w:sz w:val="18"/>
                <w:szCs w:val="18"/>
                <w:color w:val="auto"/>
                <w:w w:val="99"/>
              </w:rPr>
              <w:t>(Title of Class)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580"/>
        </w:trPr>
        <w:tc>
          <w:tcPr>
            <w:tcW w:w="5920" w:type="dxa"/>
            <w:vAlign w:val="bottom"/>
            <w:gridSpan w:val="9"/>
          </w:tcPr>
          <w:p>
            <w:pPr>
              <w:jc w:val="right"/>
              <w:ind w:right="1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0"/>
        </w:trPr>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247" w:right="239" w:bottom="1440" w:gutter="0" w:footer="0" w:header="0"/>
        </w:sectPr>
      </w:pPr>
    </w:p>
    <w:bookmarkStart w:id="1" w:name="page2"/>
    <w:bookmarkEnd w:id="1"/>
    <w:p>
      <w:pPr>
        <w:ind w:right="860"/>
        <w:spacing w:after="0" w:line="447" w:lineRule="auto"/>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 No |_| Indicate by check mark if the registrant is not required to file reports pursuant to Section 13 or Section 15(d) of the Act. Yes |_| No |X|</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|_|</w:t>
      </w:r>
    </w:p>
    <w:p>
      <w:pPr>
        <w:spacing w:after="0" w:line="14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4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w:t>
      </w:r>
    </w:p>
    <w:p>
      <w:pPr>
        <w:sectPr>
          <w:pgSz w:w="11900" w:h="16838" w:orient="portrait"/>
          <w:cols w:equalWidth="0" w:num="1">
            <w:col w:w="11400"/>
          </w:cols>
          <w:pgMar w:left="240" w:top="638" w:right="25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rPr>
          <w:sz w:val="20"/>
          <w:szCs w:val="20"/>
          <w:color w:val="auto"/>
        </w:rPr>
      </w:pPr>
      <w:r>
        <w:rPr>
          <w:rFonts w:ascii="Arial" w:cs="Arial" w:eastAsia="Arial" w:hAnsi="Arial"/>
          <w:sz w:val="18"/>
          <w:szCs w:val="18"/>
          <w:color w:val="auto"/>
        </w:rPr>
        <w:t>Non-accelerated filer|_|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 |_|</w:t>
      </w:r>
    </w:p>
    <w:p>
      <w:pPr>
        <w:spacing w:after="0"/>
        <w:rPr>
          <w:sz w:val="20"/>
          <w:szCs w:val="20"/>
          <w:color w:val="auto"/>
        </w:rPr>
      </w:pPr>
      <w:r>
        <w:rPr>
          <w:rFonts w:ascii="Arial" w:cs="Arial" w:eastAsia="Arial" w:hAnsi="Arial"/>
          <w:sz w:val="18"/>
          <w:szCs w:val="18"/>
          <w:color w:val="auto"/>
        </w:rPr>
        <w:t>Smaller reporting company |_|</w:t>
      </w:r>
    </w:p>
    <w:p>
      <w:pPr>
        <w:spacing w:after="0" w:line="158" w:lineRule="exact"/>
        <w:rPr>
          <w:sz w:val="20"/>
          <w:szCs w:val="20"/>
          <w:color w:val="auto"/>
        </w:rPr>
      </w:pPr>
    </w:p>
    <w:p>
      <w:pPr>
        <w:sectPr>
          <w:pgSz w:w="11900" w:h="16838" w:orient="portrait"/>
          <w:cols w:equalWidth="0" w:num="2">
            <w:col w:w="5000" w:space="720"/>
            <w:col w:w="5680"/>
          </w:cols>
          <w:pgMar w:left="240" w:top="638" w:right="25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|_| No |X|</w:t>
      </w:r>
    </w:p>
    <w:p>
      <w:pPr>
        <w:spacing w:after="0" w:line="15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aggregate market value of the Common Stock held by non-affiliates of the registrant on June 29, 2012, the last business day of the registrant’s most recently completed second quarter, computed by reference to the price at which Common Stock was last sold on such a date, was $520.8 million.</w:t>
      </w:r>
    </w:p>
    <w:p>
      <w:pPr>
        <w:spacing w:after="0" w:line="149"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The registrant had 28.2 million shares of Class A Common Stock and 3.2 million shares of Class B Common Stock outstanding as of December 31,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2500" w:type="dxa"/>
            <w:vAlign w:val="bottom"/>
            <w:gridSpan w:val="2"/>
          </w:tcPr>
          <w:p>
            <w:pPr>
              <w:jc w:val="center"/>
              <w:ind w:left="1930"/>
              <w:spacing w:after="0"/>
              <w:rPr>
                <w:sz w:val="20"/>
                <w:szCs w:val="20"/>
                <w:color w:val="auto"/>
              </w:rPr>
            </w:pPr>
            <w:r>
              <w:rPr>
                <w:rFonts w:ascii="Arial" w:cs="Arial" w:eastAsia="Arial" w:hAnsi="Arial"/>
                <w:sz w:val="18"/>
                <w:szCs w:val="18"/>
                <w:color w:val="auto"/>
                <w:w w:val="99"/>
              </w:rPr>
              <w:t>PART</w:t>
            </w:r>
          </w:p>
        </w:tc>
      </w:tr>
      <w:tr>
        <w:trPr>
          <w:trHeight w:val="20"/>
        </w:trPr>
        <w:tc>
          <w:tcPr>
            <w:tcW w:w="41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384"/>
        </w:trPr>
        <w:tc>
          <w:tcPr>
            <w:tcW w:w="8760" w:type="dxa"/>
            <w:vAlign w:val="bottom"/>
            <w:gridSpan w:val="2"/>
          </w:tcPr>
          <w:p>
            <w:pPr>
              <w:spacing w:after="0"/>
              <w:rPr>
                <w:sz w:val="20"/>
                <w:szCs w:val="20"/>
                <w:color w:val="auto"/>
              </w:rPr>
            </w:pPr>
            <w:r>
              <w:rPr>
                <w:rFonts w:ascii="Arial" w:cs="Arial" w:eastAsia="Arial" w:hAnsi="Arial"/>
                <w:sz w:val="18"/>
                <w:szCs w:val="18"/>
                <w:color w:val="auto"/>
              </w:rPr>
              <w:t>Portions of the Registrant's Proxy Statement for the Annual Meeting of Shareholders</w:t>
            </w: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7"/>
        </w:trPr>
        <w:tc>
          <w:tcPr>
            <w:tcW w:w="8760" w:type="dxa"/>
            <w:vAlign w:val="bottom"/>
            <w:gridSpan w:val="2"/>
          </w:tcPr>
          <w:p>
            <w:pPr>
              <w:spacing w:after="0"/>
              <w:rPr>
                <w:sz w:val="20"/>
                <w:szCs w:val="20"/>
                <w:color w:val="auto"/>
              </w:rPr>
            </w:pPr>
            <w:r>
              <w:rPr>
                <w:rFonts w:ascii="Arial" w:cs="Arial" w:eastAsia="Arial" w:hAnsi="Arial"/>
                <w:sz w:val="18"/>
                <w:szCs w:val="18"/>
                <w:color w:val="auto"/>
              </w:rPr>
              <w:t>to be held on May 17, 2013</w:t>
            </w:r>
          </w:p>
        </w:tc>
        <w:tc>
          <w:tcPr>
            <w:tcW w:w="20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III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580" w:type="dxa"/>
            <w:vAlign w:val="bottom"/>
            <w:vMerge w:val="restart"/>
          </w:tcPr>
          <w:p>
            <w:pPr>
              <w:spacing w:after="0"/>
              <w:rPr>
                <w:sz w:val="20"/>
                <w:szCs w:val="20"/>
                <w:color w:val="auto"/>
              </w:rPr>
            </w:pPr>
            <w:r>
              <w:rPr>
                <w:rFonts w:ascii="Arial" w:cs="Arial" w:eastAsia="Arial" w:hAnsi="Arial"/>
                <w:sz w:val="18"/>
                <w:szCs w:val="18"/>
                <w:color w:val="auto"/>
                <w:w w:val="96"/>
              </w:rPr>
              <w:t>PART I</w:t>
            </w:r>
          </w:p>
        </w:tc>
        <w:tc>
          <w:tcPr>
            <w:tcW w:w="920" w:type="dxa"/>
            <w:vAlign w:val="bottom"/>
            <w:gridSpan w:val="4"/>
            <w:vMerge w:val="restart"/>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80" w:type="dxa"/>
            <w:vAlign w:val="bottom"/>
            <w:gridSpan w:val="10"/>
          </w:tcPr>
          <w:p>
            <w:pPr>
              <w:jc w:val="center"/>
              <w:ind w:right="3820"/>
              <w:spacing w:after="0"/>
              <w:rPr>
                <w:sz w:val="20"/>
                <w:szCs w:val="20"/>
                <w:color w:val="auto"/>
              </w:rPr>
            </w:pPr>
            <w:r>
              <w:rPr>
                <w:rFonts w:ascii="Arial" w:cs="Arial" w:eastAsia="Arial" w:hAnsi="Arial"/>
                <w:sz w:val="18"/>
                <w:szCs w:val="18"/>
                <w:color w:val="auto"/>
                <w:w w:val="99"/>
              </w:rPr>
              <w:t>TABLE OF CONTENTS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80" w:type="dxa"/>
            <w:vAlign w:val="bottom"/>
            <w:tcBorders>
              <w:bottom w:val="single" w:sz="8" w:color="auto"/>
            </w:tcBorders>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5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0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8060" w:type="dxa"/>
            <w:vAlign w:val="bottom"/>
            <w:gridSpan w:val="17"/>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1B.</w:t>
            </w:r>
          </w:p>
        </w:tc>
        <w:tc>
          <w:tcPr>
            <w:tcW w:w="9060" w:type="dxa"/>
            <w:vAlign w:val="bottom"/>
            <w:gridSpan w:val="21"/>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Properties</w:t>
              </w:r>
            </w:hyperlink>
          </w:p>
        </w:tc>
        <w:tc>
          <w:tcPr>
            <w:tcW w:w="1420" w:type="dxa"/>
            <w:vAlign w:val="bottom"/>
            <w:tcBorders>
              <w:top w:val="single" w:sz="8" w:color="0000EE"/>
            </w:tcBorders>
            <w:gridSpan w:val="7"/>
          </w:tcPr>
          <w:p>
            <w:pPr>
              <w:spacing w:after="0"/>
              <w:rPr>
                <w:sz w:val="15"/>
                <w:szCs w:val="15"/>
                <w:color w:val="auto"/>
              </w:rPr>
            </w:pPr>
          </w:p>
        </w:tc>
        <w:tc>
          <w:tcPr>
            <w:tcW w:w="6820" w:type="dxa"/>
            <w:vAlign w:val="bottom"/>
            <w:gridSpan w:val="11"/>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3.</w:t>
            </w:r>
          </w:p>
        </w:tc>
        <w:tc>
          <w:tcPr>
            <w:tcW w:w="9060" w:type="dxa"/>
            <w:vAlign w:val="bottom"/>
            <w:gridSpan w:val="21"/>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4.</w:t>
            </w:r>
          </w:p>
        </w:tc>
        <w:tc>
          <w:tcPr>
            <w:tcW w:w="9060" w:type="dxa"/>
            <w:vAlign w:val="bottom"/>
            <w:gridSpan w:val="21"/>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85"/>
        </w:trPr>
        <w:tc>
          <w:tcPr>
            <w:tcW w:w="1500" w:type="dxa"/>
            <w:vAlign w:val="bottom"/>
            <w:gridSpan w:val="5"/>
          </w:tcPr>
          <w:p>
            <w:pPr>
              <w:spacing w:after="0"/>
              <w:rPr>
                <w:sz w:val="20"/>
                <w:szCs w:val="20"/>
                <w:color w:val="auto"/>
              </w:rPr>
            </w:pPr>
            <w:r>
              <w:rPr>
                <w:rFonts w:ascii="Arial" w:cs="Arial" w:eastAsia="Arial" w:hAnsi="Arial"/>
                <w:sz w:val="18"/>
                <w:szCs w:val="18"/>
                <w:color w:val="auto"/>
              </w:rPr>
              <w:t>PART II</w:t>
            </w: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5.</w:t>
            </w:r>
          </w:p>
        </w:tc>
        <w:tc>
          <w:tcPr>
            <w:tcW w:w="880" w:type="dxa"/>
            <w:vAlign w:val="bottom"/>
            <w:gridSpan w:val="3"/>
          </w:tcPr>
          <w:p>
            <w:pPr>
              <w:spacing w:after="0"/>
              <w:rPr>
                <w:sz w:val="24"/>
                <w:szCs w:val="24"/>
                <w:color w:val="auto"/>
              </w:rPr>
            </w:pPr>
          </w:p>
        </w:tc>
        <w:tc>
          <w:tcPr>
            <w:tcW w:w="906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Market for the Registrant’s Common Equity, Related Stockholder Matters, and Issuer Purchases of Equity</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3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Securities</w:t>
              </w:r>
            </w:hyperlink>
          </w:p>
        </w:tc>
        <w:tc>
          <w:tcPr>
            <w:tcW w:w="68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6.</w:t>
            </w:r>
          </w:p>
        </w:tc>
        <w:tc>
          <w:tcPr>
            <w:tcW w:w="190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Selected Financial Data</w:t>
              </w:r>
            </w:hyperlink>
          </w:p>
        </w:tc>
        <w:tc>
          <w:tcPr>
            <w:tcW w:w="7160" w:type="dxa"/>
            <w:vAlign w:val="bottom"/>
            <w:gridSpan w:val="14"/>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1980" w:type="dxa"/>
            <w:vAlign w:val="bottom"/>
            <w:gridSpan w:val="4"/>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7A.</w:t>
            </w:r>
          </w:p>
        </w:tc>
        <w:tc>
          <w:tcPr>
            <w:tcW w:w="9060" w:type="dxa"/>
            <w:vAlign w:val="bottom"/>
            <w:gridSpan w:val="21"/>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Financial Statements and Supplementary Data</w:t>
              </w:r>
            </w:hyperlink>
          </w:p>
        </w:tc>
        <w:tc>
          <w:tcPr>
            <w:tcW w:w="960" w:type="dxa"/>
            <w:vAlign w:val="bottom"/>
            <w:tcBorders>
              <w:top w:val="single" w:sz="8" w:color="0000EE"/>
            </w:tcBorders>
            <w:gridSpan w:val="2"/>
          </w:tcPr>
          <w:p>
            <w:pPr>
              <w:spacing w:after="0"/>
              <w:rPr>
                <w:sz w:val="15"/>
                <w:szCs w:val="15"/>
                <w:color w:val="auto"/>
              </w:rPr>
            </w:pPr>
          </w:p>
        </w:tc>
        <w:tc>
          <w:tcPr>
            <w:tcW w:w="4380" w:type="dxa"/>
            <w:vAlign w:val="bottom"/>
            <w:gridSpan w:val="6"/>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9.</w:t>
            </w:r>
          </w:p>
        </w:tc>
        <w:tc>
          <w:tcPr>
            <w:tcW w:w="9060" w:type="dxa"/>
            <w:vAlign w:val="bottom"/>
            <w:gridSpan w:val="21"/>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Changes in and Disagreements with Accountants on Accounting and Financial Disclosure</w:t>
              </w:r>
            </w:hyperlink>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c>
          <w:tcPr>
            <w:tcW w:w="1940" w:type="dxa"/>
            <w:vAlign w:val="bottom"/>
            <w:gridSpan w:val="3"/>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9B.</w:t>
            </w:r>
          </w:p>
        </w:tc>
        <w:tc>
          <w:tcPr>
            <w:tcW w:w="19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7080" w:type="dxa"/>
            <w:vAlign w:val="bottom"/>
            <w:gridSpan w:val="12"/>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85"/>
        </w:trPr>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PART III</w:t>
            </w:r>
          </w:p>
        </w:tc>
        <w:tc>
          <w:tcPr>
            <w:tcW w:w="820" w:type="dxa"/>
            <w:vAlign w:val="bottom"/>
            <w:gridSpan w:val="2"/>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5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91">
              <w:r>
                <w:rPr>
                  <w:rFonts w:ascii="Arial" w:cs="Arial" w:eastAsia="Arial" w:hAnsi="Arial"/>
                  <w:sz w:val="18"/>
                  <w:szCs w:val="18"/>
                  <w:color w:val="0000EE"/>
                  <w:w w:val="99"/>
                </w:rPr>
                <w:t>Directors, Executive Officers and Corporate Governance</w:t>
              </w:r>
            </w:hyperlink>
          </w:p>
        </w:tc>
        <w:tc>
          <w:tcPr>
            <w:tcW w:w="456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11.</w:t>
            </w:r>
          </w:p>
        </w:tc>
        <w:tc>
          <w:tcPr>
            <w:tcW w:w="9060" w:type="dxa"/>
            <w:vAlign w:val="bottom"/>
            <w:gridSpan w:val="21"/>
          </w:tcPr>
          <w:p>
            <w:pPr>
              <w:spacing w:after="0" w:line="182" w:lineRule="exact"/>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9"/>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12.</w:t>
            </w:r>
          </w:p>
        </w:tc>
        <w:tc>
          <w:tcPr>
            <w:tcW w:w="9060" w:type="dxa"/>
            <w:vAlign w:val="bottom"/>
            <w:gridSpan w:val="21"/>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Security Ownership of Certain Beneficial Owners and Management and Related Stockholder Matters</w:t>
              </w:r>
            </w:hyperlink>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Related Transactions and Director Independence</w:t>
              </w:r>
            </w:hyperlink>
          </w:p>
        </w:tc>
        <w:tc>
          <w:tcPr>
            <w:tcW w:w="1060" w:type="dxa"/>
            <w:vAlign w:val="bottom"/>
            <w:gridSpan w:val="2"/>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1500" w:type="dxa"/>
            <w:vAlign w:val="bottom"/>
            <w:gridSpan w:val="5"/>
          </w:tcPr>
          <w:p>
            <w:pPr>
              <w:spacing w:after="0" w:line="182" w:lineRule="exact"/>
              <w:rPr>
                <w:sz w:val="20"/>
                <w:szCs w:val="20"/>
                <w:color w:val="auto"/>
              </w:rPr>
            </w:pPr>
            <w:r>
              <w:rPr>
                <w:rFonts w:ascii="Arial" w:cs="Arial" w:eastAsia="Arial" w:hAnsi="Arial"/>
                <w:sz w:val="18"/>
                <w:szCs w:val="18"/>
                <w:color w:val="auto"/>
              </w:rPr>
              <w:t>Item 14.</w:t>
            </w:r>
          </w:p>
        </w:tc>
        <w:tc>
          <w:tcPr>
            <w:tcW w:w="57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Principal Accountant Fees and Services</w:t>
              </w:r>
            </w:hyperlink>
          </w:p>
        </w:tc>
        <w:tc>
          <w:tcPr>
            <w:tcW w:w="3340" w:type="dxa"/>
            <w:vAlign w:val="bottom"/>
            <w:gridSpan w:val="5"/>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85"/>
        </w:trPr>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PART IV</w:t>
            </w:r>
          </w:p>
        </w:tc>
        <w:tc>
          <w:tcPr>
            <w:tcW w:w="80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5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06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Exhibits and Financial Statement Schedules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615"/>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00" w:type="dxa"/>
            <w:vAlign w:val="bottom"/>
            <w:tcBorders>
              <w:top w:val="single" w:sz="8" w:color="0000EE"/>
            </w:tcBorders>
            <w:gridSpan w:val="12"/>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right="40" w:firstLine="360"/>
        <w:spacing w:after="0" w:line="237" w:lineRule="auto"/>
        <w:rPr>
          <w:sz w:val="20"/>
          <w:szCs w:val="20"/>
          <w:color w:val="auto"/>
        </w:rPr>
      </w:pPr>
      <w:r>
        <w:rPr>
          <w:rFonts w:ascii="Arial" w:cs="Arial" w:eastAsia="Arial" w:hAnsi="Arial"/>
          <w:sz w:val="18"/>
          <w:szCs w:val="18"/>
          <w:color w:val="auto"/>
        </w:rPr>
        <w:t>This annual report and the documents incorporated or deemed to be incorporated by reference in this annual report contain statements concerning future results and performance and other matters that are “forward-looking” statements within the meaning of Section 27A of the Securities Act and Section 21E of the Securities Exchange Act of 1934, as amended (the “Exchange Act”). The words “believe,” “expect,” “anticipate,” “intend,” “estimate,”, “plan,” “project,” “may”, “will,” “should,” and variations of such words or similar expressions are intended, but are not the exclusive means, to identify forward-looking statements. Because forward-looking statements are subject to risks and uncertainties, actual results may differ materially from those expressed or implied by the forward-looking statements.</w:t>
      </w:r>
    </w:p>
    <w:p>
      <w:pPr>
        <w:spacing w:after="0" w:line="15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43" w:lineRule="exact"/>
        <w:rPr>
          <w:sz w:val="20"/>
          <w:szCs w:val="20"/>
          <w:color w:val="auto"/>
        </w:rPr>
      </w:pPr>
    </w:p>
    <w:p>
      <w:pPr>
        <w:ind w:left="1080" w:right="300" w:hanging="356"/>
        <w:spacing w:after="0" w:line="24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142" w:lineRule="exact"/>
        <w:rPr>
          <w:rFonts w:ascii="Arial" w:cs="Arial" w:eastAsia="Arial" w:hAnsi="Arial"/>
          <w:sz w:val="18"/>
          <w:szCs w:val="18"/>
          <w:color w:val="auto"/>
        </w:rPr>
      </w:pPr>
    </w:p>
    <w:p>
      <w:pPr>
        <w:ind w:left="1080" w:hanging="35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remain competitive in the industries in which our Machine Clothing segment competes;</w:t>
      </w:r>
    </w:p>
    <w:p>
      <w:pPr>
        <w:spacing w:after="0" w:line="157" w:lineRule="exact"/>
        <w:rPr>
          <w:rFonts w:ascii="Arial" w:cs="Arial" w:eastAsia="Arial" w:hAnsi="Arial"/>
          <w:sz w:val="18"/>
          <w:szCs w:val="18"/>
          <w:color w:val="auto"/>
        </w:rPr>
      </w:pPr>
    </w:p>
    <w:p>
      <w:pPr>
        <w:ind w:left="1080" w:hanging="35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have achieve or maintain anticipated profitable growth in our Engineered Composites segment; and</w:t>
      </w:r>
    </w:p>
    <w:p>
      <w:pPr>
        <w:spacing w:after="0" w:line="157" w:lineRule="exact"/>
        <w:rPr>
          <w:rFonts w:ascii="Arial" w:cs="Arial" w:eastAsia="Arial" w:hAnsi="Arial"/>
          <w:sz w:val="18"/>
          <w:szCs w:val="18"/>
          <w:color w:val="auto"/>
        </w:rPr>
      </w:pPr>
    </w:p>
    <w:p>
      <w:pPr>
        <w:ind w:left="1080" w:hanging="356"/>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58"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Item 1A - “Risk Factors” , as well as in the “Outlook” and “Business Environment and Trends” sections in the business segment discussions in Item 7 of this annual report. Statements expressing our assessments of the growth potential of the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annual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52" w:lineRule="exact"/>
        <w:rPr>
          <w:sz w:val="20"/>
          <w:szCs w:val="20"/>
          <w:color w:val="auto"/>
        </w:rPr>
      </w:pPr>
    </w:p>
    <w:p>
      <w:pPr>
        <w:ind w:right="220" w:firstLine="360"/>
        <w:spacing w:after="0"/>
        <w:rPr>
          <w:sz w:val="20"/>
          <w:szCs w:val="20"/>
          <w:color w:val="auto"/>
        </w:rPr>
      </w:pPr>
      <w:r>
        <w:rPr>
          <w:rFonts w:ascii="Arial" w:cs="Arial" w:eastAsia="Arial" w:hAnsi="Arial"/>
          <w:sz w:val="18"/>
          <w:szCs w:val="18"/>
          <w:color w:val="auto"/>
        </w:rPr>
        <w:t>Except as otherwise required by the federal securities laws, we disclaim any obligation or undertaking to publicly release any updates or revisions to any forward-looking statement contained or incorporated by reference in this annual report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4" w:name="page5"/>
    <w:bookmarkEnd w:id="4"/>
    <w:p>
      <w:pPr>
        <w:ind w:left="5760"/>
        <w:spacing w:after="0"/>
        <w:rPr>
          <w:sz w:val="20"/>
          <w:szCs w:val="20"/>
          <w:color w:val="auto"/>
        </w:rPr>
      </w:pPr>
      <w:r>
        <w:rPr>
          <w:rFonts w:ascii="Arial" w:cs="Arial" w:eastAsia="Arial" w:hAnsi="Arial"/>
          <w:sz w:val="18"/>
          <w:szCs w:val="18"/>
          <w:u w:val="single" w:color="auto"/>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Albany International Corp. (the Registrant, the Company, we, us, or our) and its subsidiaries are engaged in two business segments.</w:t>
      </w:r>
    </w:p>
    <w:p>
      <w:pPr>
        <w:spacing w:after="0" w:line="158" w:lineRule="exact"/>
        <w:rPr>
          <w:sz w:val="20"/>
          <w:szCs w:val="20"/>
          <w:color w:val="auto"/>
        </w:rPr>
      </w:pPr>
    </w:p>
    <w:p>
      <w:pPr>
        <w:ind w:right="480" w:firstLine="360"/>
        <w:spacing w:after="0" w:line="246" w:lineRule="auto"/>
        <w:rPr>
          <w:sz w:val="20"/>
          <w:szCs w:val="20"/>
          <w:color w:val="auto"/>
        </w:rPr>
      </w:pPr>
      <w:r>
        <w:rPr>
          <w:rFonts w:ascii="Arial" w:cs="Arial" w:eastAsia="Arial" w:hAnsi="Arial"/>
          <w:sz w:val="18"/>
          <w:szCs w:val="18"/>
          <w:color w:val="auto"/>
        </w:rPr>
        <w:t>The Machine Clothing segment includes paper machine clothing - engineered fabrics and belts used in the manufacture of paper and paperboard – as well as engineered fabrics and belts used in many other industrial applications.</w:t>
      </w:r>
    </w:p>
    <w:p>
      <w:pPr>
        <w:spacing w:after="0" w:line="143"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We design, manufacture, and market paper machine clothing for each section of the paper machine. We manufacture and sell more paper machine clothing worldwide than any other company. Paper machine clothing consists of large permeable and non-permeable continuous belts of custom-designed and custom-manufactured engineered fabrics that are installed on paper machines and carry the paper stock through each stage of the paper production process. Paper machine clothing products are consumable products of technologically sophisticated design that utilize polymeric materials in a complex structure. The design and material composition of paper machine clothing can have a considerable effect on the quality of paper products produced and the efficiency of the paper machines on which it is used. Principal products in the paper machine clothing segment include forming, pressing, and dryer fabrics, and process belts. A forming fabric assists in paper sheet formation and conveys the very wet sheet (more than 75% water) through the forming section. Press fabrics are designed to carry the sheet through the press section, where water is pressed from the sheet as it passes through the press nip. In the dryer section, dryer fabrics manage air movement and hold the sheet against heated cylinders to enhance drying. Process belts are used in the press section to increase dryness and enhance sheet properties, as well as in other sections of the machine to improve runnability and enhance sheet qualities.</w:t>
      </w:r>
    </w:p>
    <w:p>
      <w:pPr>
        <w:spacing w:after="0" w:line="152" w:lineRule="exact"/>
        <w:rPr>
          <w:sz w:val="20"/>
          <w:szCs w:val="20"/>
          <w:color w:val="auto"/>
        </w:rPr>
      </w:pPr>
    </w:p>
    <w:p>
      <w:pPr>
        <w:jc w:val="both"/>
        <w:ind w:right="440" w:firstLine="360"/>
        <w:spacing w:after="0"/>
        <w:rPr>
          <w:sz w:val="20"/>
          <w:szCs w:val="20"/>
          <w:color w:val="auto"/>
        </w:rPr>
      </w:pPr>
      <w:r>
        <w:rPr>
          <w:rFonts w:ascii="Arial" w:cs="Arial" w:eastAsia="Arial" w:hAnsi="Arial"/>
          <w:sz w:val="18"/>
          <w:szCs w:val="18"/>
          <w:color w:val="auto"/>
        </w:rPr>
        <w:t>The Machine Clothing segment also supplies consumable fabrics used to process paper pulp, as well as engineered fabrics used in a range of industries other than papermaking. These other products include belts used to make nonwovens, fiber cement building products, roofing shingles, and corrugated sheets used in boxboard, as well as belts used in tannery and textile applications.</w:t>
      </w:r>
    </w:p>
    <w:p>
      <w:pPr>
        <w:spacing w:after="0" w:line="149" w:lineRule="exact"/>
        <w:rPr>
          <w:sz w:val="20"/>
          <w:szCs w:val="20"/>
          <w:color w:val="auto"/>
        </w:rPr>
      </w:pPr>
    </w:p>
    <w:p>
      <w:pPr>
        <w:ind w:right="440" w:firstLine="360"/>
        <w:spacing w:after="0" w:line="238" w:lineRule="auto"/>
        <w:rPr>
          <w:sz w:val="20"/>
          <w:szCs w:val="20"/>
          <w:color w:val="auto"/>
        </w:rPr>
      </w:pPr>
      <w:r>
        <w:rPr>
          <w:rFonts w:ascii="Arial" w:cs="Arial" w:eastAsia="Arial" w:hAnsi="Arial"/>
          <w:sz w:val="18"/>
          <w:szCs w:val="18"/>
          <w:color w:val="auto"/>
        </w:rPr>
        <w:t>We sell our Machine Clothing products directly to customer end-users, which include paper industry companies, nonwovens manufacturers, and building products companies, some of which operate in multiple regions of the world. Our products, manufacturing processes, and distribution channels for Machine Clothing are substantially the same in each region of the world in which we operate. The sales of forming, pressing, and dryer fabrics, individually and in the aggregate, accounted for more than 10% of our consolidated net sales during one year or more of the last three years.</w:t>
      </w:r>
    </w:p>
    <w:p>
      <w:pPr>
        <w:spacing w:after="0" w:line="149" w:lineRule="exact"/>
        <w:rPr>
          <w:sz w:val="20"/>
          <w:szCs w:val="20"/>
          <w:color w:val="auto"/>
        </w:rPr>
      </w:pPr>
    </w:p>
    <w:p>
      <w:pPr>
        <w:ind w:right="140" w:firstLine="360"/>
        <w:spacing w:after="0" w:line="238" w:lineRule="auto"/>
        <w:rPr>
          <w:sz w:val="20"/>
          <w:szCs w:val="20"/>
          <w:color w:val="auto"/>
        </w:rPr>
      </w:pPr>
      <w:r>
        <w:rPr>
          <w:rFonts w:ascii="Arial" w:cs="Arial" w:eastAsia="Arial" w:hAnsi="Arial"/>
          <w:sz w:val="18"/>
          <w:szCs w:val="18"/>
          <w:color w:val="auto"/>
        </w:rPr>
        <w:t>The Engineered Composites segment (AEC)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under a long-term supply contract. In 2012, approximately 25% of this segment’s sales were related to U.S. government contracts or programs.</w:t>
      </w:r>
    </w:p>
    <w:p>
      <w:pPr>
        <w:spacing w:after="0" w:line="149" w:lineRule="exact"/>
        <w:rPr>
          <w:sz w:val="20"/>
          <w:szCs w:val="20"/>
          <w:color w:val="auto"/>
        </w:rPr>
      </w:pPr>
    </w:p>
    <w:p>
      <w:pPr>
        <w:ind w:right="500" w:firstLine="360"/>
        <w:spacing w:after="0" w:line="246" w:lineRule="auto"/>
        <w:rPr>
          <w:sz w:val="20"/>
          <w:szCs w:val="20"/>
          <w:color w:val="auto"/>
        </w:rPr>
      </w:pPr>
      <w:r>
        <w:rPr>
          <w:rFonts w:ascii="Arial" w:cs="Arial" w:eastAsia="Arial" w:hAnsi="Arial"/>
          <w:sz w:val="18"/>
          <w:szCs w:val="18"/>
          <w:color w:val="auto"/>
        </w:rPr>
        <w:t>See “Business Environment and Trends” under Item 7, Management’s Discussion and Analysis of Financial Condition and Results of Operations, for a discussion of general segment developments in recent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table of net sales by segment for 2012, 2011, and 2010.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6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2011</w:t>
            </w: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2010</w:t>
            </w:r>
          </w:p>
        </w:tc>
      </w:tr>
      <w:tr>
        <w:trPr>
          <w:trHeight w:val="173"/>
        </w:trPr>
        <w:tc>
          <w:tcPr>
            <w:tcW w:w="3840" w:type="dxa"/>
            <w:vAlign w:val="bottom"/>
          </w:tcPr>
          <w:p>
            <w:pPr>
              <w:ind w:left="100"/>
              <w:spacing w:after="0" w:line="173" w:lineRule="exact"/>
              <w:rPr>
                <w:sz w:val="20"/>
                <w:szCs w:val="20"/>
                <w:color w:val="auto"/>
              </w:rPr>
            </w:pPr>
            <w:r>
              <w:rPr>
                <w:rFonts w:ascii="Arial" w:cs="Arial" w:eastAsia="Arial" w:hAnsi="Arial"/>
                <w:sz w:val="18"/>
                <w:szCs w:val="18"/>
                <w:color w:val="auto"/>
              </w:rPr>
              <w:t>Paper Machine Clothing</w:t>
            </w:r>
          </w:p>
        </w:tc>
        <w:tc>
          <w:tcPr>
            <w:tcW w:w="232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693,176</w:t>
            </w:r>
          </w:p>
        </w:tc>
        <w:tc>
          <w:tcPr>
            <w:tcW w:w="66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739,211</w:t>
            </w:r>
          </w:p>
        </w:tc>
        <w:tc>
          <w:tcPr>
            <w:tcW w:w="66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701,020</w:t>
            </w:r>
          </w:p>
        </w:tc>
      </w:tr>
      <w:tr>
        <w:trPr>
          <w:trHeight w:val="225"/>
        </w:trPr>
        <w:tc>
          <w:tcPr>
            <w:tcW w:w="38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Engineered Composites</w:t>
            </w:r>
          </w:p>
        </w:tc>
        <w:tc>
          <w:tcPr>
            <w:tcW w:w="2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67,765</w:t>
            </w: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48,076</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41,867</w:t>
            </w:r>
          </w:p>
        </w:tc>
      </w:tr>
      <w:tr>
        <w:trPr>
          <w:trHeight w:val="196"/>
        </w:trPr>
        <w:tc>
          <w:tcPr>
            <w:tcW w:w="38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Consolidated total</w:t>
            </w:r>
          </w:p>
        </w:tc>
        <w:tc>
          <w:tcPr>
            <w:tcW w:w="2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760,941</w:t>
            </w:r>
          </w:p>
        </w:tc>
        <w:tc>
          <w:tcPr>
            <w:tcW w:w="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787,287</w:t>
            </w:r>
          </w:p>
        </w:tc>
        <w:tc>
          <w:tcPr>
            <w:tcW w:w="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742,887</w:t>
            </w:r>
          </w:p>
        </w:tc>
      </w:tr>
      <w:tr>
        <w:trPr>
          <w:trHeight w:val="385"/>
        </w:trPr>
        <w:tc>
          <w:tcPr>
            <w:tcW w:w="3840" w:type="dxa"/>
            <w:vAlign w:val="bottom"/>
          </w:tcPr>
          <w:p>
            <w:pPr>
              <w:spacing w:after="0"/>
              <w:rPr>
                <w:sz w:val="24"/>
                <w:szCs w:val="24"/>
                <w:color w:val="auto"/>
              </w:rPr>
            </w:pPr>
          </w:p>
        </w:tc>
        <w:tc>
          <w:tcPr>
            <w:tcW w:w="232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38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5" w:name="page6"/>
    <w:bookmarkEnd w:id="5"/>
    <w:p>
      <w:pPr>
        <w:ind w:right="700" w:firstLine="360"/>
        <w:spacing w:after="0" w:line="246" w:lineRule="auto"/>
        <w:rPr>
          <w:sz w:val="20"/>
          <w:szCs w:val="20"/>
          <w:color w:val="auto"/>
        </w:rPr>
      </w:pPr>
      <w:r>
        <w:rPr>
          <w:rFonts w:ascii="Arial" w:cs="Arial" w:eastAsia="Arial" w:hAnsi="Arial"/>
          <w:sz w:val="18"/>
          <w:szCs w:val="18"/>
          <w:color w:val="auto"/>
        </w:rPr>
        <w:t>The table setting forth certain sales, operating income, and balance sheet data that appears in Note 3, “Reportable Segments and Geographic Data,” of the Financial Statements, included under Item 8 of this Form 10-K, is incorporated herein.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80"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We maintain manufacturing facilities in Brazil, Canada, China, France, Germany, Italy, Mexico, South Korea, Sweden, the United Kingdom, and the United States. We also have a 50% interest in a company in Russia (see Note 1 of Notes to Consolidated Financial Statements).</w:t>
      </w:r>
    </w:p>
    <w:p>
      <w:pPr>
        <w:spacing w:after="0" w:line="119" w:lineRule="exact"/>
        <w:rPr>
          <w:sz w:val="20"/>
          <w:szCs w:val="20"/>
          <w:color w:val="auto"/>
        </w:rPr>
      </w:pPr>
    </w:p>
    <w:p>
      <w:pPr>
        <w:ind w:right="200" w:firstLine="360"/>
        <w:spacing w:after="0"/>
        <w:rPr>
          <w:sz w:val="20"/>
          <w:szCs w:val="20"/>
          <w:color w:val="auto"/>
        </w:rPr>
      </w:pPr>
      <w:r>
        <w:rPr>
          <w:rFonts w:ascii="Arial" w:cs="Arial" w:eastAsia="Arial" w:hAnsi="Arial"/>
          <w:sz w:val="18"/>
          <w:szCs w:val="18"/>
          <w:color w:val="auto"/>
        </w:rPr>
        <w:t>Our geographically diversified operations allow us to serve our markets efficiently and to provide extensive technical services to our customers. We benefit from the transfer of research and development and product innovations between geographic regions. The worldwide scope of our manufacturing and marketing efforts helps to mitigate the impact of economic downturns that are limited to a geographic region.</w:t>
      </w:r>
    </w:p>
    <w:p>
      <w:pPr>
        <w:spacing w:after="0" w:line="149"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Our global presence subjects us to certain risks, including controls on foreign exchange and the repatriation of funds. We have a cash repatriation strategy that targets a certain amount of foreign current year earnings that are not permanently reinvested. To date, we have been able to make such repatriations without substantial governmental restrictions and do not foresee any material changes in our ability to continue to do so in the future. In addition, we believe that the risks associated with our operations outside the United States are no greater than those normally associated with doing business in those locations.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Working Capital, Customers, Seasonality, and Backlog</w:t>
      </w:r>
    </w:p>
    <w:p>
      <w:pPr>
        <w:spacing w:after="0" w:line="180" w:lineRule="exact"/>
        <w:rPr>
          <w:sz w:val="20"/>
          <w:szCs w:val="20"/>
          <w:color w:val="auto"/>
        </w:rPr>
      </w:pPr>
    </w:p>
    <w:p>
      <w:pPr>
        <w:ind w:right="320" w:firstLine="360"/>
        <w:spacing w:after="0" w:line="236" w:lineRule="auto"/>
        <w:rPr>
          <w:sz w:val="20"/>
          <w:szCs w:val="20"/>
          <w:color w:val="auto"/>
        </w:rPr>
      </w:pPr>
      <w:r>
        <w:rPr>
          <w:rFonts w:ascii="Arial" w:cs="Arial" w:eastAsia="Arial" w:hAnsi="Arial"/>
          <w:sz w:val="18"/>
          <w:szCs w:val="18"/>
          <w:color w:val="auto"/>
        </w:rPr>
        <w:t>Machine Clothing is custom-designed for each user, depending on the type, size, and speed of the machine, and the products being produced. Product design is also a function of the machine section, the grade of product being produced, and the quality of the stock used. Technical expertise, judgment, and experience are critical in designing the appropriate clothing for machine, position, and application. As a result, we employ highly skilled sales and technical service personnel who work directly with each customer’s plant operating management. Our technical service programs give our service engineers field access to the measurement and analysis equipment needed for troubleshooting and application engineering in many areas. Sales, service, and technical expenses are major cost components of the Company. Many employees in sales and technical functions have engineering degrees, paper mill experience, or other manufacturing experience in the markets in which they operate. Our market leadership position reflects our commitment to technological innovation.</w:t>
      </w:r>
    </w:p>
    <w:p>
      <w:pPr>
        <w:spacing w:after="0" w:line="154" w:lineRule="exact"/>
        <w:rPr>
          <w:sz w:val="20"/>
          <w:szCs w:val="20"/>
          <w:color w:val="auto"/>
        </w:rPr>
      </w:pPr>
    </w:p>
    <w:p>
      <w:pPr>
        <w:ind w:right="400" w:firstLine="360"/>
        <w:spacing w:after="0"/>
        <w:rPr>
          <w:sz w:val="20"/>
          <w:szCs w:val="20"/>
          <w:color w:val="auto"/>
        </w:rPr>
      </w:pPr>
      <w:r>
        <w:rPr>
          <w:rFonts w:ascii="Arial" w:cs="Arial" w:eastAsia="Arial" w:hAnsi="Arial"/>
          <w:sz w:val="18"/>
          <w:szCs w:val="18"/>
          <w:color w:val="auto"/>
        </w:rPr>
        <w:t>Payment terms granted to paper industry and other machine clothing customers reflect general competitive practices. Terms vary with product, competitive conditions, and the country of operation. In some markets, customer agreements require us to maintain significant amounts of finished goods inventories to assure continuous availability of our products.</w:t>
      </w:r>
    </w:p>
    <w:p>
      <w:pPr>
        <w:spacing w:after="0" w:line="149"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In addition to supplying paper companies, the Machine Clothing segment is a leading supplier to the nonwovens industry (which includes the manufacture of products such as diapers, personal care and household wipes, and fiberglass-reinforced roofing shingles), the wood and cement-based building products industry, and the pulp industry. These non-paper industries have a wide range of customers, with markets that vary from industrial applications to consumer use.</w:t>
      </w:r>
    </w:p>
    <w:p>
      <w:pPr>
        <w:spacing w:after="0" w:line="148" w:lineRule="exact"/>
        <w:rPr>
          <w:sz w:val="20"/>
          <w:szCs w:val="20"/>
          <w:color w:val="auto"/>
        </w:rPr>
      </w:pPr>
    </w:p>
    <w:p>
      <w:pPr>
        <w:jc w:val="both"/>
        <w:ind w:right="340" w:firstLine="360"/>
        <w:spacing w:after="0"/>
        <w:rPr>
          <w:sz w:val="20"/>
          <w:szCs w:val="20"/>
          <w:color w:val="auto"/>
        </w:rPr>
      </w:pPr>
      <w:r>
        <w:rPr>
          <w:rFonts w:ascii="Arial" w:cs="Arial" w:eastAsia="Arial" w:hAnsi="Arial"/>
          <w:sz w:val="18"/>
          <w:szCs w:val="18"/>
          <w:color w:val="auto"/>
        </w:rPr>
        <w:t>Albany Engineered Composites primarily serves customers in commercial and military aircraft engine and airframe markets. Sales and Accounts receivable rose sharply in 2012. Additionally, we anticipate intensive growth in the future which could lead to further increases in working capital levels.</w:t>
      </w:r>
    </w:p>
    <w:p>
      <w:pPr>
        <w:spacing w:after="0" w:line="149" w:lineRule="exact"/>
        <w:rPr>
          <w:sz w:val="20"/>
          <w:szCs w:val="20"/>
          <w:color w:val="auto"/>
        </w:rPr>
      </w:pPr>
    </w:p>
    <w:p>
      <w:pPr>
        <w:ind w:right="440" w:firstLine="360"/>
        <w:spacing w:after="0" w:line="275" w:lineRule="auto"/>
        <w:rPr>
          <w:sz w:val="20"/>
          <w:szCs w:val="20"/>
          <w:color w:val="auto"/>
        </w:rPr>
      </w:pPr>
      <w:r>
        <w:rPr>
          <w:rFonts w:ascii="Arial" w:cs="Arial" w:eastAsia="Arial" w:hAnsi="Arial"/>
          <w:sz w:val="17"/>
          <w:szCs w:val="17"/>
          <w:color w:val="auto"/>
        </w:rPr>
        <w:t>In the Machine Clothing segment, we typically experience lower sales in the first quarter of the year, as a result of seasonal downtime taken by customers in the fourth quarter of the year. Seasonality is not a significant factor in the Engineered Composites segment.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6" w:name="page7"/>
    <w:bookmarkEnd w:id="6"/>
    <w:p>
      <w:pPr>
        <w:ind w:right="220" w:firstLine="360"/>
        <w:spacing w:after="0" w:line="239" w:lineRule="auto"/>
        <w:rPr>
          <w:sz w:val="20"/>
          <w:szCs w:val="20"/>
          <w:color w:val="auto"/>
        </w:rPr>
      </w:pPr>
      <w:r>
        <w:rPr>
          <w:rFonts w:ascii="Arial" w:cs="Arial" w:eastAsia="Arial" w:hAnsi="Arial"/>
          <w:sz w:val="18"/>
          <w:szCs w:val="18"/>
          <w:color w:val="auto"/>
        </w:rPr>
        <w:t>Backlog in the Machine Clothing segment was $267.8 million at December 31, 2012, compared to $342.9 million at December 31, 2011. The decrease reflects market weakness in Europe and, additionally, shorter order-to-delivery times. Backlog in the Engineered Composites segment was $33.2 million at December 31, 2012 compared to $28.8 million at December 31, 2011. The backlog is generally expected to be invoiced during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0" w:lineRule="exact"/>
        <w:rPr>
          <w:sz w:val="20"/>
          <w:szCs w:val="20"/>
          <w:color w:val="auto"/>
        </w:rPr>
      </w:pPr>
    </w:p>
    <w:p>
      <w:pPr>
        <w:ind w:right="200" w:firstLine="360"/>
        <w:spacing w:after="0" w:line="238" w:lineRule="auto"/>
        <w:rPr>
          <w:sz w:val="20"/>
          <w:szCs w:val="20"/>
          <w:color w:val="auto"/>
        </w:rPr>
      </w:pPr>
      <w:r>
        <w:rPr>
          <w:rFonts w:ascii="Arial" w:cs="Arial" w:eastAsia="Arial" w:hAnsi="Arial"/>
          <w:sz w:val="18"/>
          <w:szCs w:val="18"/>
          <w:color w:val="auto"/>
        </w:rPr>
        <w:t>We invest in research, new product development, and technical analysis with the objective of maintaining our technological leadership in each business segment. While much research activity supports existing products, we also engage in research for new products and product enhancements. New product research has focused primarily on more sophisticated paper machine clothing and engineered fabrics and has resulted in a stream of new products and enhancements such as HYDROCROSS, AEROPOINT, SEAM HYDROCROSS, AEROPULSE, SEAMPLANE, KMX, and EVM BELTS.</w:t>
      </w:r>
    </w:p>
    <w:p>
      <w:pPr>
        <w:spacing w:after="0" w:line="149" w:lineRule="exact"/>
        <w:rPr>
          <w:sz w:val="20"/>
          <w:szCs w:val="20"/>
          <w:color w:val="auto"/>
        </w:rPr>
      </w:pPr>
    </w:p>
    <w:p>
      <w:pPr>
        <w:jc w:val="both"/>
        <w:ind w:right="380" w:firstLine="360"/>
        <w:spacing w:after="0" w:line="275" w:lineRule="auto"/>
        <w:rPr>
          <w:sz w:val="20"/>
          <w:szCs w:val="20"/>
          <w:color w:val="auto"/>
        </w:rPr>
      </w:pPr>
      <w:r>
        <w:rPr>
          <w:rFonts w:ascii="Arial" w:cs="Arial" w:eastAsia="Arial" w:hAnsi="Arial"/>
          <w:sz w:val="17"/>
          <w:szCs w:val="17"/>
          <w:color w:val="auto"/>
        </w:rPr>
        <w:t>Product engineering and research and development expenses totaled $ 28.5 million in 2012, $ 31.1 million in 2011, and $29.3 million in 2010. In 2012, these costs were 3.75% of total company net sales, including $8.0 million or 11.9% of net sales spent in our AEC segment.</w:t>
      </w:r>
    </w:p>
    <w:p>
      <w:pPr>
        <w:spacing w:after="0" w:line="119" w:lineRule="exact"/>
        <w:rPr>
          <w:sz w:val="20"/>
          <w:szCs w:val="20"/>
          <w:color w:val="auto"/>
        </w:rPr>
      </w:pPr>
    </w:p>
    <w:p>
      <w:pPr>
        <w:jc w:val="both"/>
        <w:ind w:right="60" w:firstLine="360"/>
        <w:spacing w:after="0"/>
        <w:rPr>
          <w:sz w:val="20"/>
          <w:szCs w:val="20"/>
          <w:color w:val="auto"/>
        </w:rPr>
      </w:pPr>
      <w:r>
        <w:rPr>
          <w:rFonts w:ascii="Arial" w:cs="Arial" w:eastAsia="Arial" w:hAnsi="Arial"/>
          <w:sz w:val="18"/>
          <w:szCs w:val="18"/>
          <w:color w:val="auto"/>
        </w:rPr>
        <w:t>We conduct our major research and development in Halmstad, Sweden; Manchester, England; Menasha, Wisconsin and Rochester, New Hampshire. Additionally, we conduct process and product design development activities at locations in Quebec, Canada; Menasha, Wisconsin; and St. Stephen, South Carolina.</w:t>
      </w:r>
    </w:p>
    <w:p>
      <w:pPr>
        <w:spacing w:after="0" w:line="149"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We have developed, and continue to develop, proprietary intellectual property germane to the industries we serve. Our intellectual property takes many forms, including patents, trademarks and domains, and trade secrets. Our trade secrets include, among other things, manufacturing know-how and unique processes and equipment. Because intellectual property in the form of patents is published, we often forgo patent protection and preserve the intellectual property as trade secrets. We aggressively protect our proprietary intellectual property, pursuing patent protection when appropriate. Our active portfolio currently contains well over 2,100 patents, and more than 300 new patents are typically granted each year. While we consider our total portfolio of intellectual property, including our patents, to be an important competitive advantage, we do not believe that any single patent is critical to the continuation of our business. All brand names and product names are trade names of Albany International Corp. or its subsidiaries. We have from time to time licensed some of our patents and/or know-how to one or more competitors, and have been licensed under some competitors’ patents, in each case mainly to enhance customer acceptance of new products. The revenue from such licenses is less than 1% of consolidated net sales.</w:t>
      </w:r>
    </w:p>
    <w:p>
      <w:pPr>
        <w:spacing w:after="0" w:line="153" w:lineRule="exact"/>
        <w:rPr>
          <w:sz w:val="20"/>
          <w:szCs w:val="20"/>
          <w:color w:val="auto"/>
        </w:rPr>
      </w:pPr>
    </w:p>
    <w:p>
      <w:pPr>
        <w:ind w:right="220" w:firstLine="360"/>
        <w:spacing w:after="0" w:line="238" w:lineRule="auto"/>
        <w:rPr>
          <w:sz w:val="20"/>
          <w:szCs w:val="20"/>
          <w:color w:val="auto"/>
        </w:rPr>
      </w:pPr>
      <w:r>
        <w:rPr>
          <w:rFonts w:ascii="Arial" w:cs="Arial" w:eastAsia="Arial" w:hAnsi="Arial"/>
          <w:sz w:val="18"/>
          <w:szCs w:val="18"/>
          <w:color w:val="auto"/>
        </w:rPr>
        <w:t>The Engineered Composites segment participates in both Company-sponsored and customer-funded research and development. Some customer-funded research and development may be on a cost-sharing basis, in which case amounts charged to the customer are credited against research and development expense. Expenses were reduced by $0.8 million in 2012 and $0.3 million in 2011 as a result of such arrangements. For customer-funded research and development in which we anticipate funding to exceed expenses, we include amounts charged to the customer in net sales. Through 2012, revenue earned under these arrangements has been insignificant</w:t>
      </w:r>
      <w:r>
        <w:rPr>
          <w:rFonts w:ascii="Arial" w:cs="Arial" w:eastAsia="Arial" w:hAnsi="Arial"/>
          <w:sz w:val="18"/>
          <w:szCs w:val="18"/>
          <w:color w:val="1F497D"/>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80"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Primary raw materials for our Machine Clothing Products are polymer monofilaments and fibers, which have generally been available from a number of suppliers. Therefore, we have not needed to maintain raw material inventories in excess of our current needs to assure availability. In addition, we manufacture polymer monofilaments, a basic raw material for all types of Machine Clothing, at our facility in Homer, New York, which supplies approximately 50% of our worldwide monofilament requirements. This manufacturing enhances our ability to develop proprietary products and helps balance the total supply requirements for monofilaments. Polymer monofilaments are petroleum-based products and are therefore sensitive to changes in the price of petroleum and petroleum intermediates. Carbon fiber and other raw materials used by AEC are available from a number of suppliers, subject to material qualification requirements for specific customer programs.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80" w:lineRule="exact"/>
        <w:rPr>
          <w:sz w:val="20"/>
          <w:szCs w:val="20"/>
          <w:color w:val="auto"/>
        </w:rPr>
      </w:pPr>
    </w:p>
    <w:p>
      <w:pPr>
        <w:jc w:val="both"/>
        <w:ind w:right="80" w:firstLine="360"/>
        <w:spacing w:after="0"/>
        <w:rPr>
          <w:sz w:val="20"/>
          <w:szCs w:val="20"/>
          <w:color w:val="auto"/>
        </w:rPr>
      </w:pPr>
      <w:r>
        <w:rPr>
          <w:rFonts w:ascii="Arial" w:cs="Arial" w:eastAsia="Arial" w:hAnsi="Arial"/>
          <w:sz w:val="18"/>
          <w:szCs w:val="18"/>
          <w:color w:val="auto"/>
        </w:rPr>
        <w:t>The industries in which our Machine Clothing segment competes include several companies that compete in all global markets, along with other companies that compete primarily on a regional basis. In the paper machine clothing market, we believe that we had a worldwide market share of approximately 30% in 2012, while the two largest competitors each had a market share of approximately half of ours.</w:t>
      </w:r>
    </w:p>
    <w:p>
      <w:pPr>
        <w:spacing w:after="0" w:line="149" w:lineRule="exact"/>
        <w:rPr>
          <w:sz w:val="20"/>
          <w:szCs w:val="20"/>
          <w:color w:val="auto"/>
        </w:rPr>
      </w:pPr>
    </w:p>
    <w:p>
      <w:pPr>
        <w:ind w:right="100" w:firstLine="360"/>
        <w:spacing w:after="0" w:line="237" w:lineRule="auto"/>
        <w:rPr>
          <w:sz w:val="20"/>
          <w:szCs w:val="20"/>
          <w:color w:val="auto"/>
        </w:rPr>
      </w:pPr>
      <w:r>
        <w:rPr>
          <w:rFonts w:ascii="Arial" w:cs="Arial" w:eastAsia="Arial" w:hAnsi="Arial"/>
          <w:sz w:val="18"/>
          <w:szCs w:val="18"/>
          <w:color w:val="auto"/>
        </w:rPr>
        <w:t>While some competitors in the Machine Clothing segment tend to compete more on the basis of price, and others attempt to compete more on the basis of technology, both are significant competitive factors in this industry. Some of the Company’s paper machine clothing competitors also supply paper machines and papermaking equipment, and endeavor to compete by bundling clothing and equipment sales. We, like our competitors, provide technical support to customers through our sales and technical service personnel, including (1) consulting on performance of the machine, (2) consulting on machine configurations, both new and rebuilt, (3) selection and custom manufacture of the appropriate machine clothing, and (4) storing fabrics for delivery to the user. Revenues earned from these services are reflected in the prices charged for our products.</w:t>
      </w:r>
    </w:p>
    <w:p>
      <w:pPr>
        <w:spacing w:after="0" w:line="149" w:lineRule="exact"/>
        <w:rPr>
          <w:sz w:val="20"/>
          <w:szCs w:val="20"/>
          <w:color w:val="auto"/>
        </w:rPr>
      </w:pPr>
    </w:p>
    <w:p>
      <w:pPr>
        <w:ind w:right="120" w:firstLine="360"/>
        <w:spacing w:after="0" w:line="237" w:lineRule="auto"/>
        <w:rPr>
          <w:sz w:val="20"/>
          <w:szCs w:val="20"/>
          <w:color w:val="auto"/>
        </w:rPr>
      </w:pPr>
      <w:r>
        <w:rPr>
          <w:rFonts w:ascii="Arial" w:cs="Arial" w:eastAsia="Arial" w:hAnsi="Arial"/>
          <w:sz w:val="18"/>
          <w:szCs w:val="18"/>
          <w:color w:val="auto"/>
        </w:rPr>
        <w:t>The primary competitive factor in the markets in which our Albany Engineered Composites segment competes is product performance. Achieving lower weight without sacrificing strength is the key to improving fuel efficiency, and is a critical performance requirement in the aerospace industry. Our unique, proprietary capabilities in composites enable us to offer customers the opportunity to displace metal components and, in some cases, conventional composites with lower-weight, high-strength, and potentially high-temperature composites. The dominant competitive factor is how the customer weighs these performance benefits, which include fuel savings due to lower weight, against the possible cost advantage of more traditional metal and composite components.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0"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We employ approximately 4,000 persons, of whom 69% are engaged in manufacturing our products. Wages and benefits are competitive with those of other manufacturers in the geographic areas in which our facilities are located. In general, we consider our relations with employees to be excellent.</w:t>
      </w:r>
    </w:p>
    <w:p>
      <w:pPr>
        <w:spacing w:after="0" w:line="149" w:lineRule="exact"/>
        <w:rPr>
          <w:sz w:val="20"/>
          <w:szCs w:val="20"/>
          <w:color w:val="auto"/>
        </w:rPr>
      </w:pPr>
    </w:p>
    <w:p>
      <w:pPr>
        <w:ind w:right="380" w:firstLine="360"/>
        <w:spacing w:after="0" w:line="246" w:lineRule="auto"/>
        <w:rPr>
          <w:sz w:val="20"/>
          <w:szCs w:val="20"/>
          <w:color w:val="auto"/>
        </w:rPr>
      </w:pPr>
      <w:r>
        <w:rPr>
          <w:rFonts w:ascii="Arial" w:cs="Arial" w:eastAsia="Arial" w:hAnsi="Arial"/>
          <w:sz w:val="18"/>
          <w:szCs w:val="18"/>
          <w:color w:val="auto"/>
        </w:rPr>
        <w:t>We have two employees in Menands, New York that are subject to collective bargaining agreements that will remain in effect until mid-2013. A number of hourly employees outside of the United States are also members of various unions.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with respect to the executive officers of the Company as of March 1, 2013: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12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Age</w:t>
            </w:r>
          </w:p>
        </w:tc>
        <w:tc>
          <w:tcPr>
            <w:tcW w:w="76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580" w:type="dxa"/>
            <w:vAlign w:val="bottom"/>
          </w:tcPr>
          <w:p>
            <w:pPr>
              <w:ind w:left="100"/>
              <w:spacing w:after="0" w:line="195" w:lineRule="exact"/>
              <w:rPr>
                <w:sz w:val="20"/>
                <w:szCs w:val="20"/>
                <w:color w:val="auto"/>
              </w:rPr>
            </w:pPr>
            <w:r>
              <w:rPr>
                <w:rFonts w:ascii="Arial" w:cs="Arial" w:eastAsia="Arial" w:hAnsi="Arial"/>
                <w:sz w:val="18"/>
                <w:szCs w:val="18"/>
                <w:color w:val="auto"/>
              </w:rPr>
              <w:t>Joseph G. Morone</w:t>
            </w:r>
          </w:p>
        </w:tc>
        <w:tc>
          <w:tcPr>
            <w:tcW w:w="1220" w:type="dxa"/>
            <w:vAlign w:val="bottom"/>
          </w:tcPr>
          <w:p>
            <w:pPr>
              <w:ind w:left="660"/>
              <w:spacing w:after="0" w:line="195" w:lineRule="exact"/>
              <w:rPr>
                <w:sz w:val="20"/>
                <w:szCs w:val="20"/>
                <w:color w:val="auto"/>
              </w:rPr>
            </w:pPr>
            <w:r>
              <w:rPr>
                <w:rFonts w:ascii="Arial" w:cs="Arial" w:eastAsia="Arial" w:hAnsi="Arial"/>
                <w:sz w:val="18"/>
                <w:szCs w:val="18"/>
                <w:color w:val="auto"/>
              </w:rPr>
              <w:t>59</w:t>
            </w:r>
          </w:p>
        </w:tc>
        <w:tc>
          <w:tcPr>
            <w:tcW w:w="7620" w:type="dxa"/>
            <w:vAlign w:val="bottom"/>
          </w:tcPr>
          <w:p>
            <w:pPr>
              <w:ind w:left="200"/>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03"/>
        </w:trPr>
        <w:tc>
          <w:tcPr>
            <w:tcW w:w="2580" w:type="dxa"/>
            <w:vAlign w:val="bottom"/>
          </w:tcPr>
          <w:p>
            <w:pPr>
              <w:ind w:left="100"/>
              <w:spacing w:after="0" w:line="202" w:lineRule="exact"/>
              <w:rPr>
                <w:sz w:val="20"/>
                <w:szCs w:val="20"/>
                <w:color w:val="auto"/>
              </w:rPr>
            </w:pPr>
            <w:r>
              <w:rPr>
                <w:rFonts w:ascii="Arial" w:cs="Arial" w:eastAsia="Arial" w:hAnsi="Arial"/>
                <w:sz w:val="18"/>
                <w:szCs w:val="18"/>
                <w:color w:val="auto"/>
              </w:rPr>
              <w:t>John B. Cozzolino</w:t>
            </w:r>
          </w:p>
        </w:tc>
        <w:tc>
          <w:tcPr>
            <w:tcW w:w="1220" w:type="dxa"/>
            <w:vAlign w:val="bottom"/>
          </w:tcPr>
          <w:p>
            <w:pPr>
              <w:ind w:left="660"/>
              <w:spacing w:after="0" w:line="202" w:lineRule="exact"/>
              <w:rPr>
                <w:sz w:val="20"/>
                <w:szCs w:val="20"/>
                <w:color w:val="auto"/>
              </w:rPr>
            </w:pPr>
            <w:r>
              <w:rPr>
                <w:rFonts w:ascii="Arial" w:cs="Arial" w:eastAsia="Arial" w:hAnsi="Arial"/>
                <w:sz w:val="18"/>
                <w:szCs w:val="18"/>
                <w:color w:val="auto"/>
              </w:rPr>
              <w:t>46</w:t>
            </w: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Chief Financial Officer and Treasurer</w:t>
            </w:r>
          </w:p>
        </w:tc>
      </w:tr>
      <w:tr>
        <w:trPr>
          <w:trHeight w:val="203"/>
        </w:trPr>
        <w:tc>
          <w:tcPr>
            <w:tcW w:w="2580" w:type="dxa"/>
            <w:vAlign w:val="bottom"/>
          </w:tcPr>
          <w:p>
            <w:pPr>
              <w:ind w:left="100"/>
              <w:spacing w:after="0" w:line="202" w:lineRule="exact"/>
              <w:rPr>
                <w:sz w:val="20"/>
                <w:szCs w:val="20"/>
                <w:color w:val="auto"/>
              </w:rPr>
            </w:pPr>
            <w:r>
              <w:rPr>
                <w:rFonts w:ascii="Arial" w:cs="Arial" w:eastAsia="Arial" w:hAnsi="Arial"/>
                <w:sz w:val="18"/>
                <w:szCs w:val="18"/>
                <w:color w:val="auto"/>
              </w:rPr>
              <w:t>Ralph M. Polumbo</w:t>
            </w:r>
          </w:p>
        </w:tc>
        <w:tc>
          <w:tcPr>
            <w:tcW w:w="1220" w:type="dxa"/>
            <w:vAlign w:val="bottom"/>
          </w:tcPr>
          <w:p>
            <w:pPr>
              <w:ind w:left="660"/>
              <w:spacing w:after="0" w:line="202" w:lineRule="exact"/>
              <w:rPr>
                <w:sz w:val="20"/>
                <w:szCs w:val="20"/>
                <w:color w:val="auto"/>
              </w:rPr>
            </w:pPr>
            <w:r>
              <w:rPr>
                <w:rFonts w:ascii="Arial" w:cs="Arial" w:eastAsia="Arial" w:hAnsi="Arial"/>
                <w:sz w:val="18"/>
                <w:szCs w:val="18"/>
                <w:color w:val="auto"/>
              </w:rPr>
              <w:t>61</w:t>
            </w: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Senior Vice President – Chief Operating Officer, Albany Engineered Composites</w:t>
            </w:r>
          </w:p>
        </w:tc>
      </w:tr>
      <w:tr>
        <w:trPr>
          <w:trHeight w:val="203"/>
        </w:trPr>
        <w:tc>
          <w:tcPr>
            <w:tcW w:w="2580" w:type="dxa"/>
            <w:vAlign w:val="bottom"/>
          </w:tcPr>
          <w:p>
            <w:pPr>
              <w:ind w:left="100"/>
              <w:spacing w:after="0" w:line="202" w:lineRule="exact"/>
              <w:rPr>
                <w:sz w:val="20"/>
                <w:szCs w:val="20"/>
                <w:color w:val="auto"/>
              </w:rPr>
            </w:pPr>
            <w:r>
              <w:rPr>
                <w:rFonts w:ascii="Arial" w:cs="Arial" w:eastAsia="Arial" w:hAnsi="Arial"/>
                <w:sz w:val="18"/>
                <w:szCs w:val="18"/>
                <w:color w:val="auto"/>
              </w:rPr>
              <w:t>Daniel A. Halftermeyer</w:t>
            </w:r>
          </w:p>
        </w:tc>
        <w:tc>
          <w:tcPr>
            <w:tcW w:w="1220" w:type="dxa"/>
            <w:vAlign w:val="bottom"/>
          </w:tcPr>
          <w:p>
            <w:pPr>
              <w:ind w:left="660"/>
              <w:spacing w:after="0" w:line="202" w:lineRule="exact"/>
              <w:rPr>
                <w:sz w:val="20"/>
                <w:szCs w:val="20"/>
                <w:color w:val="auto"/>
              </w:rPr>
            </w:pPr>
            <w:r>
              <w:rPr>
                <w:rFonts w:ascii="Arial" w:cs="Arial" w:eastAsia="Arial" w:hAnsi="Arial"/>
                <w:sz w:val="18"/>
                <w:szCs w:val="18"/>
                <w:color w:val="auto"/>
              </w:rPr>
              <w:t>51</w:t>
            </w: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President – Machine Clothing</w:t>
            </w:r>
          </w:p>
        </w:tc>
      </w:tr>
      <w:tr>
        <w:trPr>
          <w:trHeight w:val="203"/>
        </w:trPr>
        <w:tc>
          <w:tcPr>
            <w:tcW w:w="2580" w:type="dxa"/>
            <w:vAlign w:val="bottom"/>
          </w:tcPr>
          <w:p>
            <w:pPr>
              <w:ind w:left="100"/>
              <w:spacing w:after="0" w:line="202" w:lineRule="exact"/>
              <w:rPr>
                <w:sz w:val="20"/>
                <w:szCs w:val="20"/>
                <w:color w:val="auto"/>
              </w:rPr>
            </w:pPr>
            <w:r>
              <w:rPr>
                <w:rFonts w:ascii="Arial" w:cs="Arial" w:eastAsia="Arial" w:hAnsi="Arial"/>
                <w:sz w:val="18"/>
                <w:szCs w:val="18"/>
                <w:color w:val="auto"/>
              </w:rPr>
              <w:t>Robert A. Hansen</w:t>
            </w:r>
          </w:p>
        </w:tc>
        <w:tc>
          <w:tcPr>
            <w:tcW w:w="1220" w:type="dxa"/>
            <w:vAlign w:val="bottom"/>
          </w:tcPr>
          <w:p>
            <w:pPr>
              <w:ind w:left="660"/>
              <w:spacing w:after="0" w:line="202" w:lineRule="exact"/>
              <w:rPr>
                <w:sz w:val="20"/>
                <w:szCs w:val="20"/>
                <w:color w:val="auto"/>
              </w:rPr>
            </w:pPr>
            <w:r>
              <w:rPr>
                <w:rFonts w:ascii="Arial" w:cs="Arial" w:eastAsia="Arial" w:hAnsi="Arial"/>
                <w:sz w:val="18"/>
                <w:szCs w:val="18"/>
                <w:color w:val="auto"/>
              </w:rPr>
              <w:t>55</w:t>
            </w: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Senior Vice President and Chief Technology Officer</w:t>
            </w:r>
          </w:p>
        </w:tc>
      </w:tr>
      <w:tr>
        <w:trPr>
          <w:trHeight w:val="203"/>
        </w:trPr>
        <w:tc>
          <w:tcPr>
            <w:tcW w:w="2580" w:type="dxa"/>
            <w:vAlign w:val="bottom"/>
          </w:tcPr>
          <w:p>
            <w:pPr>
              <w:ind w:left="100"/>
              <w:spacing w:after="0" w:line="202" w:lineRule="exact"/>
              <w:rPr>
                <w:sz w:val="20"/>
                <w:szCs w:val="20"/>
                <w:color w:val="auto"/>
              </w:rPr>
            </w:pPr>
            <w:r>
              <w:rPr>
                <w:rFonts w:ascii="Arial" w:cs="Arial" w:eastAsia="Arial" w:hAnsi="Arial"/>
                <w:sz w:val="18"/>
                <w:szCs w:val="18"/>
                <w:color w:val="auto"/>
              </w:rPr>
              <w:t>David M. Pawlick</w:t>
            </w:r>
          </w:p>
        </w:tc>
        <w:tc>
          <w:tcPr>
            <w:tcW w:w="1220" w:type="dxa"/>
            <w:vAlign w:val="bottom"/>
          </w:tcPr>
          <w:p>
            <w:pPr>
              <w:ind w:left="660"/>
              <w:spacing w:after="0" w:line="202" w:lineRule="exact"/>
              <w:rPr>
                <w:sz w:val="20"/>
                <w:szCs w:val="20"/>
                <w:color w:val="auto"/>
              </w:rPr>
            </w:pPr>
            <w:r>
              <w:rPr>
                <w:rFonts w:ascii="Arial" w:cs="Arial" w:eastAsia="Arial" w:hAnsi="Arial"/>
                <w:sz w:val="18"/>
                <w:szCs w:val="18"/>
                <w:color w:val="auto"/>
              </w:rPr>
              <w:t>51</w:t>
            </w: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Vice President – Controller</w:t>
            </w:r>
          </w:p>
        </w:tc>
      </w:tr>
      <w:tr>
        <w:trPr>
          <w:trHeight w:val="203"/>
        </w:trPr>
        <w:tc>
          <w:tcPr>
            <w:tcW w:w="2580" w:type="dxa"/>
            <w:vAlign w:val="bottom"/>
          </w:tcPr>
          <w:p>
            <w:pPr>
              <w:ind w:left="100"/>
              <w:spacing w:after="0" w:line="202" w:lineRule="exact"/>
              <w:rPr>
                <w:sz w:val="20"/>
                <w:szCs w:val="20"/>
                <w:color w:val="auto"/>
              </w:rPr>
            </w:pPr>
            <w:r>
              <w:rPr>
                <w:rFonts w:ascii="Arial" w:cs="Arial" w:eastAsia="Arial" w:hAnsi="Arial"/>
                <w:sz w:val="18"/>
                <w:szCs w:val="18"/>
                <w:color w:val="auto"/>
              </w:rPr>
              <w:t>Charles J. Silva, Jr.</w:t>
            </w:r>
          </w:p>
        </w:tc>
        <w:tc>
          <w:tcPr>
            <w:tcW w:w="1220" w:type="dxa"/>
            <w:vAlign w:val="bottom"/>
          </w:tcPr>
          <w:p>
            <w:pPr>
              <w:ind w:left="660"/>
              <w:spacing w:after="0" w:line="202" w:lineRule="exact"/>
              <w:rPr>
                <w:sz w:val="20"/>
                <w:szCs w:val="20"/>
                <w:color w:val="auto"/>
              </w:rPr>
            </w:pPr>
            <w:r>
              <w:rPr>
                <w:rFonts w:ascii="Arial" w:cs="Arial" w:eastAsia="Arial" w:hAnsi="Arial"/>
                <w:sz w:val="18"/>
                <w:szCs w:val="18"/>
                <w:color w:val="auto"/>
              </w:rPr>
              <w:t>53</w:t>
            </w: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Vice President – General Counsel and Secretary</w:t>
            </w:r>
          </w:p>
        </w:tc>
      </w:tr>
      <w:tr>
        <w:trPr>
          <w:trHeight w:val="203"/>
        </w:trPr>
        <w:tc>
          <w:tcPr>
            <w:tcW w:w="2580" w:type="dxa"/>
            <w:vAlign w:val="bottom"/>
          </w:tcPr>
          <w:p>
            <w:pPr>
              <w:ind w:left="100"/>
              <w:spacing w:after="0" w:line="202" w:lineRule="exact"/>
              <w:rPr>
                <w:sz w:val="20"/>
                <w:szCs w:val="20"/>
                <w:color w:val="auto"/>
              </w:rPr>
            </w:pPr>
            <w:r>
              <w:rPr>
                <w:rFonts w:ascii="Arial" w:cs="Arial" w:eastAsia="Arial" w:hAnsi="Arial"/>
                <w:sz w:val="18"/>
                <w:szCs w:val="18"/>
                <w:color w:val="auto"/>
              </w:rPr>
              <w:t>Dawne H. Wimbrow</w:t>
            </w:r>
          </w:p>
        </w:tc>
        <w:tc>
          <w:tcPr>
            <w:tcW w:w="1220" w:type="dxa"/>
            <w:vAlign w:val="bottom"/>
          </w:tcPr>
          <w:p>
            <w:pPr>
              <w:ind w:left="660"/>
              <w:spacing w:after="0" w:line="202" w:lineRule="exact"/>
              <w:rPr>
                <w:sz w:val="20"/>
                <w:szCs w:val="20"/>
                <w:color w:val="auto"/>
              </w:rPr>
            </w:pPr>
            <w:r>
              <w:rPr>
                <w:rFonts w:ascii="Arial" w:cs="Arial" w:eastAsia="Arial" w:hAnsi="Arial"/>
                <w:sz w:val="18"/>
                <w:szCs w:val="18"/>
                <w:color w:val="auto"/>
              </w:rPr>
              <w:t>55</w:t>
            </w:r>
          </w:p>
        </w:tc>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Vice President – Global Information Services and Chief Information Officer</w:t>
            </w:r>
          </w:p>
        </w:tc>
      </w:tr>
      <w:tr>
        <w:trPr>
          <w:trHeight w:val="203"/>
        </w:trPr>
        <w:tc>
          <w:tcPr>
            <w:tcW w:w="25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Joseph M. Gaug</w:t>
            </w:r>
          </w:p>
        </w:tc>
        <w:tc>
          <w:tcPr>
            <w:tcW w:w="1220" w:type="dxa"/>
            <w:vAlign w:val="bottom"/>
            <w:tcBorders>
              <w:bottom w:val="single" w:sz="8" w:color="auto"/>
            </w:tcBorders>
          </w:tcPr>
          <w:p>
            <w:pPr>
              <w:ind w:left="660"/>
              <w:spacing w:after="0" w:line="203" w:lineRule="exact"/>
              <w:rPr>
                <w:sz w:val="20"/>
                <w:szCs w:val="20"/>
                <w:color w:val="auto"/>
              </w:rPr>
            </w:pPr>
            <w:r>
              <w:rPr>
                <w:rFonts w:ascii="Arial" w:cs="Arial" w:eastAsia="Arial" w:hAnsi="Arial"/>
                <w:sz w:val="18"/>
                <w:szCs w:val="18"/>
                <w:color w:val="auto"/>
              </w:rPr>
              <w:t>49</w:t>
            </w:r>
          </w:p>
        </w:tc>
        <w:tc>
          <w:tcPr>
            <w:tcW w:w="76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Associate General Counsel and Assistant Secretary</w:t>
            </w:r>
          </w:p>
        </w:tc>
      </w:tr>
      <w:tr>
        <w:trPr>
          <w:trHeight w:val="601"/>
        </w:trPr>
        <w:tc>
          <w:tcPr>
            <w:tcW w:w="2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20" w:type="dxa"/>
            <w:vAlign w:val="bottom"/>
          </w:tcPr>
          <w:p>
            <w:pPr>
              <w:ind w:left="1860"/>
              <w:spacing w:after="0"/>
              <w:rPr>
                <w:sz w:val="20"/>
                <w:szCs w:val="20"/>
                <w:color w:val="auto"/>
              </w:rPr>
            </w:pPr>
            <w:r>
              <w:rPr>
                <w:rFonts w:ascii="Arial" w:cs="Arial" w:eastAsia="Arial" w:hAnsi="Arial"/>
                <w:sz w:val="18"/>
                <w:szCs w:val="18"/>
                <w:color w:val="auto"/>
              </w:rPr>
              <w:t>8</w:t>
            </w:r>
          </w:p>
        </w:tc>
      </w:tr>
      <w:tr>
        <w:trPr>
          <w:trHeight w:val="196"/>
        </w:trPr>
        <w:tc>
          <w:tcPr>
            <w:tcW w:w="2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16" w:right="239" w:bottom="1440" w:gutter="0" w:footer="0" w:header="0"/>
        </w:sectPr>
      </w:pPr>
    </w:p>
    <w:bookmarkStart w:id="8" w:name="page9"/>
    <w:bookmarkEnd w:id="8"/>
    <w:p>
      <w:pPr>
        <w:ind w:right="80" w:firstLine="360"/>
        <w:spacing w:after="0" w:line="242" w:lineRule="auto"/>
        <w:rPr>
          <w:sz w:val="20"/>
          <w:szCs w:val="20"/>
          <w:color w:val="auto"/>
        </w:rPr>
      </w:pPr>
      <w:r>
        <w:rPr>
          <w:rFonts w:ascii="Arial" w:cs="Arial" w:eastAsia="Arial" w:hAnsi="Arial"/>
          <w:sz w:val="18"/>
          <w:szCs w:val="18"/>
          <w:i w:val="1"/>
          <w:iCs w:val="1"/>
          <w:color w:val="auto"/>
        </w:rPr>
        <w:t xml:space="preserve">Joseph G. Morone </w:t>
      </w:r>
      <w:r>
        <w:rPr>
          <w:rFonts w:ascii="Arial" w:cs="Arial" w:eastAsia="Arial" w:hAnsi="Arial"/>
          <w:sz w:val="18"/>
          <w:szCs w:val="18"/>
          <w:color w:val="auto"/>
        </w:rPr>
        <w:t>joined the Company in 2005. He has served the Company as President and Chief Executive Officer since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2006, and President since August 1, 2005. He has been a director of the Company since 1996. From 1997 to July 2005, he served as President of Bentley University in Waltham, Massachusetts. Prior to joining Bentley, he served as the Dean of the Lally School of Management and Technology at Rensselaer Polytechnic Institute, where he also held the Andersen Consulting Professorship of Management. He currently serves as the Presiding Director of Transworld Entertainment Corporation.</w:t>
      </w:r>
    </w:p>
    <w:p>
      <w:pPr>
        <w:spacing w:after="0" w:line="131" w:lineRule="exact"/>
        <w:rPr>
          <w:sz w:val="20"/>
          <w:szCs w:val="20"/>
          <w:color w:val="auto"/>
        </w:rPr>
      </w:pPr>
    </w:p>
    <w:p>
      <w:pPr>
        <w:ind w:firstLine="360"/>
        <w:spacing w:after="0" w:line="242" w:lineRule="auto"/>
        <w:rPr>
          <w:sz w:val="20"/>
          <w:szCs w:val="20"/>
          <w:color w:val="auto"/>
        </w:rPr>
      </w:pPr>
      <w:r>
        <w:rPr>
          <w:rFonts w:ascii="Arial" w:cs="Arial" w:eastAsia="Arial" w:hAnsi="Arial"/>
          <w:sz w:val="18"/>
          <w:szCs w:val="18"/>
          <w:i w:val="1"/>
          <w:iCs w:val="1"/>
          <w:color w:val="auto"/>
        </w:rPr>
        <w:t xml:space="preserve">John B. Cozzolino </w:t>
      </w:r>
      <w:r>
        <w:rPr>
          <w:rFonts w:ascii="Arial" w:cs="Arial" w:eastAsia="Arial" w:hAnsi="Arial"/>
          <w:sz w:val="18"/>
          <w:szCs w:val="18"/>
          <w:color w:val="auto"/>
        </w:rPr>
        <w:t>joined the Company in 1994. He has served the Company as Chief Financial Officer and Treasurer since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2011. From September 2010 to February 2011, he served as Vice President – Corporate Treasurer and Strategic Planning/Acting Chief Financial Officer, from February 2009 to September 2010, he served as Vice President – Corporate Treasurer and Strategic Planning, and from 2007 to February 2009, he served the Company as Vice President – Strategic Planning. From 2000 until 2007 he served as Director – Strategic Planning, and from 1994 to 2000 he served as Manager – Corporate Accounting.</w:t>
      </w:r>
    </w:p>
    <w:p>
      <w:pPr>
        <w:spacing w:after="0" w:line="131" w:lineRule="exact"/>
        <w:rPr>
          <w:sz w:val="20"/>
          <w:szCs w:val="20"/>
          <w:color w:val="auto"/>
        </w:rPr>
      </w:pPr>
    </w:p>
    <w:p>
      <w:pPr>
        <w:ind w:right="200" w:firstLine="360"/>
        <w:spacing w:after="0" w:line="241" w:lineRule="auto"/>
        <w:rPr>
          <w:sz w:val="20"/>
          <w:szCs w:val="20"/>
          <w:color w:val="auto"/>
        </w:rPr>
      </w:pPr>
      <w:r>
        <w:rPr>
          <w:rFonts w:ascii="Arial" w:cs="Arial" w:eastAsia="Arial" w:hAnsi="Arial"/>
          <w:sz w:val="18"/>
          <w:szCs w:val="18"/>
          <w:i w:val="1"/>
          <w:iCs w:val="1"/>
          <w:color w:val="auto"/>
        </w:rPr>
        <w:t xml:space="preserve">Ralph M. Polumbo </w:t>
      </w:r>
      <w:r>
        <w:rPr>
          <w:rFonts w:ascii="Arial" w:cs="Arial" w:eastAsia="Arial" w:hAnsi="Arial"/>
          <w:sz w:val="18"/>
          <w:szCs w:val="18"/>
          <w:color w:val="auto"/>
        </w:rPr>
        <w:t>joined the Company in 2006. He has served as Chief Operating Officer, Albany Engineered Composites,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2010. He previously served the Company as Chief Administrative Officer (CAO) from September 2008 to December 2010, and as Senior Vice President – Human Resources from 2006 to 2008. From 2004 to April 2006 he served as Head of Human Capital for Deephaven Capital Management. From 1999 to 2004 he served as Vice President – Human Resources and Business Integration for MedSource Technologies. Prior to MedSource, he held the positions of Vice President – Integration and Vice President – Human Resources for Rubbermaid. From 1974 to 1994, he held various management and executive positions for The Stanley Works.</w:t>
      </w:r>
    </w:p>
    <w:p>
      <w:pPr>
        <w:spacing w:after="0" w:line="130" w:lineRule="exact"/>
        <w:rPr>
          <w:sz w:val="20"/>
          <w:szCs w:val="20"/>
          <w:color w:val="auto"/>
        </w:rPr>
      </w:pPr>
    </w:p>
    <w:p>
      <w:pPr>
        <w:ind w:right="100" w:firstLine="360"/>
        <w:spacing w:after="0" w:line="241" w:lineRule="auto"/>
        <w:rPr>
          <w:sz w:val="20"/>
          <w:szCs w:val="20"/>
          <w:color w:val="auto"/>
        </w:rPr>
      </w:pPr>
      <w:r>
        <w:rPr>
          <w:rFonts w:ascii="Arial" w:cs="Arial" w:eastAsia="Arial" w:hAnsi="Arial"/>
          <w:sz w:val="18"/>
          <w:szCs w:val="18"/>
          <w:i w:val="1"/>
          <w:iCs w:val="1"/>
          <w:color w:val="auto"/>
        </w:rPr>
        <w:t xml:space="preserve">Daniel A. Halftermeyer </w:t>
      </w:r>
      <w:r>
        <w:rPr>
          <w:rFonts w:ascii="Arial" w:cs="Arial" w:eastAsia="Arial" w:hAnsi="Arial"/>
          <w:sz w:val="18"/>
          <w:szCs w:val="18"/>
          <w:color w:val="auto"/>
        </w:rPr>
        <w:t>joined the Company in 1987. He has served the Company as President – Machine Clothing since February 2012.</w:t>
      </w:r>
      <w:r>
        <w:rPr>
          <w:rFonts w:ascii="Arial" w:cs="Arial" w:eastAsia="Arial" w:hAnsi="Arial"/>
          <w:sz w:val="18"/>
          <w:szCs w:val="18"/>
          <w:i w:val="1"/>
          <w:iCs w:val="1"/>
          <w:color w:val="auto"/>
        </w:rPr>
        <w:t xml:space="preserve"> </w:t>
      </w:r>
      <w:r>
        <w:rPr>
          <w:rFonts w:ascii="Arial" w:cs="Arial" w:eastAsia="Arial" w:hAnsi="Arial"/>
          <w:sz w:val="18"/>
          <w:szCs w:val="18"/>
          <w:color w:val="auto"/>
        </w:rPr>
        <w:t>He previously served the Company as President – Paper Machine Clothing and Engineered Fabrics from August 2011 to February 2012, as President – Paper Machine Clothing from January 2010 until August 2011, Group Vice President – Paper Machine Clothing Europe from 2005 to August 2008, Vice President and General Manager – North American Dryer Fabrics from 1997 to March 2005, and Technical Director – Dryer Fabrics from 1993 to 1997. He held various technical and management positions in St. Stephen, South Carolina, and Sélestat, France, from 1987 to 1993.</w:t>
      </w:r>
    </w:p>
    <w:p>
      <w:pPr>
        <w:spacing w:after="0" w:line="130" w:lineRule="exact"/>
        <w:rPr>
          <w:sz w:val="20"/>
          <w:szCs w:val="20"/>
          <w:color w:val="auto"/>
        </w:rPr>
      </w:pPr>
    </w:p>
    <w:p>
      <w:pPr>
        <w:ind w:right="80" w:firstLine="360"/>
        <w:spacing w:after="0" w:line="242" w:lineRule="auto"/>
        <w:rPr>
          <w:sz w:val="20"/>
          <w:szCs w:val="20"/>
          <w:color w:val="auto"/>
        </w:rPr>
      </w:pPr>
      <w:r>
        <w:rPr>
          <w:rFonts w:ascii="Arial" w:cs="Arial" w:eastAsia="Arial" w:hAnsi="Arial"/>
          <w:sz w:val="18"/>
          <w:szCs w:val="18"/>
          <w:i w:val="1"/>
          <w:iCs w:val="1"/>
          <w:color w:val="auto"/>
        </w:rPr>
        <w:t xml:space="preserve">Robert A. Hansen </w:t>
      </w:r>
      <w:r>
        <w:rPr>
          <w:rFonts w:ascii="Arial" w:cs="Arial" w:eastAsia="Arial" w:hAnsi="Arial"/>
          <w:sz w:val="18"/>
          <w:szCs w:val="18"/>
          <w:color w:val="auto"/>
        </w:rPr>
        <w:t>joined the Company in 1981. He has served the Company as Senior Vice President and Chief Technology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2010, Vice President – Corporate Research and Development from April 2006 to January 2010, and Director of Technical and Marketing – Europe Press Fabrics from 2004 to April 2006. From 2000 to 2004, he served as Technical Director – Press Fabrics, Göppingen, Germany. Previously he had the position of Technical Director in Dieren, The Netherlands, and had also held technical management and research and development positions in the Company’s Järvenpää, Finland, and Albany, New York facilities.</w:t>
      </w:r>
    </w:p>
    <w:p>
      <w:pPr>
        <w:spacing w:after="0" w:line="131" w:lineRule="exact"/>
        <w:rPr>
          <w:sz w:val="20"/>
          <w:szCs w:val="20"/>
          <w:color w:val="auto"/>
        </w:rPr>
      </w:pPr>
    </w:p>
    <w:p>
      <w:pPr>
        <w:ind w:right="440" w:firstLine="360"/>
        <w:spacing w:after="0" w:line="251" w:lineRule="auto"/>
        <w:rPr>
          <w:sz w:val="20"/>
          <w:szCs w:val="20"/>
          <w:color w:val="auto"/>
        </w:rPr>
      </w:pPr>
      <w:r>
        <w:rPr>
          <w:rFonts w:ascii="Arial" w:cs="Arial" w:eastAsia="Arial" w:hAnsi="Arial"/>
          <w:sz w:val="18"/>
          <w:szCs w:val="18"/>
          <w:i w:val="1"/>
          <w:iCs w:val="1"/>
          <w:color w:val="auto"/>
        </w:rPr>
        <w:t xml:space="preserve">David M. Pawlick </w:t>
      </w:r>
      <w:r>
        <w:rPr>
          <w:rFonts w:ascii="Arial" w:cs="Arial" w:eastAsia="Arial" w:hAnsi="Arial"/>
          <w:sz w:val="18"/>
          <w:szCs w:val="18"/>
          <w:color w:val="auto"/>
        </w:rPr>
        <w:t>joined the Company in 2000. He has served the Company as Vice President – Controller since March 2008, and as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Corporate Accounting from 2000 to 2008. From 1994 to 2000 he served as Director of Finance and Controller for Ahlstrom Machinery, Inc. in Glens Falls, New York. Prior to 1994, he was employed as an Audit Manager for Coopers &amp; Lybrand.</w:t>
      </w:r>
    </w:p>
    <w:p>
      <w:pPr>
        <w:spacing w:after="0" w:line="120" w:lineRule="exact"/>
        <w:rPr>
          <w:sz w:val="20"/>
          <w:szCs w:val="20"/>
          <w:color w:val="auto"/>
        </w:rPr>
      </w:pPr>
    </w:p>
    <w:p>
      <w:pPr>
        <w:ind w:right="220" w:firstLine="360"/>
        <w:spacing w:after="0" w:line="251" w:lineRule="auto"/>
        <w:rPr>
          <w:sz w:val="20"/>
          <w:szCs w:val="20"/>
          <w:color w:val="auto"/>
        </w:rPr>
      </w:pPr>
      <w:r>
        <w:rPr>
          <w:rFonts w:ascii="Arial" w:cs="Arial" w:eastAsia="Arial" w:hAnsi="Arial"/>
          <w:sz w:val="18"/>
          <w:szCs w:val="18"/>
          <w:i w:val="1"/>
          <w:iCs w:val="1"/>
          <w:color w:val="auto"/>
        </w:rPr>
        <w:t xml:space="preserve">Charles J. Silva Jr. </w:t>
      </w:r>
      <w:r>
        <w:rPr>
          <w:rFonts w:ascii="Arial" w:cs="Arial" w:eastAsia="Arial" w:hAnsi="Arial"/>
          <w:sz w:val="18"/>
          <w:szCs w:val="18"/>
          <w:color w:val="auto"/>
        </w:rPr>
        <w:t>joined the Company in 1994. He has served the Company as Vice President – General Counsel and Secretary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2002. He served as Assistant General Counsel from 1994 until 2002. Prior to 1994, he was an associate with Cleary, Gottlieb, Steen and Hamilton, an international law firm with headquarters in New York City.</w:t>
      </w:r>
    </w:p>
    <w:p>
      <w:pPr>
        <w:spacing w:after="0" w:line="120" w:lineRule="exact"/>
        <w:rPr>
          <w:sz w:val="20"/>
          <w:szCs w:val="20"/>
          <w:color w:val="auto"/>
        </w:rPr>
      </w:pPr>
    </w:p>
    <w:p>
      <w:pPr>
        <w:ind w:firstLine="360"/>
        <w:spacing w:after="0" w:line="245" w:lineRule="auto"/>
        <w:rPr>
          <w:sz w:val="20"/>
          <w:szCs w:val="20"/>
          <w:color w:val="auto"/>
        </w:rPr>
      </w:pPr>
      <w:r>
        <w:rPr>
          <w:rFonts w:ascii="Arial" w:cs="Arial" w:eastAsia="Arial" w:hAnsi="Arial"/>
          <w:sz w:val="18"/>
          <w:szCs w:val="18"/>
          <w:i w:val="1"/>
          <w:iCs w:val="1"/>
          <w:color w:val="auto"/>
        </w:rPr>
        <w:t xml:space="preserve">Dawne H. Wimbrow </w:t>
      </w:r>
      <w:r>
        <w:rPr>
          <w:rFonts w:ascii="Arial" w:cs="Arial" w:eastAsia="Arial" w:hAnsi="Arial"/>
          <w:sz w:val="18"/>
          <w:szCs w:val="18"/>
          <w:color w:val="auto"/>
        </w:rPr>
        <w:t>joined the Company in 1993. She has served the Company as Vice President – Global Information Services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Officer since September 2005. She previously served the Company in various management positions in the Global Information Systems organization. From 1980 to 1993, she worked as a consultant supporting the design, development, and implementation of computer systems for various textile, real estate, insurance, and law firms.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20" w:right="259" w:bottom="1440" w:gutter="0" w:footer="0" w:header="0"/>
        </w:sectPr>
      </w:pPr>
    </w:p>
    <w:bookmarkStart w:id="9" w:name="page10"/>
    <w:bookmarkEnd w:id="9"/>
    <w:p>
      <w:pPr>
        <w:ind w:right="80" w:firstLine="360"/>
        <w:spacing w:after="0" w:line="297" w:lineRule="auto"/>
        <w:rPr>
          <w:sz w:val="20"/>
          <w:szCs w:val="20"/>
          <w:color w:val="auto"/>
        </w:rPr>
      </w:pPr>
      <w:r>
        <w:rPr>
          <w:rFonts w:ascii="Arial" w:cs="Arial" w:eastAsia="Arial" w:hAnsi="Arial"/>
          <w:sz w:val="17"/>
          <w:szCs w:val="17"/>
          <w:i w:val="1"/>
          <w:iCs w:val="1"/>
          <w:color w:val="auto"/>
        </w:rPr>
        <w:t xml:space="preserve">Joseph M. Gaug </w:t>
      </w:r>
      <w:r>
        <w:rPr>
          <w:rFonts w:ascii="Arial" w:cs="Arial" w:eastAsia="Arial" w:hAnsi="Arial"/>
          <w:sz w:val="17"/>
          <w:szCs w:val="17"/>
          <w:color w:val="auto"/>
        </w:rPr>
        <w:t>joined the Company in 2004. He has served the Company as Associate General Counsel since 2004 and as Assistant</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since 2006. Prior to 2004, he was a principal with McNamee, Lochner, Titus &amp; Williams, P.C., a law firm located in Albany, New York.</w:t>
      </w:r>
    </w:p>
    <w:p>
      <w:pPr>
        <w:spacing w:after="0" w:line="101" w:lineRule="exact"/>
        <w:rPr>
          <w:sz w:val="20"/>
          <w:szCs w:val="20"/>
          <w:color w:val="auto"/>
        </w:rPr>
      </w:pPr>
    </w:p>
    <w:p>
      <w:pPr>
        <w:jc w:val="both"/>
        <w:ind w:right="220" w:firstLine="360"/>
        <w:spacing w:after="0" w:line="261" w:lineRule="auto"/>
        <w:rPr>
          <w:sz w:val="20"/>
          <w:szCs w:val="20"/>
          <w:color w:val="auto"/>
        </w:rPr>
      </w:pPr>
      <w:r>
        <w:rPr>
          <w:rFonts w:ascii="Arial" w:cs="Arial" w:eastAsia="Arial" w:hAnsi="Arial"/>
          <w:sz w:val="17"/>
          <w:szCs w:val="17"/>
          <w:color w:val="auto"/>
        </w:rPr>
        <w:t>We are incorporated under the laws of the State of Delaware and are the successor to a New York corporation originally incorporated in 1895, which was merged into the Company in August 1987 solely for the purpose of changing the domicile of the corporation. References to the Company that relate to any time prior to the August 1987 merger should be understood to refer to the predecessor New York corporation.</w:t>
      </w:r>
    </w:p>
    <w:p>
      <w:pPr>
        <w:spacing w:after="0" w:line="132"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Our Corporate Governance Guidelines, Business Ethics Policy, and Code of Ethics for the Chief Executive Officer, Chief Financial Officer, and Controller, and the charters of the Audit, Compensation, and Governance Committees of the Board of Directors are available at the Corporate Governance section of our website (www.albint.com).</w:t>
      </w:r>
    </w:p>
    <w:p>
      <w:pPr>
        <w:spacing w:after="0" w:line="149"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Our current reports on Form 8-K, quarterly reports on Form 10-Q, and annual reports on Form 10-K are electronically filed with the Securities and Exchange Commission (SEC), and all such reports and amendments to such reports filed subsequent to November 15, 2002, have been and will be made available, free of charge, through our website (www.albint.com) as soon as reasonably practicable after such filing. The public may read and copy any materials filed by the Company with the SEC at the SEC’s Public Reference Room at 450 Fifth Street, NW, Washington, D.C. The public may obtain information on the operation of the Public Reference Room by calling the SEC at 1-800-SEC0330. The SEC maintains a website (www.sec.gov) that contains reports, proxy, information statements, and other information regarding issuers that file electronically with the SEC.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40" w:lineRule="exact"/>
        <w:rPr>
          <w:sz w:val="20"/>
          <w:szCs w:val="20"/>
          <w:color w:val="auto"/>
        </w:rPr>
      </w:pPr>
    </w:p>
    <w:p>
      <w:pPr>
        <w:ind w:right="60" w:firstLine="360"/>
        <w:spacing w:after="0" w:line="245" w:lineRule="auto"/>
        <w:rPr>
          <w:sz w:val="20"/>
          <w:szCs w:val="20"/>
          <w:color w:val="auto"/>
        </w:rPr>
      </w:pPr>
      <w:r>
        <w:rPr>
          <w:rFonts w:ascii="Arial" w:cs="Arial" w:eastAsia="Arial" w:hAnsi="Arial"/>
          <w:sz w:val="18"/>
          <w:szCs w:val="18"/>
          <w:i w:val="1"/>
          <w:iCs w:val="1"/>
          <w:color w:val="auto"/>
        </w:rPr>
        <w:t>The Company’s business, operations, and financial condition are subject to various risks. Some of these risks are described below and in the documents incorporated by reference, and investors should take these risks into account in evaluating any investment decision involving the Company. This section does not describe all risks applicable to the Company, its industry or business, and it is intended only as a summary of certain material factors.</w:t>
      </w:r>
    </w:p>
    <w:p>
      <w:pPr>
        <w:spacing w:after="0" w:line="123"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i w:val="1"/>
          <w:iCs w:val="1"/>
          <w:color w:val="auto"/>
        </w:rPr>
        <w:t>A number of factors have had, and in future periods could have, an adverse impact on sales, profitability and cash flow in the Company’s Machine Clothing segment</w:t>
      </w:r>
    </w:p>
    <w:p>
      <w:pPr>
        <w:spacing w:after="0" w:line="122"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Significant consolidation and rationalization in the paper industry in recent years has reduced global consumption of paper machine clothing in certain markets. Developments in digital media have adversely affected demand for newsprint and for printing and writing grades of paper in North America and Europe, which has had, and could continue to have, an adverse effect on demand for paper machine clothing in those markets. At the same time, technological advances in papermaking, including in paper machine clothing, while contributing to the papermaking efficiency of customers, have in some cases lengthened the useful life of our products and reduced the number of pieces required to produce the same volume of paper. These factors have had, and in future are likely to have, an adverse effect on paper machine clothing sales, and to keep the rate of any future growth in paper machine clothing sales lower than the rate of growth in paper production.</w:t>
      </w:r>
    </w:p>
    <w:p>
      <w:pPr>
        <w:spacing w:after="0" w:line="149" w:lineRule="exact"/>
        <w:rPr>
          <w:sz w:val="20"/>
          <w:szCs w:val="20"/>
          <w:color w:val="auto"/>
        </w:rPr>
      </w:pPr>
    </w:p>
    <w:p>
      <w:pPr>
        <w:ind w:right="60" w:firstLine="360"/>
        <w:spacing w:after="0"/>
        <w:rPr>
          <w:sz w:val="20"/>
          <w:szCs w:val="20"/>
          <w:color w:val="auto"/>
        </w:rPr>
      </w:pPr>
      <w:r>
        <w:rPr>
          <w:rFonts w:ascii="Arial" w:cs="Arial" w:eastAsia="Arial" w:hAnsi="Arial"/>
          <w:sz w:val="18"/>
          <w:szCs w:val="18"/>
          <w:color w:val="auto"/>
        </w:rPr>
        <w:t>The market for paper machine clothing in recent years has been characterized by increased price competition, especially in Europe, which has negatively affected our net sales and operating results. We expect price competition to remain intense in all paper machine clothing markets, especially during periods of customer consolidation, plant closures, or when major contracts are being renegotiated.</w:t>
      </w:r>
    </w:p>
    <w:p>
      <w:pPr>
        <w:spacing w:after="0" w:line="149"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The basic papermaking process, while it has undergone dramatic increases in efficiency and speed, has always relied on paper machine clothing. In the event that a paper machine builder or other person was to develop a commercially viable manner of paper manufacture that did not require paper machine clothing, sales of our products in this segment could be expected to decline significantly. A significant decline in Machine Clothing sales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operating income could have an adverse impact on the Company’s ability to fund the growth of Albany Engineered Composites.</w:t>
      </w:r>
    </w:p>
    <w:p>
      <w:pPr>
        <w:spacing w:after="0" w:line="136"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Some of the Company’s competitors in the Machine Clothing segment have the capability to make and sell paper machines and papermaking equipment as well as other engineered fabrics</w:t>
      </w:r>
    </w:p>
    <w:p>
      <w:pPr>
        <w:spacing w:after="0" w:line="122"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Although customers historically have tended to view the purchase of paper machine clothing and the purchase of paper machines as separate purchasing decisions, the ability to coordinate research and development efforts, and to market machines and fabrics together, could provide a competitive advantage. This underscores the importance of our ability to maintain the technological competitiveness and value of our products, and a failure to do so could have a material adverse effect on our business, financial condition, and results of operations.</w:t>
      </w:r>
    </w:p>
    <w:p>
      <w:pPr>
        <w:spacing w:after="0" w:line="148" w:lineRule="exact"/>
        <w:rPr>
          <w:sz w:val="20"/>
          <w:szCs w:val="20"/>
          <w:color w:val="auto"/>
        </w:rPr>
      </w:pPr>
    </w:p>
    <w:p>
      <w:pPr>
        <w:ind w:right="540" w:firstLine="360"/>
        <w:spacing w:after="0" w:line="246" w:lineRule="auto"/>
        <w:rPr>
          <w:sz w:val="20"/>
          <w:szCs w:val="20"/>
          <w:color w:val="auto"/>
        </w:rPr>
      </w:pPr>
      <w:r>
        <w:rPr>
          <w:rFonts w:ascii="Arial" w:cs="Arial" w:eastAsia="Arial" w:hAnsi="Arial"/>
          <w:sz w:val="18"/>
          <w:szCs w:val="18"/>
          <w:color w:val="auto"/>
        </w:rPr>
        <w:t>Moreover, we cannot predict how the nature of competition in this segment may continue to evolve as a result of future consolidation among our competitors, or consolidation involving our competitors and other suppliers to our customers.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The Standish family has a significant influence on our Company and could prevent transactions that might be in the best interests of our other stockholders</w:t>
      </w:r>
    </w:p>
    <w:p>
      <w:pPr>
        <w:spacing w:after="0" w:line="122" w:lineRule="exact"/>
        <w:rPr>
          <w:sz w:val="20"/>
          <w:szCs w:val="20"/>
          <w:color w:val="auto"/>
        </w:rPr>
      </w:pPr>
    </w:p>
    <w:p>
      <w:pPr>
        <w:ind w:right="140" w:firstLine="360"/>
        <w:spacing w:after="0" w:line="237" w:lineRule="auto"/>
        <w:rPr>
          <w:sz w:val="20"/>
          <w:szCs w:val="20"/>
          <w:color w:val="auto"/>
        </w:rPr>
      </w:pPr>
      <w:r>
        <w:rPr>
          <w:rFonts w:ascii="Arial" w:cs="Arial" w:eastAsia="Arial" w:hAnsi="Arial"/>
          <w:sz w:val="18"/>
          <w:szCs w:val="18"/>
          <w:color w:val="auto"/>
        </w:rPr>
        <w:t>As of December 31, 2012, J. Spencer Standish and related persons (including Christine L. Standish and John C. Standish, both directors of the Company) held in the aggregate shares entitling them to cast approximately 53% of the combined votes entitled to be cast by all stockholders of the Company. The Standish family has significant influence over the management and affairs of the Company and matters requiring stockholder approval, including the election of directors and approval of significant corporate transactions. The Standish family currently has, in the aggregate, sufficient voting power to elect all of our directors and determine the outcome of any shareholder action requiring a majority vote. This could have the effect of delaying or preventing a change in control or a merger, consolidation, or other business combination at a premium price, even though it might be in the best interest of our other stockholders.</w:t>
      </w:r>
    </w:p>
    <w:p>
      <w:pPr>
        <w:spacing w:after="0" w:line="127"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b w:val="1"/>
          <w:bCs w:val="1"/>
          <w:i w:val="1"/>
          <w:iCs w:val="1"/>
          <w:color w:val="auto"/>
        </w:rPr>
        <w:t>We are a “controlled company” within the meaning of the Corporate Governance Rules of the New York Stock Exchange (the “NYSE”) and qualify for, and rely on, certain exemptions from corporate governance requirements applicable to other listed companies</w:t>
      </w:r>
    </w:p>
    <w:p>
      <w:pPr>
        <w:spacing w:after="0" w:line="137"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As a result of the greater than 50% voting power of the Standish family described above, we are a “controlled company” within the meaning of the rules of the NYSE. Therefore, we are not required to comply with certain corporate governance rules that would otherwise apply to us as a listed company on the NYSE. Specifically, we have elected to avail ourselves of the provision exempting a controlled company from the requirement that the Board of Directors include a majority of “independent” directors (as defined by the rules of the NYSE) and the requirement that the Compensation and Governance Committees each be composed entirely of “independent” directors. Should the interests of the Standish family differ from those of other stockholders, the other stockholders would not be afforded such protections as might otherwise exist if our Board of Directors, or these Committees, were controlled by directors who were independent of the Standish family or our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the expected sales growth in the Engineered Composites segment will be realized</w:t>
      </w:r>
    </w:p>
    <w:p>
      <w:pPr>
        <w:spacing w:after="0" w:line="180" w:lineRule="exact"/>
        <w:rPr>
          <w:sz w:val="20"/>
          <w:szCs w:val="20"/>
          <w:color w:val="auto"/>
        </w:rPr>
      </w:pPr>
    </w:p>
    <w:p>
      <w:pPr>
        <w:ind w:right="160" w:firstLine="360"/>
        <w:spacing w:after="0" w:line="238" w:lineRule="auto"/>
        <w:rPr>
          <w:sz w:val="20"/>
          <w:szCs w:val="20"/>
          <w:color w:val="auto"/>
        </w:rPr>
      </w:pPr>
      <w:r>
        <w:rPr>
          <w:rFonts w:ascii="Arial" w:cs="Arial" w:eastAsia="Arial" w:hAnsi="Arial"/>
          <w:sz w:val="18"/>
          <w:szCs w:val="18"/>
          <w:color w:val="auto"/>
        </w:rPr>
        <w:t>The expected size and steep growth rate of the market for LEAP engines will put significant growth pressure on AEC in the short- and medium-term. In the short term, AEC must fulfill critical product and process design and test milestones, establish key elements of the supply chain, complete the first LEAP composites plant and begin construction on the second, and continue to hire and train employees required to staff the LEAP operation. In the medium-term, AEC will be required to ramp up these new operations to full production. AEC’s ability to realize the full growth potential of the LEAP program will depend on how effectively it accomplishes these goals.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1" w:name="page12"/>
    <w:bookmarkEnd w:id="11"/>
    <w:p>
      <w:pPr>
        <w:ind w:right="380" w:firstLine="360"/>
        <w:spacing w:after="0" w:line="239" w:lineRule="auto"/>
        <w:rPr>
          <w:sz w:val="20"/>
          <w:szCs w:val="20"/>
          <w:color w:val="auto"/>
        </w:rPr>
      </w:pPr>
      <w:r>
        <w:rPr>
          <w:rFonts w:ascii="Arial" w:cs="Arial" w:eastAsia="Arial" w:hAnsi="Arial"/>
          <w:sz w:val="18"/>
          <w:szCs w:val="18"/>
          <w:color w:val="auto"/>
        </w:rPr>
        <w:t>Future growth and long-term success of AEC beyond the LEAP program will depend, in part, on the success of new commercial and military aircraft programs. AEC is currently working with customers on projects to supply components for a number of commercial, general aviation, and military aircraft programs. AEC may not be successful in obtaining contracts, or may not be successful in the execution of contracts it obtains.</w:t>
      </w:r>
    </w:p>
    <w:p>
      <w:pPr>
        <w:spacing w:after="0" w:line="12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Contract or program termination, cancellations, delays or other changes could result in material write-offs in the Engineered Composites segment</w:t>
      </w:r>
    </w:p>
    <w:p>
      <w:pPr>
        <w:spacing w:after="0" w:line="122"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In cases in which AEC secures contracts, the reduction or delay of orders by our customers under these contracts, or the termination of such contracts or orders, including those relating to the LEAP program, could also have a material adverse effect on revenues and earnings in this segment in any period. Such events could also result in the write-off of deferred charges that have been accumulated in anticipation of future revenue streams.</w:t>
      </w:r>
    </w:p>
    <w:p>
      <w:pPr>
        <w:spacing w:after="0" w:line="12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Conditions in the paper industry have required, and could further require, the Company to reorganize its operations, which could result in significant expense and could pose risks to the Company’s operations</w:t>
      </w:r>
    </w:p>
    <w:p>
      <w:pPr>
        <w:spacing w:after="0" w:line="122"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During the last several years, we have engaged in significant restructuring that included the closing of a number of manufacturing operations in North America, Europe, and Australia. These restructuring activities were intended to match manufacturing capacity to shifting global demand, and also to improve the efficiency of manufacturing and administrative processes. Future shifting of customer demand, the need to reduce costs, or other factors could cause us to determine in the future that additional restructuring steps are required. Restructuring involves risks such as employee work stoppages, slowdowns, or strikes, which can threaten uninterrupted production, maintenance of high product quality, meeting of customers’ delivery deadlines, and maintenance of administrative processes. Increases in output in remaining manufacturing operations can likewise impose stress on these remaining facilities as they undertake the manufacture of greater volume and, in some cases, a greater variety of products. Competitors can be quick to attempt to exploit these situations. Although we consider these risks, we plan each step of the process carefully, and work to reassure customers who could be affected by any such matters that their requirements will continue to be met, we could lose customers and associated revenues if we fail to plan properly, or if the foregoing tactics are ineffective.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experience supply constraints due to a limited number of suppliers of certain raw materials</w:t>
      </w:r>
    </w:p>
    <w:p>
      <w:pPr>
        <w:spacing w:after="0" w:line="180" w:lineRule="exact"/>
        <w:rPr>
          <w:sz w:val="20"/>
          <w:szCs w:val="20"/>
          <w:color w:val="auto"/>
        </w:rPr>
      </w:pPr>
    </w:p>
    <w:p>
      <w:pPr>
        <w:ind w:right="60" w:firstLine="360"/>
        <w:spacing w:after="0" w:line="237" w:lineRule="auto"/>
        <w:rPr>
          <w:sz w:val="20"/>
          <w:szCs w:val="20"/>
          <w:color w:val="auto"/>
        </w:rPr>
      </w:pPr>
      <w:r>
        <w:rPr>
          <w:rFonts w:ascii="Arial" w:cs="Arial" w:eastAsia="Arial" w:hAnsi="Arial"/>
          <w:sz w:val="18"/>
          <w:szCs w:val="18"/>
          <w:color w:val="auto"/>
        </w:rPr>
        <w:t>There are a limited number of suppliers of polymer fiber and monofilaments, key raw materials used in the manufacture of Machine Clothing, and of carbon fiber and carbon resin, key raw materials used by Albany Engineered Composites. For our Machine Clothing production in Europe and Asia, we purchase most of our monofilament from third parties. For our Machine Clothing production in North America, we currently produce a significant portion of our own monofilament needs. While we have always been able to meet our raw material needs, the limited number of producers of these materials creates the potential for disruptions in supply. Lack of supply, delivery delays, or quality problems relating to supplied raw materials could harm our production capacity and make it difficult to supply our customers with products on time, which could have a negative impact on our business, financial condition, and results of operations.</w:t>
      </w:r>
    </w:p>
    <w:p>
      <w:pPr>
        <w:spacing w:after="0" w:line="12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Economic recession had a significant impact on our customers and our business during 2008 and 2009; a recurrence, or lingering effects of general economic uncertainty, could negatively affect our customers and adversely affect our results of operations</w:t>
      </w:r>
    </w:p>
    <w:p>
      <w:pPr>
        <w:spacing w:after="0" w:line="122" w:lineRule="exact"/>
        <w:rPr>
          <w:sz w:val="20"/>
          <w:szCs w:val="20"/>
          <w:color w:val="auto"/>
        </w:rPr>
      </w:pPr>
    </w:p>
    <w:p>
      <w:pPr>
        <w:ind w:right="60" w:firstLine="360"/>
        <w:spacing w:after="0"/>
        <w:rPr>
          <w:sz w:val="20"/>
          <w:szCs w:val="20"/>
          <w:color w:val="auto"/>
        </w:rPr>
      </w:pPr>
      <w:r>
        <w:rPr>
          <w:rFonts w:ascii="Arial" w:cs="Arial" w:eastAsia="Arial" w:hAnsi="Arial"/>
          <w:sz w:val="18"/>
          <w:szCs w:val="18"/>
          <w:color w:val="auto"/>
        </w:rPr>
        <w:t>The global recession of 2008/2009 had a significant negative effect on the Company and the markets in which it competes. More recently, the weakness of the European economy in 2012 led to a significant decrease in year-over-year sales in that region. Deterioration of current global economic conditions could have an adverse impact on the Company’s business and results of operations.</w:t>
      </w:r>
    </w:p>
    <w:p>
      <w:pPr>
        <w:spacing w:after="0" w:line="149" w:lineRule="exact"/>
        <w:rPr>
          <w:sz w:val="20"/>
          <w:szCs w:val="20"/>
          <w:color w:val="auto"/>
        </w:rPr>
      </w:pPr>
    </w:p>
    <w:p>
      <w:pPr>
        <w:ind w:right="240" w:firstLine="360"/>
        <w:spacing w:after="0" w:line="246" w:lineRule="auto"/>
        <w:rPr>
          <w:sz w:val="20"/>
          <w:szCs w:val="20"/>
          <w:color w:val="auto"/>
        </w:rPr>
      </w:pPr>
      <w:r>
        <w:rPr>
          <w:rFonts w:ascii="Arial" w:cs="Arial" w:eastAsia="Arial" w:hAnsi="Arial"/>
          <w:sz w:val="18"/>
          <w:szCs w:val="18"/>
          <w:color w:val="auto"/>
        </w:rPr>
        <w:t>The Company identifies in this section a number of risks, the effects of which may be exacerbated by an unfavorable economic climate. For example, unfavorable global economic and paper industry conditions may lead 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38" w:right="299" w:bottom="1440" w:gutter="0" w:footer="0" w:header="0"/>
        </w:sectPr>
      </w:pPr>
    </w:p>
    <w:bookmarkStart w:id="12" w:name="page13"/>
    <w:bookmarkEnd w:id="12"/>
    <w:p>
      <w:pPr>
        <w:ind w:right="140"/>
        <w:spacing w:after="0" w:line="239" w:lineRule="auto"/>
        <w:rPr>
          <w:sz w:val="20"/>
          <w:szCs w:val="20"/>
          <w:color w:val="auto"/>
        </w:rPr>
      </w:pPr>
      <w:r>
        <w:rPr>
          <w:rFonts w:ascii="Arial" w:cs="Arial" w:eastAsia="Arial" w:hAnsi="Arial"/>
          <w:sz w:val="18"/>
          <w:szCs w:val="18"/>
          <w:color w:val="auto"/>
        </w:rPr>
        <w:t>greater consolidation and rationalization within the paper industry, further reducing global consumption of paper machine clothing. Reduced consumption of paper machine clothing could in turn increase the risk of greater price competition within the paper machine clothing industry, and greater efforts by competitors to gain market share at the expense of the Company. Sales of the Company’s other Machine Clothing products, as well as in the Company’s AEC business segment, may also be adversely affected by unfavorable economic conditions.</w:t>
      </w:r>
    </w:p>
    <w:p>
      <w:pPr>
        <w:spacing w:after="0" w:line="148" w:lineRule="exact"/>
        <w:rPr>
          <w:sz w:val="20"/>
          <w:szCs w:val="20"/>
          <w:color w:val="auto"/>
        </w:rPr>
      </w:pPr>
    </w:p>
    <w:p>
      <w:pPr>
        <w:ind w:right="40" w:firstLine="360"/>
        <w:spacing w:after="0" w:line="237" w:lineRule="auto"/>
        <w:rPr>
          <w:sz w:val="20"/>
          <w:szCs w:val="20"/>
          <w:color w:val="auto"/>
        </w:rPr>
      </w:pPr>
      <w:r>
        <w:rPr>
          <w:rFonts w:ascii="Arial" w:cs="Arial" w:eastAsia="Arial" w:hAnsi="Arial"/>
          <w:sz w:val="18"/>
          <w:szCs w:val="18"/>
          <w:color w:val="auto"/>
        </w:rPr>
        <w:t>Weak or unstable economic conditions also increase the risk that one or more of our customers could be unable to pay outstanding accounts receivable, whether as the result of bankruptcy or an inability to obtain working capital financing from banks or other lenders. In such a case, we could be forced to write off such accounts, which could have a material adverse effect on our operating results, financial condition, and/or liquidity. Furthermore, many of our businesses design and manufacture products that are custom-designed for a specific customer application, at a specific location. In the event of a customer liquidity issue, the Company could also be required to write off amounts that are included in inventories.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as a result of changes in prices of commodities and labor costs may adversely impact our financial results of operations</w:t>
      </w:r>
    </w:p>
    <w:p>
      <w:pPr>
        <w:spacing w:after="0" w:line="180"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The Company is a significant user of petroleum-based products required for the manufacture of our products. The Company also relies on the labor market in many regions of the world to meet our operational requirements. Increases in the prices of such commodities or in labor costs, particularly in regions that are experiencing higher-levels of inflation, could increase our costs, and we may not be able to fully offset the effects through price increases, productivity improvements, and cost-reduction programs.</w:t>
      </w:r>
    </w:p>
    <w:p>
      <w:pPr>
        <w:spacing w:after="0" w:line="126"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Fluctuations in currency exchange rates could adversely affect the Company’s business, financial condition, and results of operations</w:t>
      </w:r>
    </w:p>
    <w:p>
      <w:pPr>
        <w:spacing w:after="0" w:line="122"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Changes in exchange rates can result in revaluation gains and losses that are recorded in Selling, Technical, General and Research expenses or Other income/expense, net. Revaluation gains and losses occur when our business units have intercompany or third-party trade receivable or payable balances in a currency other than their local reporting (or functional) currency. 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3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Company may fail to adequately protect its proprietary technology, which would allow competitors or others to take advantage of its research and development efforts</w:t>
      </w:r>
    </w:p>
    <w:p>
      <w:pPr>
        <w:spacing w:after="0" w:line="122" w:lineRule="exact"/>
        <w:rPr>
          <w:sz w:val="20"/>
          <w:szCs w:val="20"/>
          <w:color w:val="auto"/>
        </w:rPr>
      </w:pPr>
    </w:p>
    <w:p>
      <w:pPr>
        <w:ind w:right="40" w:firstLine="360"/>
        <w:spacing w:after="0" w:line="237" w:lineRule="auto"/>
        <w:rPr>
          <w:sz w:val="20"/>
          <w:szCs w:val="20"/>
          <w:color w:val="auto"/>
        </w:rPr>
      </w:pPr>
      <w:r>
        <w:rPr>
          <w:rFonts w:ascii="Arial" w:cs="Arial" w:eastAsia="Arial" w:hAnsi="Arial"/>
          <w:sz w:val="18"/>
          <w:szCs w:val="18"/>
          <w:color w:val="auto"/>
        </w:rPr>
        <w:t>Proprietary trade secrets are a source of competitive advantage in each of our segments. If our trade secrets were to become available to competitors, it could have a negative impact on our competitive strength. We employ measures to maintain the confidential nature of these secrets, including maintaining employment and confidentiality agreements; maintaining clear policies intended to protect such trade secrets; educating our employees about such policies; clearly identifying proprietary information subject to such agreements and policies; and vigorously enforcing such agreements and policies. Despite such measures, our employees, consultants, and third parties to whom such information may be disclosed in the ordinary course of our business may breach their obligations not to reveal such information, and any legal remedies available to us may be insufficient to compensate our damages.</w:t>
      </w:r>
    </w:p>
    <w:p>
      <w:pPr>
        <w:spacing w:after="0" w:line="127"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i w:val="1"/>
          <w:iCs w:val="1"/>
          <w:color w:val="auto"/>
        </w:rPr>
        <w:t>At December 31, 2012, the Company had outstanding short-term debt of $83.9 million and long-term debt of $ 235.9 million. The Company may not be able to repay its outstanding debt in the event that default provisions are triggered due to a breach of loan covenants</w:t>
      </w:r>
    </w:p>
    <w:p>
      <w:pPr>
        <w:spacing w:after="0" w:line="137" w:lineRule="exact"/>
        <w:rPr>
          <w:sz w:val="20"/>
          <w:szCs w:val="20"/>
          <w:color w:val="auto"/>
        </w:rPr>
      </w:pPr>
    </w:p>
    <w:p>
      <w:pPr>
        <w:ind w:right="480" w:firstLine="360"/>
        <w:spacing w:after="0" w:line="246" w:lineRule="auto"/>
        <w:rPr>
          <w:sz w:val="20"/>
          <w:szCs w:val="20"/>
          <w:color w:val="auto"/>
        </w:rPr>
      </w:pPr>
      <w:r>
        <w:rPr>
          <w:rFonts w:ascii="Arial" w:cs="Arial" w:eastAsia="Arial" w:hAnsi="Arial"/>
          <w:sz w:val="18"/>
          <w:szCs w:val="18"/>
          <w:color w:val="auto"/>
        </w:rPr>
        <w:t>Existing borrowing agreements contain a number of covenants and financial ratios that the Company is required to satisfy. The most restrictive of these covenants pertain to prescribed leverage and interest coverage ratios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38" w:right="319" w:bottom="1440" w:gutter="0" w:footer="0" w:header="0"/>
        </w:sectPr>
      </w:pPr>
    </w:p>
    <w:bookmarkStart w:id="13" w:name="page14"/>
    <w:bookmarkEnd w:id="13"/>
    <w:p>
      <w:pPr>
        <w:ind w:right="40"/>
        <w:spacing w:after="0" w:line="238" w:lineRule="auto"/>
        <w:rPr>
          <w:sz w:val="20"/>
          <w:szCs w:val="20"/>
          <w:color w:val="auto"/>
        </w:rPr>
      </w:pPr>
      <w:r>
        <w:rPr>
          <w:rFonts w:ascii="Arial" w:cs="Arial" w:eastAsia="Arial" w:hAnsi="Arial"/>
          <w:sz w:val="18"/>
          <w:szCs w:val="18"/>
          <w:color w:val="auto"/>
        </w:rPr>
        <w:t>and asset dispositions. Any breach of any such covenants or restrictions would result in a default under such agreements that would permit the lenders to declare all borrowings under such agreements to be immediately due and payable and, through cross-default provisions, could entitle other lenders to accelerate their loans. In such an event, the Company would need to modify or restructure all or a portion of such indebtedness. Depending on prevailing economic conditions at the time, the Company might find it difficult to modify or restructure on attractive terms, or at all.</w:t>
      </w:r>
    </w:p>
    <w:p>
      <w:pPr>
        <w:spacing w:after="0" w:line="149" w:lineRule="exact"/>
        <w:rPr>
          <w:sz w:val="20"/>
          <w:szCs w:val="20"/>
          <w:color w:val="auto"/>
        </w:rPr>
      </w:pPr>
    </w:p>
    <w:p>
      <w:pPr>
        <w:ind w:right="160" w:firstLine="360"/>
        <w:spacing w:after="0" w:line="238" w:lineRule="auto"/>
        <w:rPr>
          <w:sz w:val="20"/>
          <w:szCs w:val="20"/>
          <w:color w:val="auto"/>
        </w:rPr>
      </w:pPr>
      <w:r>
        <w:rPr>
          <w:rFonts w:ascii="Arial" w:cs="Arial" w:eastAsia="Arial" w:hAnsi="Arial"/>
          <w:sz w:val="18"/>
          <w:szCs w:val="18"/>
          <w:color w:val="auto"/>
        </w:rPr>
        <w:t>We may incur a substantial amount of additional indebtedness in the future. As of December 31, 2012, we had borrowed $132.0 million under our $ 390 million revolving credit facility. Incurrence of additional indebtedness could increase the risks associated with higher leverage. These risks include limiting our ability to make acquisitions or capital expenditures to grow our business, limiting our ability to withstand business and economic downturns, limiting our ability to invest operating cash flow in our business, and limiting our ability to pay dividends. In addition, any such indebtedness could contain terms that are more restrictive than our current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must successfully maintain and/or upgrade its information technology systems</w:t>
      </w:r>
    </w:p>
    <w:p>
      <w:pPr>
        <w:spacing w:after="0" w:line="180"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We rely on various information technology systems to manufacture and ship our products, manage our assets, inventory and employees, process business transactions, prepare financial and other reports, and conduct other business functions that are critical to our operations. We recently completed a multi-year process of Company-wide modifications and upgrades to our systems, including the replacement of legacy systems, modifications to legacy systems, and the acquisition of new systems with new functionality. Despite these efforts, we may be subject to system failures or disruptions due to power failures, interruptions in telecommunications, natural disasters, viral attacks, or other similar events. Measures that we have adopted to mitigate these risks may, despite our efforts, prove to be ineffective in addressing such failures or disruptions, which could have a materially adverse effect on our ability to conduct these critical business functions.</w:t>
      </w:r>
    </w:p>
    <w:p>
      <w:pPr>
        <w:spacing w:after="0" w:line="1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The Company is subject to legal proceedings and legal compliance risks, and has been named as defendant in a large number of suits relating to the actual or alleged exposure to asbestos-containing products</w:t>
      </w:r>
    </w:p>
    <w:p>
      <w:pPr>
        <w:spacing w:after="0" w:line="122"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We are subject to a variety of legal proceedings. Pending proceedings that the Company determines are material are disclosed in Item 3, Legal Proceedings, of this annual report. Litigation is an inherently unpredictable process and unanticipated negative outcomes are always possible. An adverse outcome in any period could have an adverse impact on the Company’s operating results for that period.</w:t>
      </w:r>
    </w:p>
    <w:p>
      <w:pPr>
        <w:spacing w:after="0" w:line="149"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We are also subject to a variety of legal compliance risks. While we believe that we have adopted appropriate risk management and compliance programs, the global and diverse nature of our operations means that legal compliance risks will continue to exist and related legal proceedings and other contingencies, the outcome of which cannot be predicted with certainty, are likely to arise from time to time. Failure to resolve successfully any legal proceedings related to compliance matters could have an adverse impact on our results in any period.</w:t>
      </w:r>
    </w:p>
    <w:p>
      <w:pPr>
        <w:spacing w:after="0" w:line="12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Changes in performance of pension plan assets and assumptions used to estimate our pension and postretirement benefit costs and liabilities could adversely affect our liabilities and net income</w:t>
      </w:r>
    </w:p>
    <w:p>
      <w:pPr>
        <w:spacing w:after="0" w:line="122"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We have pension and postretirement benefit costs and liabilities that are developed from actuarial valuations. In 2012, we incurred charges of $119.7 million as part of our strategy to significantly reduce and, in some cases, permanently settle pension plan liabilities. If we were to take actions to settle additional pension or postretirement plan liabilities in the future, we could incur significant additional charges in the periods in which such actions were taken.</w:t>
      </w:r>
    </w:p>
    <w:p>
      <w:pPr>
        <w:spacing w:after="0" w:line="148" w:lineRule="exact"/>
        <w:rPr>
          <w:sz w:val="20"/>
          <w:szCs w:val="20"/>
          <w:color w:val="auto"/>
        </w:rPr>
      </w:pPr>
    </w:p>
    <w:p>
      <w:pPr>
        <w:ind w:right="80" w:firstLine="360"/>
        <w:spacing w:after="0" w:line="238" w:lineRule="auto"/>
        <w:rPr>
          <w:sz w:val="20"/>
          <w:szCs w:val="20"/>
          <w:color w:val="auto"/>
        </w:rPr>
      </w:pPr>
      <w:r>
        <w:rPr>
          <w:rFonts w:ascii="Arial" w:cs="Arial" w:eastAsia="Arial" w:hAnsi="Arial"/>
          <w:sz w:val="18"/>
          <w:szCs w:val="18"/>
          <w:color w:val="auto"/>
        </w:rPr>
        <w:t>Although we were able to reduce pension liabilities by a significant amount during 2012, as of December 31, 2012, remaining net liabilities under our defined benefit pension plans exceeded plan assets by $ 45.1 million ($15.5 million for the U.S. plan, $29.6 million for non-U.S. plans). Additionally, the liability for unfunded postretirement welfare benefits, principally in the United States, totaled $84.4 million. Annual expense associated with these plans, as well as annual cash contributions, are subject to a number of variables, including discount rates and return on plan assets, actuarial assumptions, and differences between actuarial assumptions and actual future experience.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4" w:name="page15"/>
    <w:bookmarkEnd w:id="14"/>
    <w:p>
      <w:pPr>
        <w:ind w:right="100"/>
        <w:spacing w:after="0"/>
        <w:rPr>
          <w:sz w:val="20"/>
          <w:szCs w:val="20"/>
          <w:color w:val="auto"/>
        </w:rPr>
      </w:pPr>
      <w:r>
        <w:rPr>
          <w:rFonts w:ascii="Arial" w:cs="Arial" w:eastAsia="Arial" w:hAnsi="Arial"/>
          <w:sz w:val="18"/>
          <w:szCs w:val="18"/>
          <w:color w:val="auto"/>
        </w:rPr>
        <w:t>Weakness in investment returns on plan assets, changes in discount rates or actuarial assumptions, and actual future experience could result in higher benefit plan expense and the need to increase pension plan contributions in future years, which could have a material effect on our financial condition and results of operations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the risk of increased expense in health-care related costs</w:t>
      </w:r>
    </w:p>
    <w:p>
      <w:pPr>
        <w:spacing w:after="0" w:line="180" w:lineRule="exact"/>
        <w:rPr>
          <w:sz w:val="20"/>
          <w:szCs w:val="20"/>
          <w:color w:val="auto"/>
        </w:rPr>
      </w:pPr>
    </w:p>
    <w:p>
      <w:pPr>
        <w:ind w:right="140" w:firstLine="360"/>
        <w:spacing w:after="0" w:line="236" w:lineRule="auto"/>
        <w:rPr>
          <w:sz w:val="20"/>
          <w:szCs w:val="20"/>
          <w:color w:val="auto"/>
        </w:rPr>
      </w:pPr>
      <w:r>
        <w:rPr>
          <w:rFonts w:ascii="Arial" w:cs="Arial" w:eastAsia="Arial" w:hAnsi="Arial"/>
          <w:sz w:val="18"/>
          <w:szCs w:val="18"/>
          <w:color w:val="auto"/>
        </w:rPr>
        <w:t>We are largely self-insured for some employee and business risks, including health care and workers’ compensation programs in the United States. Losses under all of these programs are accrued based upon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The Company also maintains stop-loss insurance policies to protect against catastrophic claims above certain limits. If actual results significantly differ from estimates, our financial condition, results of operations, and cash flows could be materially impacted by losses under these programs, as well as higher stop-loss premiums in future periods.</w:t>
      </w:r>
    </w:p>
    <w:p>
      <w:pPr>
        <w:spacing w:after="0" w:line="13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Changes in or interpretations of tax rules, structures, country profitability mix, and regulations may adversely affect our effective tax rates</w:t>
      </w:r>
    </w:p>
    <w:p>
      <w:pPr>
        <w:spacing w:after="0" w:line="122" w:lineRule="exact"/>
        <w:rPr>
          <w:sz w:val="20"/>
          <w:szCs w:val="20"/>
          <w:color w:val="auto"/>
        </w:rPr>
      </w:pPr>
    </w:p>
    <w:p>
      <w:pPr>
        <w:ind w:right="60" w:firstLine="360"/>
        <w:spacing w:after="0" w:line="238" w:lineRule="auto"/>
        <w:rPr>
          <w:sz w:val="20"/>
          <w:szCs w:val="20"/>
          <w:color w:val="auto"/>
        </w:rPr>
      </w:pPr>
      <w:r>
        <w:rPr>
          <w:rFonts w:ascii="Arial" w:cs="Arial" w:eastAsia="Arial" w:hAnsi="Arial"/>
          <w:sz w:val="18"/>
          <w:szCs w:val="18"/>
          <w:color w:val="auto"/>
        </w:rPr>
        <w:t>We are a United States-based multinational company subject to tax in the United States and foreign tax jurisdictions. Unanticipated changes in our tax rates, or tax policies of the countries in which we operate, could affect our future results of operations. Our future effective tax rates could be unfavorably affected by changes in or interpretation of tax rules and regulations in the jurisdictions in which we do business, by structural changes in the Company’s businesses, by unanticipated decreases in the amount of revenue or earnings in countries with low statutory tax rates, or by changes in the valuation of our deferred tax assets and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substantial deferred tax assets that could become impaired and result in a charge to earnings</w:t>
      </w:r>
    </w:p>
    <w:p>
      <w:pPr>
        <w:spacing w:after="0" w:line="180" w:lineRule="exact"/>
        <w:rPr>
          <w:sz w:val="20"/>
          <w:szCs w:val="20"/>
          <w:color w:val="auto"/>
        </w:rPr>
      </w:pPr>
    </w:p>
    <w:p>
      <w:pPr>
        <w:ind w:right="180" w:firstLine="360"/>
        <w:spacing w:after="0" w:line="239" w:lineRule="auto"/>
        <w:rPr>
          <w:sz w:val="20"/>
          <w:szCs w:val="20"/>
          <w:color w:val="auto"/>
        </w:rPr>
      </w:pPr>
      <w:r>
        <w:rPr>
          <w:rFonts w:ascii="Arial" w:cs="Arial" w:eastAsia="Arial" w:hAnsi="Arial"/>
          <w:sz w:val="18"/>
          <w:szCs w:val="18"/>
          <w:color w:val="auto"/>
        </w:rPr>
        <w:t>The Company has deferred tax assets in several tax jurisdictions, including a U.S. asset of approximately $ 88.7 million at December 31, 2012. Realization of this and other deferred tax assets is dependent upon many factors, including generation of future income in specific countries. Lower than expected operating results, organizational changes, or changes in tax laws could result in those deferred tax assets becoming impaired, thus resulting in a charge to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adverse outcomes of pending tax matters</w:t>
      </w:r>
    </w:p>
    <w:p>
      <w:pPr>
        <w:spacing w:after="0" w:line="180" w:lineRule="exact"/>
        <w:rPr>
          <w:sz w:val="20"/>
          <w:szCs w:val="20"/>
          <w:color w:val="auto"/>
        </w:rPr>
      </w:pPr>
    </w:p>
    <w:p>
      <w:pPr>
        <w:ind w:right="100" w:firstLine="360"/>
        <w:spacing w:after="0" w:line="239" w:lineRule="auto"/>
        <w:rPr>
          <w:sz w:val="20"/>
          <w:szCs w:val="20"/>
          <w:color w:val="auto"/>
        </w:rPr>
      </w:pPr>
      <w:r>
        <w:rPr>
          <w:rFonts w:ascii="Arial" w:cs="Arial" w:eastAsia="Arial" w:hAnsi="Arial"/>
          <w:sz w:val="18"/>
          <w:szCs w:val="18"/>
          <w:color w:val="auto"/>
        </w:rPr>
        <w:t>The Company is currently under audit in U.S. and non-U.S. taxing jurisdictions, and the Company’s positions on certain tax matters are being contested by tax authorities in those countries. (These matters are discussed in Note 7 of Notes to Consolidated Financial Statements.) While the Company believes that its positions are correct and that it has reserved adequately for such matters, a final adverse outcome with respect to one or more of these matters could have a material adverse impact on the Company’s results in any period in which they occur.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insurance coverage may be inadequate to cover other significant risk exposures</w:t>
      </w:r>
    </w:p>
    <w:p>
      <w:pPr>
        <w:spacing w:after="0" w:line="180"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In addition to asbestos-related claims, the Company may be exposed to other liabilities related to the products and services we provide. AEC is engaged in designing, developing, and manufacturing components for commercial jet aircraft and defense and technology systems and products. We expect this portion of the business to grow in future periods. Although we maintain insurance for the risks associated with this business, there can be no assurance that the amount of our insurance coverage will be adequate to cover all claims or liabilities. In addition, there can be no assurance that insurance coverage will continue to be available to us in the future at a cost that is acceptable. Any material liability not covered by insurance could have a material adverse effect on our business, financial condition, and results of operations.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38" w:right="299" w:bottom="1440" w:gutter="0" w:footer="0" w:header="0"/>
        </w:sectPr>
      </w:pPr>
    </w:p>
    <w:bookmarkStart w:id="15" w:name="page16"/>
    <w:bookmarkEnd w:id="15"/>
    <w:p>
      <w:pPr>
        <w:ind w:right="1120"/>
        <w:spacing w:after="0" w:line="271" w:lineRule="auto"/>
        <w:rPr>
          <w:sz w:val="20"/>
          <w:szCs w:val="20"/>
          <w:color w:val="auto"/>
        </w:rPr>
      </w:pPr>
      <w:r>
        <w:rPr>
          <w:rFonts w:ascii="Arial" w:cs="Arial" w:eastAsia="Arial" w:hAnsi="Arial"/>
          <w:sz w:val="18"/>
          <w:szCs w:val="18"/>
          <w:b w:val="1"/>
          <w:bCs w:val="1"/>
          <w:i w:val="1"/>
          <w:iCs w:val="1"/>
          <w:color w:val="auto"/>
        </w:rPr>
        <w:t>In addition to the general risks that the Company already faces outside the U.S., the Company now conducts more of its manufacturing operations in emerging markets than it did in the past, which could involve many uncertainties</w:t>
      </w:r>
    </w:p>
    <w:p>
      <w:pPr>
        <w:spacing w:after="0" w:line="122"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We currently have manufacturing facilities outside the U.S. In 2012, 57.3% of consolidated net sales were generated by our non-U.S. subsidiaries. Operations outside of the U.S. are subject to a number of risks and uncertainties, including: governments may impose limitations on our ability to repatriate funds; governments may impose withholding or other taxes on remittances and other payments from our non-U.S. operations,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The occurrence of any of these conditions could disrupt our business or prevent us from conducting business in particular countries or regions of the world.</w:t>
      </w:r>
    </w:p>
    <w:p>
      <w:pPr>
        <w:spacing w:after="0" w:line="13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The Company is subject to laws and regulations worldwide, changes to which could increase our costs and have a material adverse effect on our financial condition or results of operations</w:t>
      </w:r>
    </w:p>
    <w:p>
      <w:pPr>
        <w:spacing w:after="0" w:line="122" w:lineRule="exact"/>
        <w:rPr>
          <w:sz w:val="20"/>
          <w:szCs w:val="20"/>
          <w:color w:val="auto"/>
        </w:rPr>
      </w:pPr>
    </w:p>
    <w:p>
      <w:pPr>
        <w:ind w:right="220" w:firstLine="360"/>
        <w:spacing w:after="0"/>
        <w:rPr>
          <w:sz w:val="20"/>
          <w:szCs w:val="20"/>
          <w:color w:val="auto"/>
        </w:rPr>
      </w:pPr>
      <w:r>
        <w:rPr>
          <w:rFonts w:ascii="Arial" w:cs="Arial" w:eastAsia="Arial" w:hAnsi="Arial"/>
          <w:sz w:val="18"/>
          <w:szCs w:val="18"/>
          <w:color w:val="auto"/>
        </w:rPr>
        <w:t>The Company is subject to laws and regulations relating to employment practices and benefits, taxes, import and export matters, corruption, foreign-exchange controls, competition, workplace health and safety, intellectual property, health-care, the environment and other areas. These laws and regulations have a significant impact on our domestic and international operations.</w:t>
      </w:r>
    </w:p>
    <w:p>
      <w:pPr>
        <w:spacing w:after="0" w:line="149"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We incur significant expenses to comply with laws and regulations. Changes or additions to laws and regulations, including those related to climate change, could increase these expenses, which could have an adverse impact on our financial condition and results of operations. Such changes could also have an adverse impact on our customers and suppliers, which in turn could adversely impact the Company.</w:t>
      </w:r>
    </w:p>
    <w:p>
      <w:pPr>
        <w:spacing w:after="0" w:line="149"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While we have implemented policies and training programs designed to ensure compliance, there can be no assurance that our employees or agents will not violate such laws, regulations or policies, which could have a material adverse impact on our financial condition or results of operations.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158" w:lineRule="exact"/>
        <w:rPr>
          <w:sz w:val="20"/>
          <w:szCs w:val="20"/>
          <w:color w:val="auto"/>
        </w:rPr>
      </w:pPr>
    </w:p>
    <w:p>
      <w:pPr>
        <w:ind w:right="180" w:firstLine="360"/>
        <w:spacing w:after="0" w:line="237" w:lineRule="auto"/>
        <w:rPr>
          <w:sz w:val="20"/>
          <w:szCs w:val="20"/>
          <w:color w:val="auto"/>
        </w:rPr>
      </w:pPr>
      <w:r>
        <w:rPr>
          <w:rFonts w:ascii="Arial" w:cs="Arial" w:eastAsia="Arial" w:hAnsi="Arial"/>
          <w:sz w:val="18"/>
          <w:szCs w:val="18"/>
          <w:color w:val="auto"/>
        </w:rPr>
        <w:t>Our principal manufacturing facilities are located in Brazil, Canada, China, France, Germany, Italy, Mexico, South Korea, Sweden, the United Kingdom, and the United States. The aggregate square footage of our operating facilities in the United States and Canada is approximately 1.8 million square feet, of which 1.6 million square feet are owned and 0.2 million square feet are leased. Our facilities located outside the United States and Canada comprise approximately 2.6 million square feet, of which 2.5 million square feet are owned and 0.1 million square feet are leased. We consider these facilities to be in good condition and suitable for our purpose. The capacity associated with these facilities is adequate to meet production levels required and anticipated through 2013.</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16"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Asbestos Litigation</w:t>
      </w:r>
    </w:p>
    <w:p>
      <w:pPr>
        <w:spacing w:after="0" w:line="180"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defending 4,463 claims as of January 30, 2013.</w:t>
      </w:r>
    </w:p>
    <w:p>
      <w:pPr>
        <w:spacing w:after="0" w:line="158" w:lineRule="exact"/>
        <w:rPr>
          <w:sz w:val="20"/>
          <w:szCs w:val="20"/>
          <w:color w:val="auto"/>
        </w:rPr>
      </w:pPr>
    </w:p>
    <w:p>
      <w:pPr>
        <w:jc w:val="both"/>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820" w:type="dxa"/>
            <w:vAlign w:val="bottom"/>
            <w:tcBorders>
              <w:top w:val="single" w:sz="8" w:color="auto"/>
              <w:left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Year ended</w:t>
            </w:r>
          </w:p>
        </w:tc>
        <w:tc>
          <w:tcPr>
            <w:tcW w:w="194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14"/>
                <w:szCs w:val="14"/>
                <w:i w:val="1"/>
                <w:iCs w:val="1"/>
                <w:color w:val="auto"/>
              </w:rPr>
              <w:t>Opening Number of Claims</w:t>
            </w:r>
          </w:p>
        </w:tc>
        <w:tc>
          <w:tcPr>
            <w:tcW w:w="204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4"/>
                <w:szCs w:val="14"/>
                <w:i w:val="1"/>
                <w:iCs w:val="1"/>
                <w:color w:val="auto"/>
              </w:rPr>
              <w:t>Claims Dismissed,</w:t>
            </w:r>
          </w:p>
        </w:tc>
        <w:tc>
          <w:tcPr>
            <w:tcW w:w="158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4"/>
                <w:szCs w:val="14"/>
                <w:i w:val="1"/>
                <w:iCs w:val="1"/>
                <w:color w:val="auto"/>
              </w:rPr>
              <w:t>Closing</w:t>
            </w:r>
          </w:p>
        </w:tc>
        <w:tc>
          <w:tcPr>
            <w:tcW w:w="258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Amounts Paid</w:t>
            </w:r>
          </w:p>
        </w:tc>
      </w:tr>
      <w:tr>
        <w:trPr>
          <w:trHeight w:val="162"/>
        </w:trPr>
        <w:tc>
          <w:tcPr>
            <w:tcW w:w="1820" w:type="dxa"/>
            <w:vAlign w:val="bottom"/>
            <w:tcBorders>
              <w:left w:val="single" w:sz="8" w:color="auto"/>
              <w:right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December 31,</w:t>
            </w:r>
          </w:p>
        </w:tc>
        <w:tc>
          <w:tcPr>
            <w:tcW w:w="1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4"/>
                <w:szCs w:val="14"/>
                <w:i w:val="1"/>
                <w:iCs w:val="1"/>
                <w:color w:val="auto"/>
              </w:rPr>
              <w:t>Settled, or Resolved</w:t>
            </w: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right"/>
              <w:ind w:right="76"/>
              <w:spacing w:after="0"/>
              <w:rPr>
                <w:sz w:val="20"/>
                <w:szCs w:val="20"/>
                <w:color w:val="auto"/>
              </w:rPr>
            </w:pPr>
            <w:r>
              <w:rPr>
                <w:rFonts w:ascii="Arial" w:cs="Arial" w:eastAsia="Arial" w:hAnsi="Arial"/>
                <w:sz w:val="14"/>
                <w:szCs w:val="14"/>
                <w:i w:val="1"/>
                <w:iCs w:val="1"/>
                <w:color w:val="auto"/>
              </w:rPr>
              <w:t>Number</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(thousands) to</w:t>
            </w:r>
          </w:p>
        </w:tc>
      </w:tr>
      <w:tr>
        <w:trPr>
          <w:trHeight w:val="171"/>
        </w:trPr>
        <w:tc>
          <w:tcPr>
            <w:tcW w:w="1820" w:type="dxa"/>
            <w:vAlign w:val="bottom"/>
            <w:tcBorders>
              <w:left w:val="single" w:sz="8" w:color="auto"/>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i w:val="1"/>
                <w:iCs w:val="1"/>
                <w:color w:val="auto"/>
              </w:rPr>
              <w:t>New Claims</w:t>
            </w:r>
          </w:p>
        </w:tc>
        <w:tc>
          <w:tcPr>
            <w:tcW w:w="1460" w:type="dxa"/>
            <w:vAlign w:val="bottom"/>
            <w:tcBorders>
              <w:right w:val="single" w:sz="8" w:color="auto"/>
            </w:tcBorders>
          </w:tcPr>
          <w:p>
            <w:pPr>
              <w:jc w:val="right"/>
              <w:ind w:right="76"/>
              <w:spacing w:after="0"/>
              <w:rPr>
                <w:sz w:val="20"/>
                <w:szCs w:val="20"/>
                <w:color w:val="auto"/>
              </w:rPr>
            </w:pPr>
            <w:r>
              <w:rPr>
                <w:rFonts w:ascii="Arial" w:cs="Arial" w:eastAsia="Arial" w:hAnsi="Arial"/>
                <w:sz w:val="14"/>
                <w:szCs w:val="14"/>
                <w:i w:val="1"/>
                <w:iCs w:val="1"/>
                <w:color w:val="auto"/>
              </w:rPr>
              <w:t>of</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Settle or</w:t>
            </w:r>
          </w:p>
        </w:tc>
      </w:tr>
      <w:tr>
        <w:trPr>
          <w:trHeight w:val="186"/>
        </w:trPr>
        <w:tc>
          <w:tcPr>
            <w:tcW w:w="182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Claims</w:t>
            </w:r>
          </w:p>
        </w:tc>
        <w:tc>
          <w:tcPr>
            <w:tcW w:w="258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Resolve</w:t>
            </w:r>
          </w:p>
        </w:tc>
      </w:tr>
      <w:tr>
        <w:trPr>
          <w:trHeight w:val="151"/>
        </w:trPr>
        <w:tc>
          <w:tcPr>
            <w:tcW w:w="1820" w:type="dxa"/>
            <w:vAlign w:val="bottom"/>
            <w:tcBorders>
              <w:left w:val="single" w:sz="8" w:color="auto"/>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580" w:type="dxa"/>
            <w:vAlign w:val="bottom"/>
            <w:tcBorders>
              <w:bottom w:val="single" w:sz="8" w:color="auto"/>
              <w:right w:val="single" w:sz="8" w:color="auto"/>
            </w:tcBorders>
          </w:tcPr>
          <w:p>
            <w:pPr>
              <w:spacing w:after="0"/>
              <w:rPr>
                <w:sz w:val="13"/>
                <w:szCs w:val="13"/>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2005</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29,411</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6,257</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1,297</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24,451</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$ 504</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2006</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24,451</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6,841</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1,806</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19,416</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3,879</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2007</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19,416</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808</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190</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18,798</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15</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2008</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18,798</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523</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110</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18,385</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52</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2009</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18,385</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9,482</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42</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8,945</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88</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2010</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8,945</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3,963</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188</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5,170</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159</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2011</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5,170</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789</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65</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4,446</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1,111</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32"/>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b w:val="1"/>
                <w:bCs w:val="1"/>
                <w:i w:val="1"/>
                <w:iCs w:val="1"/>
                <w:color w:val="auto"/>
              </w:rPr>
              <w:t>2012</w:t>
            </w:r>
          </w:p>
        </w:tc>
        <w:tc>
          <w:tcPr>
            <w:tcW w:w="194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b w:val="1"/>
                <w:bCs w:val="1"/>
                <w:i w:val="1"/>
                <w:iCs w:val="1"/>
                <w:color w:val="auto"/>
              </w:rPr>
              <w:t>4,446</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b w:val="1"/>
                <w:bCs w:val="1"/>
                <w:i w:val="1"/>
                <w:iCs w:val="1"/>
                <w:color w:val="auto"/>
              </w:rPr>
              <w:t>90</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i w:val="1"/>
                <w:iCs w:val="1"/>
                <w:color w:val="auto"/>
              </w:rPr>
              <w:t>107</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b w:val="1"/>
                <w:bCs w:val="1"/>
                <w:i w:val="1"/>
                <w:iCs w:val="1"/>
                <w:color w:val="auto"/>
              </w:rPr>
              <w:t>4,463</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b w:val="1"/>
                <w:bCs w:val="1"/>
                <w:i w:val="1"/>
                <w:iCs w:val="1"/>
                <w:color w:val="auto"/>
              </w:rPr>
              <w:t>530</w:t>
            </w:r>
          </w:p>
        </w:tc>
      </w:tr>
      <w:tr>
        <w:trPr>
          <w:trHeight w:val="139"/>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bl>
    <w:p>
      <w:pPr>
        <w:spacing w:after="0" w:line="391"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43" w:lineRule="exact"/>
        <w:rPr>
          <w:sz w:val="20"/>
          <w:szCs w:val="20"/>
          <w:color w:val="auto"/>
        </w:rPr>
      </w:pPr>
    </w:p>
    <w:p>
      <w:pPr>
        <w:jc w:val="both"/>
        <w:ind w:right="100" w:firstLine="360"/>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49"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January 30, 2013, we had resolved, by means of settlement or dismissal, 36,370 claims. The total cost of resolving all claims was $8.6 million. Of this amount, almost 100% was paid by our insurance carrier. The Company has over $125 million in confirmed insurance coverage that should be available with respect to current and future asbestos claims, as well as additional insurance coverage that we should be able to access.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7" w:name="page18"/>
    <w:bookmarkEnd w:id="17"/>
    <w:p>
      <w:pPr>
        <w:ind w:firstLine="360"/>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7,867 claims as of January 30, 2013.</w:t>
      </w:r>
    </w:p>
    <w:p>
      <w:pPr>
        <w:spacing w:after="0" w:line="149"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40" w:type="dxa"/>
            <w:vAlign w:val="bottom"/>
            <w:tcBorders>
              <w:top w:val="single" w:sz="8" w:color="auto"/>
              <w:left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Year ended</w:t>
            </w:r>
          </w:p>
        </w:tc>
        <w:tc>
          <w:tcPr>
            <w:tcW w:w="184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4"/>
                <w:szCs w:val="14"/>
                <w:i w:val="1"/>
                <w:iCs w:val="1"/>
                <w:color w:val="auto"/>
              </w:rPr>
              <w:t>Opening Number</w:t>
            </w:r>
          </w:p>
        </w:tc>
        <w:tc>
          <w:tcPr>
            <w:tcW w:w="194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4"/>
                <w:szCs w:val="14"/>
                <w:i w:val="1"/>
                <w:iCs w:val="1"/>
                <w:color w:val="auto"/>
              </w:rPr>
              <w:t>Claims Dismissed,</w:t>
            </w:r>
          </w:p>
        </w:tc>
        <w:tc>
          <w:tcPr>
            <w:tcW w:w="14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4"/>
                <w:szCs w:val="14"/>
                <w:i w:val="1"/>
                <w:iCs w:val="1"/>
                <w:color w:val="auto"/>
              </w:rPr>
              <w:t>Closing</w:t>
            </w:r>
          </w:p>
        </w:tc>
        <w:tc>
          <w:tcPr>
            <w:tcW w:w="272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Amounts Paid</w:t>
            </w:r>
          </w:p>
        </w:tc>
      </w:tr>
      <w:tr>
        <w:trPr>
          <w:trHeight w:val="162"/>
        </w:trPr>
        <w:tc>
          <w:tcPr>
            <w:tcW w:w="1740" w:type="dxa"/>
            <w:vAlign w:val="bottom"/>
            <w:tcBorders>
              <w:left w:val="single" w:sz="8" w:color="auto"/>
              <w:right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December 31,</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4"/>
                <w:szCs w:val="14"/>
                <w:i w:val="1"/>
                <w:iCs w:val="1"/>
                <w:color w:val="auto"/>
              </w:rPr>
              <w:t>of Claims</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4"/>
                <w:szCs w:val="14"/>
                <w:i w:val="1"/>
                <w:iCs w:val="1"/>
                <w:color w:val="auto"/>
              </w:rPr>
              <w:t>Settled, or Resolved</w:t>
            </w:r>
          </w:p>
        </w:tc>
        <w:tc>
          <w:tcPr>
            <w:tcW w:w="14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4"/>
                <w:szCs w:val="14"/>
                <w:i w:val="1"/>
                <w:iCs w:val="1"/>
                <w:color w:val="auto"/>
              </w:rPr>
              <w:t>Number of Claims</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(thousands) to</w:t>
            </w:r>
          </w:p>
        </w:tc>
      </w:tr>
      <w:tr>
        <w:trPr>
          <w:trHeight w:val="171"/>
        </w:trPr>
        <w:tc>
          <w:tcPr>
            <w:tcW w:w="1740" w:type="dxa"/>
            <w:vAlign w:val="bottom"/>
            <w:tcBorders>
              <w:left w:val="single" w:sz="8" w:color="auto"/>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i w:val="1"/>
                <w:iCs w:val="1"/>
                <w:color w:val="auto"/>
              </w:rPr>
              <w:t>New Claims</w:t>
            </w:r>
          </w:p>
        </w:tc>
        <w:tc>
          <w:tcPr>
            <w:tcW w:w="170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Settle or</w:t>
            </w:r>
          </w:p>
        </w:tc>
      </w:tr>
      <w:tr>
        <w:trPr>
          <w:trHeight w:val="186"/>
        </w:trPr>
        <w:tc>
          <w:tcPr>
            <w:tcW w:w="17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Resolve</w:t>
            </w:r>
          </w:p>
        </w:tc>
      </w:tr>
      <w:tr>
        <w:trPr>
          <w:trHeight w:val="151"/>
        </w:trPr>
        <w:tc>
          <w:tcPr>
            <w:tcW w:w="174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2005</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9,985</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642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223</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9,566</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$ 0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2006</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9,566</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1,182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730</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9,114</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2007</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9,114</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462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88</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8,740</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2008</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8,740</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86</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10</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8,664</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2009</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8,664</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760</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3</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7,907</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2010</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7,907</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47</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9</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7,869</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2011</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7,869</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3</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11</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7,877</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b w:val="1"/>
                <w:bCs w:val="1"/>
                <w:i w:val="1"/>
                <w:iCs w:val="1"/>
                <w:color w:val="auto"/>
              </w:rPr>
              <w:t>2012</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7,877</w:t>
            </w:r>
          </w:p>
        </w:tc>
        <w:tc>
          <w:tcPr>
            <w:tcW w:w="19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12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2</w:t>
            </w:r>
          </w:p>
        </w:tc>
        <w:tc>
          <w:tcPr>
            <w:tcW w:w="170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7,867</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bl>
    <w:p>
      <w:pPr>
        <w:spacing w:after="0" w:line="391"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January 30, 2013, Brandon has resolved, by means of settlement or dismissal, 9,733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51" w:lineRule="exact"/>
        <w:rPr>
          <w:sz w:val="20"/>
          <w:szCs w:val="20"/>
          <w:color w:val="auto"/>
        </w:rPr>
      </w:pPr>
    </w:p>
    <w:p>
      <w:pPr>
        <w:jc w:val="both"/>
        <w:ind w:right="240" w:firstLine="36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49" w:lineRule="exact"/>
        <w:rPr>
          <w:sz w:val="20"/>
          <w:szCs w:val="20"/>
          <w:color w:val="auto"/>
        </w:rPr>
      </w:pPr>
    </w:p>
    <w:p>
      <w:pPr>
        <w:ind w:right="120" w:firstLine="360"/>
        <w:spacing w:after="0" w:line="238"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8" w:name="page19"/>
    <w:bookmarkEnd w:id="18"/>
    <w:p>
      <w:pPr>
        <w:ind w:right="80"/>
        <w:spacing w:after="0" w:line="246" w:lineRule="auto"/>
        <w:rPr>
          <w:sz w:val="20"/>
          <w:szCs w:val="20"/>
          <w:color w:val="auto"/>
        </w:rPr>
      </w:pPr>
      <w:r>
        <w:rPr>
          <w:rFonts w:ascii="Arial" w:cs="Arial" w:eastAsia="Arial" w:hAnsi="Arial"/>
          <w:sz w:val="18"/>
          <w:szCs w:val="18"/>
          <w:color w:val="auto"/>
        </w:rPr>
        <w:t>Mount Vernon assets. Pursuant to its contractual indemnification obligations, Mount Vernon has assumed the defense of these claims. On this basis, we have successfully moved for dismissal in a number of actions.</w:t>
      </w:r>
    </w:p>
    <w:p>
      <w:pPr>
        <w:spacing w:after="0" w:line="143"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NAFTA Audits</w:t>
      </w:r>
    </w:p>
    <w:p>
      <w:pPr>
        <w:spacing w:after="0" w:line="180" w:lineRule="exact"/>
        <w:rPr>
          <w:sz w:val="20"/>
          <w:szCs w:val="20"/>
          <w:color w:val="auto"/>
        </w:rPr>
      </w:pPr>
    </w:p>
    <w:p>
      <w:pPr>
        <w:ind w:right="100" w:firstLine="36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paper machine clothing from the Company and the Company’s affiliate in Canada for which the Company has claimed duty-free treatment under the North American Free Trade Agreement (“NAFTA”).</w:t>
      </w:r>
    </w:p>
    <w:p>
      <w:pPr>
        <w:spacing w:after="0" w:line="149"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149"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In December 2011, while these appeals were pending, SAT revoked its earlier declarations of invalidation with respect to the certificates of origin at issue in 28 of the 36 open audits, and ordered a further review of such certificates. To date, the Company has been informed by SAT that it has completed its review of 19 of the 28 audits, concluded that the certificates of origin in 19 of those 28 audits were valid, and that the shipments identified in those 19 audits were entitled to NAFTA’s duty-free treatment. SAT is continuing to review the certificates of origin in the remaining 9 open audits where the original declaration was revoked. SAT is also still considering the Company’s appeal with regard to the 8 open audits where the original declaration invalidating the certificates of origin have not yet been revoked.</w:t>
      </w:r>
    </w:p>
    <w:p>
      <w:pPr>
        <w:spacing w:after="0" w:line="151"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Based on discussions with SAT, the Company currently expects that it will be given an opportunity to present evidence to SAT officials to establish the origin for NAFTA purposes of all of the shipments covered by the above-described audits still under review, and that it will be able to establish that a very high percentage of the shipments at issue were entitled to NAFTA treatment. For the small percentage of shipments for which the Company may not be able to establish qualification for duty-free treatment under NAFTA, the Company may be required to pay duties and penalties. The Company currently does not expect any such amounts to be material.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19" w:name="page20"/>
    <w:bookmarkEnd w:id="19"/>
    <w:p>
      <w:pPr>
        <w:ind w:left="5740"/>
        <w:spacing w:after="0"/>
        <w:rPr>
          <w:sz w:val="20"/>
          <w:szCs w:val="20"/>
          <w:color w:val="auto"/>
        </w:rPr>
      </w:pPr>
      <w:r>
        <w:rPr>
          <w:rFonts w:ascii="Arial" w:cs="Arial" w:eastAsia="Arial" w:hAnsi="Arial"/>
          <w:sz w:val="18"/>
          <w:szCs w:val="18"/>
          <w:color w:val="auto"/>
        </w:rPr>
        <w:t>PART II</w:t>
      </w:r>
    </w:p>
    <w:p>
      <w:pPr>
        <w:spacing w:after="0" w:line="18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u w:val="single" w:color="auto"/>
          <w:color w:val="auto"/>
        </w:rPr>
        <w:t>Item 5. MARKET FOR THE REGISTRANT’S COMMON EQUITY, RELATED STOCKHOLDER MATTERS, AND ISSUER PURCHASES OF EQUITY SECURITIES</w:t>
      </w:r>
    </w:p>
    <w:p>
      <w:pPr>
        <w:spacing w:after="0" w:line="143"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Our Class A Common Stock is principally traded on the New York Stock Exchange under the symbol AIN. As of December 31, 2012, there were approximately 5,500 beneficial owners of our Class A Common Stock, including employees owning shares through our 401(k) defined contribution plan. Our Class B Common Stock does not trade publicly. As of December 31, 2012, there were 17 holders of Class B Common Stock. Dividends are paid equally on shares of each class. Our cash dividends, and the high and low prices per share of our Class A Common Stock, were as follows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Quarter Ended</w:t>
            </w:r>
          </w:p>
        </w:tc>
        <w:tc>
          <w:tcPr>
            <w:tcW w:w="24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March 31</w:t>
            </w:r>
          </w:p>
        </w:tc>
        <w:tc>
          <w:tcPr>
            <w:tcW w:w="186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June 30</w:t>
            </w:r>
          </w:p>
        </w:tc>
        <w:tc>
          <w:tcPr>
            <w:tcW w:w="19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346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2012</w:t>
            </w:r>
          </w:p>
        </w:tc>
        <w:tc>
          <w:tcPr>
            <w:tcW w:w="2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4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$0.13</w:t>
            </w:r>
          </w:p>
        </w:tc>
        <w:tc>
          <w:tcPr>
            <w:tcW w:w="1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$0.14</w:t>
            </w:r>
          </w:p>
        </w:tc>
        <w:tc>
          <w:tcPr>
            <w:tcW w:w="1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$0.14</w:t>
            </w:r>
          </w:p>
        </w:tc>
        <w:tc>
          <w:tcPr>
            <w:tcW w:w="1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$0.14</w:t>
            </w: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color w:val="auto"/>
              </w:rPr>
              <w:t>Class A Common Stock prices:</w:t>
            </w:r>
          </w:p>
        </w:tc>
        <w:tc>
          <w:tcPr>
            <w:tcW w:w="2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High</w:t>
            </w:r>
          </w:p>
        </w:tc>
        <w:tc>
          <w:tcPr>
            <w:tcW w:w="24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$25.90</w:t>
            </w:r>
          </w:p>
        </w:tc>
        <w:tc>
          <w:tcPr>
            <w:tcW w:w="1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$24.70</w:t>
            </w:r>
          </w:p>
        </w:tc>
        <w:tc>
          <w:tcPr>
            <w:tcW w:w="1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$22.78</w:t>
            </w:r>
          </w:p>
        </w:tc>
        <w:tc>
          <w:tcPr>
            <w:tcW w:w="1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$22.68</w:t>
            </w:r>
          </w:p>
        </w:tc>
      </w:tr>
      <w:tr>
        <w:trPr>
          <w:trHeight w:val="217"/>
        </w:trPr>
        <w:tc>
          <w:tcPr>
            <w:tcW w:w="3460" w:type="dxa"/>
            <w:vAlign w:val="bottom"/>
          </w:tcPr>
          <w:p>
            <w:pPr>
              <w:ind w:left="200"/>
              <w:spacing w:after="0"/>
              <w:rPr>
                <w:sz w:val="20"/>
                <w:szCs w:val="20"/>
                <w:color w:val="auto"/>
              </w:rPr>
            </w:pPr>
            <w:r>
              <w:rPr>
                <w:rFonts w:ascii="Arial" w:cs="Arial" w:eastAsia="Arial" w:hAnsi="Arial"/>
                <w:sz w:val="18"/>
                <w:szCs w:val="18"/>
                <w:color w:val="auto"/>
              </w:rPr>
              <w:t>Low</w:t>
            </w:r>
          </w:p>
        </w:tc>
        <w:tc>
          <w:tcPr>
            <w:tcW w:w="2460" w:type="dxa"/>
            <w:vAlign w:val="bottom"/>
          </w:tcPr>
          <w:p>
            <w:pPr>
              <w:jc w:val="right"/>
              <w:ind w:right="313"/>
              <w:spacing w:after="0"/>
              <w:rPr>
                <w:sz w:val="20"/>
                <w:szCs w:val="20"/>
                <w:color w:val="auto"/>
              </w:rPr>
            </w:pPr>
            <w:r>
              <w:rPr>
                <w:rFonts w:ascii="Arial" w:cs="Arial" w:eastAsia="Arial" w:hAnsi="Arial"/>
                <w:sz w:val="18"/>
                <w:szCs w:val="18"/>
                <w:color w:val="auto"/>
              </w:rPr>
              <w:t>$22.35</w:t>
            </w:r>
          </w:p>
        </w:tc>
        <w:tc>
          <w:tcPr>
            <w:tcW w:w="1860" w:type="dxa"/>
            <w:vAlign w:val="bottom"/>
          </w:tcPr>
          <w:p>
            <w:pPr>
              <w:jc w:val="right"/>
              <w:ind w:right="233"/>
              <w:spacing w:after="0"/>
              <w:rPr>
                <w:sz w:val="20"/>
                <w:szCs w:val="20"/>
                <w:color w:val="auto"/>
              </w:rPr>
            </w:pPr>
            <w:r>
              <w:rPr>
                <w:rFonts w:ascii="Arial" w:cs="Arial" w:eastAsia="Arial" w:hAnsi="Arial"/>
                <w:sz w:val="18"/>
                <w:szCs w:val="18"/>
                <w:color w:val="auto"/>
              </w:rPr>
              <w:t>$17.15</w:t>
            </w:r>
          </w:p>
        </w:tc>
        <w:tc>
          <w:tcPr>
            <w:tcW w:w="1940" w:type="dxa"/>
            <w:vAlign w:val="bottom"/>
          </w:tcPr>
          <w:p>
            <w:pPr>
              <w:jc w:val="right"/>
              <w:ind w:right="233"/>
              <w:spacing w:after="0"/>
              <w:rPr>
                <w:sz w:val="20"/>
                <w:szCs w:val="20"/>
                <w:color w:val="auto"/>
              </w:rPr>
            </w:pPr>
            <w:r>
              <w:rPr>
                <w:rFonts w:ascii="Arial" w:cs="Arial" w:eastAsia="Arial" w:hAnsi="Arial"/>
                <w:sz w:val="18"/>
                <w:szCs w:val="18"/>
                <w:color w:val="auto"/>
              </w:rPr>
              <w:t>$17.66</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$20.11</w:t>
            </w:r>
          </w:p>
        </w:tc>
      </w:tr>
      <w:tr>
        <w:trPr>
          <w:trHeight w:val="189"/>
        </w:trPr>
        <w:tc>
          <w:tcPr>
            <w:tcW w:w="3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195"/>
        </w:trPr>
        <w:tc>
          <w:tcPr>
            <w:tcW w:w="346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2011</w:t>
            </w:r>
          </w:p>
        </w:tc>
        <w:tc>
          <w:tcPr>
            <w:tcW w:w="2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color w:val="auto"/>
              </w:rPr>
              <w:t>Cash dividends per share</w:t>
            </w:r>
          </w:p>
        </w:tc>
        <w:tc>
          <w:tcPr>
            <w:tcW w:w="24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$0.12</w:t>
            </w:r>
          </w:p>
        </w:tc>
        <w:tc>
          <w:tcPr>
            <w:tcW w:w="1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$0.13</w:t>
            </w:r>
          </w:p>
        </w:tc>
        <w:tc>
          <w:tcPr>
            <w:tcW w:w="1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$0.13</w:t>
            </w:r>
          </w:p>
        </w:tc>
        <w:tc>
          <w:tcPr>
            <w:tcW w:w="1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$0.13</w:t>
            </w: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color w:val="auto"/>
              </w:rPr>
              <w:t>Class A Common Stock prices:</w:t>
            </w:r>
          </w:p>
        </w:tc>
        <w:tc>
          <w:tcPr>
            <w:tcW w:w="2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460" w:type="dxa"/>
            <w:vAlign w:val="bottom"/>
          </w:tcPr>
          <w:p>
            <w:pPr>
              <w:ind w:left="200"/>
              <w:spacing w:after="0" w:line="202" w:lineRule="exact"/>
              <w:rPr>
                <w:sz w:val="20"/>
                <w:szCs w:val="20"/>
                <w:color w:val="auto"/>
              </w:rPr>
            </w:pPr>
            <w:r>
              <w:rPr>
                <w:rFonts w:ascii="Arial" w:cs="Arial" w:eastAsia="Arial" w:hAnsi="Arial"/>
                <w:sz w:val="18"/>
                <w:szCs w:val="18"/>
                <w:color w:val="auto"/>
              </w:rPr>
              <w:t>High</w:t>
            </w:r>
          </w:p>
        </w:tc>
        <w:tc>
          <w:tcPr>
            <w:tcW w:w="246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$25.09</w:t>
            </w:r>
          </w:p>
        </w:tc>
        <w:tc>
          <w:tcPr>
            <w:tcW w:w="186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$27.90</w:t>
            </w:r>
          </w:p>
        </w:tc>
        <w:tc>
          <w:tcPr>
            <w:tcW w:w="19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$27.68</w:t>
            </w:r>
          </w:p>
        </w:tc>
        <w:tc>
          <w:tcPr>
            <w:tcW w:w="17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$25.70</w:t>
            </w:r>
          </w:p>
        </w:tc>
      </w:tr>
      <w:tr>
        <w:trPr>
          <w:trHeight w:val="217"/>
        </w:trPr>
        <w:tc>
          <w:tcPr>
            <w:tcW w:w="3460" w:type="dxa"/>
            <w:vAlign w:val="bottom"/>
          </w:tcPr>
          <w:p>
            <w:pPr>
              <w:ind w:left="200"/>
              <w:spacing w:after="0"/>
              <w:rPr>
                <w:sz w:val="20"/>
                <w:szCs w:val="20"/>
                <w:color w:val="auto"/>
              </w:rPr>
            </w:pPr>
            <w:r>
              <w:rPr>
                <w:rFonts w:ascii="Arial" w:cs="Arial" w:eastAsia="Arial" w:hAnsi="Arial"/>
                <w:sz w:val="18"/>
                <w:szCs w:val="18"/>
                <w:color w:val="auto"/>
              </w:rPr>
              <w:t>Low</w:t>
            </w:r>
          </w:p>
        </w:tc>
        <w:tc>
          <w:tcPr>
            <w:tcW w:w="2460" w:type="dxa"/>
            <w:vAlign w:val="bottom"/>
          </w:tcPr>
          <w:p>
            <w:pPr>
              <w:jc w:val="right"/>
              <w:ind w:right="313"/>
              <w:spacing w:after="0"/>
              <w:rPr>
                <w:sz w:val="20"/>
                <w:szCs w:val="20"/>
                <w:color w:val="auto"/>
              </w:rPr>
            </w:pPr>
            <w:r>
              <w:rPr>
                <w:rFonts w:ascii="Arial" w:cs="Arial" w:eastAsia="Arial" w:hAnsi="Arial"/>
                <w:sz w:val="18"/>
                <w:szCs w:val="18"/>
                <w:color w:val="auto"/>
              </w:rPr>
              <w:t>$21.84</w:t>
            </w:r>
          </w:p>
        </w:tc>
        <w:tc>
          <w:tcPr>
            <w:tcW w:w="1860" w:type="dxa"/>
            <w:vAlign w:val="bottom"/>
          </w:tcPr>
          <w:p>
            <w:pPr>
              <w:jc w:val="right"/>
              <w:ind w:right="233"/>
              <w:spacing w:after="0"/>
              <w:rPr>
                <w:sz w:val="20"/>
                <w:szCs w:val="20"/>
                <w:color w:val="auto"/>
              </w:rPr>
            </w:pPr>
            <w:r>
              <w:rPr>
                <w:rFonts w:ascii="Arial" w:cs="Arial" w:eastAsia="Arial" w:hAnsi="Arial"/>
                <w:sz w:val="18"/>
                <w:szCs w:val="18"/>
                <w:color w:val="auto"/>
              </w:rPr>
              <w:t>$23.54</w:t>
            </w:r>
          </w:p>
        </w:tc>
        <w:tc>
          <w:tcPr>
            <w:tcW w:w="1940" w:type="dxa"/>
            <w:vAlign w:val="bottom"/>
          </w:tcPr>
          <w:p>
            <w:pPr>
              <w:jc w:val="right"/>
              <w:ind w:right="233"/>
              <w:spacing w:after="0"/>
              <w:rPr>
                <w:sz w:val="20"/>
                <w:szCs w:val="20"/>
                <w:color w:val="auto"/>
              </w:rPr>
            </w:pPr>
            <w:r>
              <w:rPr>
                <w:rFonts w:ascii="Arial" w:cs="Arial" w:eastAsia="Arial" w:hAnsi="Arial"/>
                <w:sz w:val="18"/>
                <w:szCs w:val="18"/>
                <w:color w:val="auto"/>
              </w:rPr>
              <w:t>$17.82</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$17.24</w:t>
            </w:r>
          </w:p>
        </w:tc>
      </w:tr>
      <w:tr>
        <w:trPr>
          <w:trHeight w:val="189"/>
        </w:trPr>
        <w:tc>
          <w:tcPr>
            <w:tcW w:w="3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bl>
    <w:p>
      <w:pPr>
        <w:spacing w:after="0" w:line="3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Restrictions on dividends and other distributions are described in Note 12 of the Notes to Consolidated Financial Statements (see Item 8).</w:t>
      </w:r>
    </w:p>
    <w:p>
      <w:pPr>
        <w:spacing w:after="0" w:line="158" w:lineRule="exact"/>
        <w:rPr>
          <w:sz w:val="20"/>
          <w:szCs w:val="20"/>
          <w:color w:val="auto"/>
        </w:rPr>
      </w:pPr>
    </w:p>
    <w:p>
      <w:pPr>
        <w:jc w:val="both"/>
        <w:ind w:right="100" w:firstLine="360"/>
        <w:spacing w:after="0" w:line="246" w:lineRule="auto"/>
        <w:rPr>
          <w:sz w:val="20"/>
          <w:szCs w:val="20"/>
          <w:color w:val="auto"/>
        </w:rPr>
      </w:pPr>
      <w:r>
        <w:rPr>
          <w:rFonts w:ascii="Arial" w:cs="Arial" w:eastAsia="Arial" w:hAnsi="Arial"/>
          <w:sz w:val="18"/>
          <w:szCs w:val="18"/>
          <w:color w:val="auto"/>
        </w:rPr>
        <w:t>Disclosures of securities authorized for issuance under equity compensation plans and the performance graph are included under Item 12 of this Form 10-K.</w:t>
      </w:r>
    </w:p>
    <w:p>
      <w:pPr>
        <w:spacing w:after="0" w:line="143" w:lineRule="exact"/>
        <w:rPr>
          <w:sz w:val="20"/>
          <w:szCs w:val="20"/>
          <w:color w:val="auto"/>
        </w:rPr>
      </w:pPr>
    </w:p>
    <w:p>
      <w:pPr>
        <w:jc w:val="both"/>
        <w:ind w:right="240" w:firstLine="360"/>
        <w:spacing w:after="0" w:line="239" w:lineRule="auto"/>
        <w:rPr>
          <w:sz w:val="20"/>
          <w:szCs w:val="20"/>
          <w:color w:val="auto"/>
        </w:rPr>
      </w:pPr>
      <w:r>
        <w:rPr>
          <w:rFonts w:ascii="Arial" w:cs="Arial" w:eastAsia="Arial" w:hAnsi="Arial"/>
          <w:sz w:val="18"/>
          <w:szCs w:val="18"/>
          <w:color w:val="auto"/>
        </w:rPr>
        <w:t>In August 2006, we announced that the Board of Directors authorized management to purchase up to 2 million additional shares of our Class A Common Stock. The Board’s action authorized management to purchase shares from time to time, in the open market or otherwise, whenever it believes such purchase to be advantageous to our shareholders, and it is otherwise legally permitted to do so. Management has made no share purchases under that authorization.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158" w:lineRule="exact"/>
        <w:rPr>
          <w:sz w:val="20"/>
          <w:szCs w:val="20"/>
          <w:color w:val="auto"/>
        </w:rPr>
      </w:pPr>
    </w:p>
    <w:p>
      <w:pPr>
        <w:ind w:right="20" w:firstLine="360"/>
        <w:spacing w:after="0"/>
        <w:rPr>
          <w:sz w:val="20"/>
          <w:szCs w:val="20"/>
          <w:color w:val="auto"/>
        </w:rPr>
      </w:pPr>
      <w:r>
        <w:rPr>
          <w:rFonts w:ascii="Arial" w:cs="Arial" w:eastAsia="Arial" w:hAnsi="Arial"/>
          <w:sz w:val="18"/>
          <w:szCs w:val="18"/>
          <w:color w:val="auto"/>
        </w:rPr>
        <w:t>The following selected historical financial data have been derived from our Consolidated Financial Statements (see Item 8). The data should be read in conjunction with those financial statements and Management’s Discussion and Analysis of Financial Condition and Results of Operations (see Item 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2011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2010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9"/>
              </w:rPr>
              <w:t>2009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195"/>
        </w:trPr>
        <w:tc>
          <w:tcPr>
            <w:tcW w:w="4120" w:type="dxa"/>
            <w:vAlign w:val="bottom"/>
          </w:tcPr>
          <w:p>
            <w:pPr>
              <w:ind w:left="100"/>
              <w:spacing w:after="0" w:line="195" w:lineRule="exact"/>
              <w:rPr>
                <w:sz w:val="20"/>
                <w:szCs w:val="20"/>
                <w:color w:val="auto"/>
              </w:rPr>
            </w:pPr>
            <w:r>
              <w:rPr>
                <w:rFonts w:ascii="Arial" w:cs="Arial" w:eastAsia="Arial" w:hAnsi="Arial"/>
                <w:sz w:val="18"/>
                <w:szCs w:val="18"/>
                <w:b w:val="1"/>
                <w:bCs w:val="1"/>
                <w:color w:val="auto"/>
              </w:rPr>
              <w:t>Summary of Operations</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760,941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100"/>
              <w:spacing w:after="0" w:line="181" w:lineRule="exact"/>
              <w:rPr>
                <w:sz w:val="20"/>
                <w:szCs w:val="20"/>
                <w:color w:val="auto"/>
              </w:rPr>
            </w:pPr>
            <w:r>
              <w:rPr>
                <w:rFonts w:ascii="Arial" w:cs="Arial" w:eastAsia="Arial" w:hAnsi="Arial"/>
                <w:sz w:val="18"/>
                <w:szCs w:val="18"/>
                <w:color w:val="auto"/>
              </w:rPr>
              <w:t>Net sales (1)</w:t>
            </w:r>
          </w:p>
        </w:tc>
        <w:tc>
          <w:tcPr>
            <w:tcW w:w="3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787,287</w:t>
            </w:r>
          </w:p>
        </w:tc>
        <w:tc>
          <w:tcPr>
            <w:tcW w:w="4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742,887</w:t>
            </w:r>
          </w:p>
        </w:tc>
        <w:tc>
          <w:tcPr>
            <w:tcW w:w="3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718,629</w:t>
            </w:r>
          </w:p>
        </w:tc>
        <w:tc>
          <w:tcPr>
            <w:tcW w:w="3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875,751</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Cost of goods sold (1) (3)</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455,545</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473,121</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460,914</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474,196</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584,043</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Restructuring and other (3)</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7,061</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9,317</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3,747</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68,113</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37,526</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Goodwill and intangible impairment charge (4)</w:t>
            </w:r>
          </w:p>
        </w:tc>
        <w:tc>
          <w:tcPr>
            <w:tcW w:w="340" w:type="dxa"/>
            <w:vAlign w:val="bottom"/>
          </w:tcPr>
          <w:p>
            <w:pPr>
              <w:spacing w:after="0"/>
              <w:rPr>
                <w:sz w:val="17"/>
                <w:szCs w:val="17"/>
                <w:color w:val="auto"/>
              </w:rPr>
            </w:pPr>
          </w:p>
        </w:tc>
        <w:tc>
          <w:tcPr>
            <w:tcW w:w="114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10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080" w:type="dxa"/>
            <w:vAlign w:val="bottom"/>
          </w:tcPr>
          <w:p>
            <w:pPr>
              <w:jc w:val="center"/>
              <w:ind w:right="17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7"/>
                <w:szCs w:val="17"/>
                <w:color w:val="auto"/>
              </w:rPr>
            </w:pPr>
          </w:p>
        </w:tc>
        <w:tc>
          <w:tcPr>
            <w:tcW w:w="110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73,316</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Pension settlement charges (2)</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119,735</w:t>
            </w:r>
          </w:p>
        </w:tc>
        <w:tc>
          <w:tcPr>
            <w:tcW w:w="380" w:type="dxa"/>
            <w:vAlign w:val="bottom"/>
          </w:tcPr>
          <w:p>
            <w:pPr>
              <w:spacing w:after="0"/>
              <w:rPr>
                <w:sz w:val="17"/>
                <w:szCs w:val="17"/>
                <w:color w:val="auto"/>
              </w:rPr>
            </w:pPr>
          </w:p>
        </w:tc>
        <w:tc>
          <w:tcPr>
            <w:tcW w:w="110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080" w:type="dxa"/>
            <w:vAlign w:val="bottom"/>
          </w:tcPr>
          <w:p>
            <w:pPr>
              <w:jc w:val="center"/>
              <w:ind w:right="17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7"/>
                <w:szCs w:val="17"/>
                <w:color w:val="auto"/>
              </w:rPr>
            </w:pPr>
          </w:p>
        </w:tc>
        <w:tc>
          <w:tcPr>
            <w:tcW w:w="110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7"/>
                <w:szCs w:val="17"/>
                <w:color w:val="auto"/>
              </w:rPr>
            </w:pPr>
          </w:p>
        </w:tc>
        <w:tc>
          <w:tcPr>
            <w:tcW w:w="10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Operating income/(loss) (1)</w:t>
            </w:r>
          </w:p>
        </w:tc>
        <w:tc>
          <w:tcPr>
            <w:tcW w:w="34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(44,136)</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74,608</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64,709</w:t>
            </w:r>
          </w:p>
        </w:tc>
        <w:tc>
          <w:tcPr>
            <w:tcW w:w="380" w:type="dxa"/>
            <w:vAlign w:val="bottom"/>
          </w:tcPr>
          <w:p>
            <w:pPr>
              <w:spacing w:after="0"/>
              <w:rPr>
                <w:sz w:val="17"/>
                <w:szCs w:val="17"/>
                <w:color w:val="auto"/>
              </w:rPr>
            </w:pPr>
          </w:p>
        </w:tc>
        <w:tc>
          <w:tcPr>
            <w:tcW w:w="1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(39,720)</w:t>
            </w:r>
          </w:p>
        </w:tc>
        <w:tc>
          <w:tcPr>
            <w:tcW w:w="3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(84,897)</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 (5)</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16,601</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18,121</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17,240</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20,627</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24,253</w:t>
            </w:r>
          </w:p>
        </w:tc>
        <w:tc>
          <w:tcPr>
            <w:tcW w:w="0" w:type="dxa"/>
            <w:vAlign w:val="bottom"/>
          </w:tcPr>
          <w:p>
            <w:pPr>
              <w:spacing w:after="0"/>
              <w:rPr>
                <w:sz w:val="1"/>
                <w:szCs w:val="1"/>
                <w:color w:val="auto"/>
              </w:rPr>
            </w:pPr>
          </w:p>
        </w:tc>
      </w:tr>
      <w:tr>
        <w:trPr>
          <w:trHeight w:val="225"/>
        </w:trPr>
        <w:tc>
          <w:tcPr>
            <w:tcW w:w="4120" w:type="dxa"/>
            <w:vAlign w:val="bottom"/>
          </w:tcPr>
          <w:p>
            <w:pPr>
              <w:ind w:left="100"/>
              <w:spacing w:after="0"/>
              <w:rPr>
                <w:sz w:val="20"/>
                <w:szCs w:val="20"/>
                <w:color w:val="auto"/>
              </w:rPr>
            </w:pPr>
            <w:r>
              <w:rPr>
                <w:rFonts w:ascii="Arial" w:cs="Arial" w:eastAsia="Arial" w:hAnsi="Arial"/>
                <w:sz w:val="18"/>
                <w:szCs w:val="18"/>
                <w:color w:val="auto"/>
              </w:rPr>
              <w:t>Income/(loss) from continuing operations (7)</w:t>
            </w:r>
          </w:p>
        </w:tc>
        <w:tc>
          <w:tcPr>
            <w:tcW w:w="3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(40,843)</w:t>
            </w:r>
          </w:p>
        </w:tc>
        <w:tc>
          <w:tcPr>
            <w:tcW w:w="3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21,266</w:t>
            </w:r>
          </w:p>
        </w:tc>
        <w:tc>
          <w:tcPr>
            <w:tcW w:w="4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27,423</w:t>
            </w:r>
          </w:p>
        </w:tc>
        <w:tc>
          <w:tcPr>
            <w:tcW w:w="38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(23,532)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(93,745)</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Income/(loss) from discontinued</w:t>
            </w:r>
          </w:p>
        </w:tc>
        <w:tc>
          <w:tcPr>
            <w:tcW w:w="340" w:type="dxa"/>
            <w:vAlign w:val="bottom"/>
          </w:tcPr>
          <w:p>
            <w:pPr>
              <w:spacing w:after="0"/>
              <w:rPr>
                <w:sz w:val="17"/>
                <w:szCs w:val="17"/>
                <w:color w:val="auto"/>
              </w:rPr>
            </w:pP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71,820</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320"/>
              <w:spacing w:after="0" w:line="181" w:lineRule="exact"/>
              <w:rPr>
                <w:sz w:val="20"/>
                <w:szCs w:val="20"/>
                <w:color w:val="auto"/>
              </w:rPr>
            </w:pPr>
            <w:r>
              <w:rPr>
                <w:rFonts w:ascii="Arial" w:cs="Arial" w:eastAsia="Arial" w:hAnsi="Arial"/>
                <w:sz w:val="18"/>
                <w:szCs w:val="18"/>
                <w:color w:val="auto"/>
              </w:rPr>
              <w:t>operations (1) (6)</w:t>
            </w: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13,672</w:t>
            </w:r>
          </w:p>
        </w:tc>
        <w:tc>
          <w:tcPr>
            <w:tcW w:w="400" w:type="dxa"/>
            <w:vAlign w:val="bottom"/>
          </w:tcPr>
          <w:p>
            <w:pPr>
              <w:spacing w:after="0"/>
              <w:rPr>
                <w:sz w:val="15"/>
                <w:szCs w:val="15"/>
                <w:color w:val="auto"/>
              </w:rPr>
            </w:pPr>
          </w:p>
        </w:tc>
        <w:tc>
          <w:tcPr>
            <w:tcW w:w="10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10,213</w:t>
            </w:r>
          </w:p>
        </w:tc>
        <w:tc>
          <w:tcPr>
            <w:tcW w:w="380" w:type="dxa"/>
            <w:vAlign w:val="bottom"/>
          </w:tcPr>
          <w:p>
            <w:pPr>
              <w:spacing w:after="0"/>
              <w:rPr>
                <w:sz w:val="15"/>
                <w:szCs w:val="15"/>
                <w:color w:val="auto"/>
              </w:rPr>
            </w:pPr>
          </w:p>
        </w:tc>
        <w:tc>
          <w:tcPr>
            <w:tcW w:w="11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(9,926)</w:t>
            </w:r>
          </w:p>
        </w:tc>
        <w:tc>
          <w:tcPr>
            <w:tcW w:w="360" w:type="dxa"/>
            <w:vAlign w:val="bottom"/>
          </w:tcPr>
          <w:p>
            <w:pPr>
              <w:spacing w:after="0"/>
              <w:rPr>
                <w:sz w:val="15"/>
                <w:szCs w:val="15"/>
                <w:color w:val="auto"/>
              </w:rPr>
            </w:pP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16,299</w:t>
            </w:r>
          </w:p>
        </w:tc>
        <w:tc>
          <w:tcPr>
            <w:tcW w:w="0" w:type="dxa"/>
            <w:vAlign w:val="bottom"/>
          </w:tcPr>
          <w:p>
            <w:pPr>
              <w:spacing w:after="0"/>
              <w:rPr>
                <w:sz w:val="1"/>
                <w:szCs w:val="1"/>
                <w:color w:val="auto"/>
              </w:rPr>
            </w:pPr>
          </w:p>
        </w:tc>
      </w:tr>
      <w:tr>
        <w:trPr>
          <w:trHeight w:val="239"/>
        </w:trPr>
        <w:tc>
          <w:tcPr>
            <w:tcW w:w="4120" w:type="dxa"/>
            <w:vAlign w:val="bottom"/>
          </w:tcPr>
          <w:p>
            <w:pPr>
              <w:ind w:left="100"/>
              <w:spacing w:after="0"/>
              <w:rPr>
                <w:sz w:val="20"/>
                <w:szCs w:val="20"/>
                <w:color w:val="auto"/>
              </w:rPr>
            </w:pPr>
            <w:r>
              <w:rPr>
                <w:rFonts w:ascii="Arial" w:cs="Arial" w:eastAsia="Arial" w:hAnsi="Arial"/>
                <w:sz w:val="18"/>
                <w:szCs w:val="18"/>
                <w:color w:val="auto"/>
              </w:rPr>
              <w:t>Net income/(loss)</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30,977</w:t>
            </w:r>
          </w:p>
        </w:tc>
        <w:tc>
          <w:tcPr>
            <w:tcW w:w="3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34,938</w:t>
            </w:r>
          </w:p>
        </w:tc>
        <w:tc>
          <w:tcPr>
            <w:tcW w:w="4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37,636</w:t>
            </w: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(33,458)</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(77,446)</w:t>
            </w:r>
          </w:p>
        </w:tc>
        <w:tc>
          <w:tcPr>
            <w:tcW w:w="0" w:type="dxa"/>
            <w:vAlign w:val="bottom"/>
          </w:tcPr>
          <w:p>
            <w:pPr>
              <w:spacing w:after="0"/>
              <w:rPr>
                <w:sz w:val="1"/>
                <w:szCs w:val="1"/>
                <w:color w:val="auto"/>
              </w:rPr>
            </w:pPr>
          </w:p>
        </w:tc>
      </w:tr>
      <w:tr>
        <w:trPr>
          <w:trHeight w:val="391"/>
        </w:trPr>
        <w:tc>
          <w:tcPr>
            <w:tcW w:w="4120" w:type="dxa"/>
            <w:vAlign w:val="bottom"/>
          </w:tcPr>
          <w:p>
            <w:pPr>
              <w:ind w:left="100"/>
              <w:spacing w:after="0"/>
              <w:rPr>
                <w:sz w:val="20"/>
                <w:szCs w:val="20"/>
                <w:color w:val="auto"/>
              </w:rPr>
            </w:pPr>
            <w:r>
              <w:rPr>
                <w:rFonts w:ascii="Arial" w:cs="Arial" w:eastAsia="Arial" w:hAnsi="Arial"/>
                <w:sz w:val="18"/>
                <w:szCs w:val="18"/>
                <w:color w:val="auto"/>
              </w:rPr>
              <w:t>Basic income/(loss) from continuing operations</w:t>
            </w:r>
          </w:p>
        </w:tc>
        <w:tc>
          <w:tcPr>
            <w:tcW w:w="340" w:type="dxa"/>
            <w:vAlign w:val="bottom"/>
          </w:tcPr>
          <w:p>
            <w:pPr>
              <w:spacing w:after="0"/>
              <w:rPr>
                <w:sz w:val="24"/>
                <w:szCs w:val="2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(1.30)</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320"/>
              <w:spacing w:after="0" w:line="181" w:lineRule="exact"/>
              <w:rPr>
                <w:sz w:val="20"/>
                <w:szCs w:val="20"/>
                <w:color w:val="auto"/>
              </w:rPr>
            </w:pPr>
            <w:r>
              <w:rPr>
                <w:rFonts w:ascii="Arial" w:cs="Arial" w:eastAsia="Arial" w:hAnsi="Arial"/>
                <w:sz w:val="18"/>
                <w:szCs w:val="18"/>
                <w:color w:val="auto"/>
              </w:rPr>
              <w:t>per share</w:t>
            </w: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0.68</w:t>
            </w:r>
          </w:p>
        </w:tc>
        <w:tc>
          <w:tcPr>
            <w:tcW w:w="400" w:type="dxa"/>
            <w:vAlign w:val="bottom"/>
          </w:tcPr>
          <w:p>
            <w:pPr>
              <w:spacing w:after="0"/>
              <w:rPr>
                <w:sz w:val="15"/>
                <w:szCs w:val="15"/>
                <w:color w:val="auto"/>
              </w:rPr>
            </w:pPr>
          </w:p>
        </w:tc>
        <w:tc>
          <w:tcPr>
            <w:tcW w:w="10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0.88</w:t>
            </w:r>
          </w:p>
        </w:tc>
        <w:tc>
          <w:tcPr>
            <w:tcW w:w="380" w:type="dxa"/>
            <w:vAlign w:val="bottom"/>
          </w:tcPr>
          <w:p>
            <w:pPr>
              <w:spacing w:after="0"/>
              <w:rPr>
                <w:sz w:val="15"/>
                <w:szCs w:val="15"/>
                <w:color w:val="auto"/>
              </w:rPr>
            </w:pPr>
          </w:p>
        </w:tc>
        <w:tc>
          <w:tcPr>
            <w:tcW w:w="1100" w:type="dxa"/>
            <w:vAlign w:val="bottom"/>
          </w:tcPr>
          <w:p>
            <w:pPr>
              <w:jc w:val="right"/>
              <w:ind w:right="30"/>
              <w:spacing w:after="0" w:line="181" w:lineRule="exact"/>
              <w:rPr>
                <w:sz w:val="20"/>
                <w:szCs w:val="20"/>
                <w:color w:val="auto"/>
              </w:rPr>
            </w:pPr>
            <w:r>
              <w:rPr>
                <w:rFonts w:ascii="Arial" w:cs="Arial" w:eastAsia="Arial" w:hAnsi="Arial"/>
                <w:sz w:val="18"/>
                <w:szCs w:val="18"/>
                <w:color w:val="auto"/>
              </w:rPr>
              <w:t>(0.77)</w:t>
            </w:r>
          </w:p>
        </w:tc>
        <w:tc>
          <w:tcPr>
            <w:tcW w:w="36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9"/>
        </w:trPr>
        <w:tc>
          <w:tcPr>
            <w:tcW w:w="4120" w:type="dxa"/>
            <w:vAlign w:val="bottom"/>
          </w:tcPr>
          <w:p>
            <w:pPr>
              <w:ind w:left="100"/>
              <w:spacing w:after="0"/>
              <w:rPr>
                <w:sz w:val="20"/>
                <w:szCs w:val="20"/>
                <w:color w:val="auto"/>
              </w:rPr>
            </w:pPr>
            <w:r>
              <w:rPr>
                <w:rFonts w:ascii="Arial" w:cs="Arial" w:eastAsia="Arial" w:hAnsi="Arial"/>
                <w:sz w:val="18"/>
                <w:szCs w:val="18"/>
                <w:color w:val="auto"/>
              </w:rPr>
              <w:t>Basic net income/(loss) per share</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0.99</w:t>
            </w:r>
          </w:p>
        </w:tc>
        <w:tc>
          <w:tcPr>
            <w:tcW w:w="3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369"/>
        </w:trPr>
        <w:tc>
          <w:tcPr>
            <w:tcW w:w="4120" w:type="dxa"/>
            <w:vAlign w:val="bottom"/>
          </w:tcPr>
          <w:p>
            <w:pPr>
              <w:ind w:left="100"/>
              <w:spacing w:after="0"/>
              <w:rPr>
                <w:sz w:val="20"/>
                <w:szCs w:val="20"/>
                <w:color w:val="auto"/>
              </w:rPr>
            </w:pPr>
            <w:r>
              <w:rPr>
                <w:rFonts w:ascii="Arial" w:cs="Arial" w:eastAsia="Arial" w:hAnsi="Arial"/>
                <w:sz w:val="18"/>
                <w:szCs w:val="18"/>
                <w:color w:val="auto"/>
              </w:rPr>
              <w:t>Diluted net income/(loss) per share</w:t>
            </w:r>
          </w:p>
        </w:tc>
        <w:tc>
          <w:tcPr>
            <w:tcW w:w="34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0.97</w:t>
            </w:r>
          </w:p>
        </w:tc>
        <w:tc>
          <w:tcPr>
            <w:tcW w:w="38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5"/>
        </w:trPr>
        <w:tc>
          <w:tcPr>
            <w:tcW w:w="4120" w:type="dxa"/>
            <w:vAlign w:val="bottom"/>
          </w:tcPr>
          <w:p>
            <w:pPr>
              <w:ind w:left="100"/>
              <w:spacing w:after="0"/>
              <w:rPr>
                <w:sz w:val="20"/>
                <w:szCs w:val="20"/>
                <w:color w:val="auto"/>
              </w:rPr>
            </w:pPr>
            <w:r>
              <w:rPr>
                <w:rFonts w:ascii="Arial" w:cs="Arial" w:eastAsia="Arial" w:hAnsi="Arial"/>
                <w:sz w:val="18"/>
                <w:szCs w:val="18"/>
                <w:color w:val="auto"/>
              </w:rPr>
              <w:t>Dividends declared per share</w:t>
            </w:r>
          </w:p>
        </w:tc>
        <w:tc>
          <w:tcPr>
            <w:tcW w:w="34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0.55</w:t>
            </w:r>
          </w:p>
        </w:tc>
        <w:tc>
          <w:tcPr>
            <w:tcW w:w="3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0.48</w:t>
            </w:r>
          </w:p>
        </w:tc>
        <w:tc>
          <w:tcPr>
            <w:tcW w:w="3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0.48</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Weighted average number of shares outstanding</w:t>
            </w:r>
          </w:p>
        </w:tc>
        <w:tc>
          <w:tcPr>
            <w:tcW w:w="340" w:type="dxa"/>
            <w:vAlign w:val="bottom"/>
          </w:tcPr>
          <w:p>
            <w:pPr>
              <w:spacing w:after="0"/>
              <w:rPr>
                <w:sz w:val="17"/>
                <w:szCs w:val="17"/>
                <w:color w:val="auto"/>
              </w:rPr>
            </w:pP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31,356</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320"/>
              <w:spacing w:after="0" w:line="181" w:lineRule="exact"/>
              <w:rPr>
                <w:sz w:val="20"/>
                <w:szCs w:val="20"/>
                <w:color w:val="auto"/>
              </w:rPr>
            </w:pPr>
            <w:r>
              <w:rPr>
                <w:rFonts w:ascii="Arial" w:cs="Arial" w:eastAsia="Arial" w:hAnsi="Arial"/>
                <w:sz w:val="18"/>
                <w:szCs w:val="18"/>
                <w:color w:val="auto"/>
              </w:rPr>
              <w:t>- basic</w:t>
            </w: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31,262</w:t>
            </w:r>
          </w:p>
        </w:tc>
        <w:tc>
          <w:tcPr>
            <w:tcW w:w="400" w:type="dxa"/>
            <w:vAlign w:val="bottom"/>
          </w:tcPr>
          <w:p>
            <w:pPr>
              <w:spacing w:after="0"/>
              <w:rPr>
                <w:sz w:val="15"/>
                <w:szCs w:val="15"/>
                <w:color w:val="auto"/>
              </w:rPr>
            </w:pPr>
          </w:p>
        </w:tc>
        <w:tc>
          <w:tcPr>
            <w:tcW w:w="10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31,072</w:t>
            </w:r>
          </w:p>
        </w:tc>
        <w:tc>
          <w:tcPr>
            <w:tcW w:w="380" w:type="dxa"/>
            <w:vAlign w:val="bottom"/>
          </w:tcPr>
          <w:p>
            <w:pPr>
              <w:spacing w:after="0"/>
              <w:rPr>
                <w:sz w:val="15"/>
                <w:szCs w:val="15"/>
                <w:color w:val="auto"/>
              </w:rPr>
            </w:pPr>
          </w:p>
        </w:tc>
        <w:tc>
          <w:tcPr>
            <w:tcW w:w="1100" w:type="dxa"/>
            <w:vAlign w:val="bottom"/>
          </w:tcPr>
          <w:p>
            <w:pPr>
              <w:jc w:val="right"/>
              <w:ind w:right="90"/>
              <w:spacing w:after="0" w:line="181" w:lineRule="exact"/>
              <w:rPr>
                <w:sz w:val="20"/>
                <w:szCs w:val="20"/>
                <w:color w:val="auto"/>
              </w:rPr>
            </w:pPr>
            <w:r>
              <w:rPr>
                <w:rFonts w:ascii="Arial" w:cs="Arial" w:eastAsia="Arial" w:hAnsi="Arial"/>
                <w:sz w:val="18"/>
                <w:szCs w:val="18"/>
                <w:color w:val="auto"/>
              </w:rPr>
              <w:t>30,612</w:t>
            </w:r>
          </w:p>
        </w:tc>
        <w:tc>
          <w:tcPr>
            <w:tcW w:w="360" w:type="dxa"/>
            <w:vAlign w:val="bottom"/>
          </w:tcPr>
          <w:p>
            <w:pPr>
              <w:spacing w:after="0"/>
              <w:rPr>
                <w:sz w:val="15"/>
                <w:szCs w:val="15"/>
                <w:color w:val="auto"/>
              </w:rPr>
            </w:pP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239"/>
        </w:trPr>
        <w:tc>
          <w:tcPr>
            <w:tcW w:w="4120" w:type="dxa"/>
            <w:vAlign w:val="bottom"/>
          </w:tcPr>
          <w:p>
            <w:pPr>
              <w:ind w:left="100"/>
              <w:spacing w:after="0"/>
              <w:rPr>
                <w:sz w:val="20"/>
                <w:szCs w:val="20"/>
                <w:color w:val="auto"/>
              </w:rPr>
            </w:pPr>
            <w:r>
              <w:rPr>
                <w:rFonts w:ascii="Arial" w:cs="Arial" w:eastAsia="Arial" w:hAnsi="Arial"/>
                <w:sz w:val="18"/>
                <w:szCs w:val="18"/>
                <w:color w:val="auto"/>
              </w:rPr>
              <w:t>Capital expenditures, including software</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37,207</w:t>
            </w:r>
          </w:p>
        </w:tc>
        <w:tc>
          <w:tcPr>
            <w:tcW w:w="3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27,428</w:t>
            </w:r>
          </w:p>
        </w:tc>
        <w:tc>
          <w:tcPr>
            <w:tcW w:w="4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30,957</w:t>
            </w:r>
          </w:p>
        </w:tc>
        <w:tc>
          <w:tcPr>
            <w:tcW w:w="3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41,827</w:t>
            </w:r>
          </w:p>
        </w:tc>
        <w:tc>
          <w:tcPr>
            <w:tcW w:w="3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139,790</w:t>
            </w:r>
          </w:p>
        </w:tc>
        <w:tc>
          <w:tcPr>
            <w:tcW w:w="0" w:type="dxa"/>
            <w:vAlign w:val="bottom"/>
          </w:tcPr>
          <w:p>
            <w:pPr>
              <w:spacing w:after="0"/>
              <w:rPr>
                <w:sz w:val="1"/>
                <w:szCs w:val="1"/>
                <w:color w:val="auto"/>
              </w:rPr>
            </w:pPr>
          </w:p>
        </w:tc>
      </w:tr>
      <w:tr>
        <w:trPr>
          <w:trHeight w:val="391"/>
        </w:trPr>
        <w:tc>
          <w:tcPr>
            <w:tcW w:w="4120" w:type="dxa"/>
            <w:vAlign w:val="bottom"/>
          </w:tcPr>
          <w:p>
            <w:pPr>
              <w:ind w:left="100"/>
              <w:spacing w:after="0"/>
              <w:rPr>
                <w:sz w:val="20"/>
                <w:szCs w:val="20"/>
                <w:color w:val="auto"/>
              </w:rPr>
            </w:pPr>
            <w:r>
              <w:rPr>
                <w:rFonts w:ascii="Arial" w:cs="Arial" w:eastAsia="Arial" w:hAnsi="Arial"/>
                <w:sz w:val="18"/>
                <w:szCs w:val="18"/>
                <w:b w:val="1"/>
                <w:bCs w:val="1"/>
                <w:color w:val="auto"/>
              </w:rPr>
              <w:t>Financial position</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190,718</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00"/>
              <w:spacing w:after="0"/>
              <w:rPr>
                <w:sz w:val="20"/>
                <w:szCs w:val="20"/>
                <w:color w:val="auto"/>
              </w:rPr>
            </w:pPr>
            <w:r>
              <w:rPr>
                <w:rFonts w:ascii="Arial" w:cs="Arial" w:eastAsia="Arial" w:hAnsi="Arial"/>
                <w:sz w:val="18"/>
                <w:szCs w:val="18"/>
                <w:color w:val="auto"/>
              </w:rPr>
              <w:t>Cash</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118,909</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117,925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94,139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103,998</w:t>
            </w:r>
          </w:p>
        </w:tc>
        <w:tc>
          <w:tcPr>
            <w:tcW w:w="0" w:type="dxa"/>
            <w:vAlign w:val="bottom"/>
          </w:tcPr>
          <w:p>
            <w:pPr>
              <w:spacing w:after="0"/>
              <w:rPr>
                <w:sz w:val="1"/>
                <w:szCs w:val="1"/>
                <w:color w:val="auto"/>
              </w:rPr>
            </w:pPr>
          </w:p>
        </w:tc>
      </w:tr>
      <w:tr>
        <w:trPr>
          <w:trHeight w:val="369"/>
        </w:trPr>
        <w:tc>
          <w:tcPr>
            <w:tcW w:w="412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420,154</w:t>
            </w:r>
          </w:p>
        </w:tc>
        <w:tc>
          <w:tcPr>
            <w:tcW w:w="38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438,953</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480,711</w:t>
            </w:r>
          </w:p>
        </w:tc>
        <w:tc>
          <w:tcPr>
            <w:tcW w:w="38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505,833</w:t>
            </w:r>
          </w:p>
        </w:tc>
        <w:tc>
          <w:tcPr>
            <w:tcW w:w="3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526,613</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Total assets (1) (5)</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1,156,697</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1,230,928</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1,278,293</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1,345,149</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1,404,118</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235,788</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170,711</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165,856</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188,164</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210,177</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235,877</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373,125</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423,634</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483,894</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530,176</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Total noncurrent liabilities (5)</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427,398</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644,367</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686,178</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734,372</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775,352</w:t>
            </w:r>
          </w:p>
        </w:tc>
        <w:tc>
          <w:tcPr>
            <w:tcW w:w="0" w:type="dxa"/>
            <w:vAlign w:val="bottom"/>
          </w:tcPr>
          <w:p>
            <w:pPr>
              <w:spacing w:after="0"/>
              <w:rPr>
                <w:sz w:val="1"/>
                <w:szCs w:val="1"/>
                <w:color w:val="auto"/>
              </w:rPr>
            </w:pPr>
          </w:p>
        </w:tc>
      </w:tr>
      <w:tr>
        <w:trPr>
          <w:trHeight w:val="203"/>
        </w:trPr>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rPr>
              <w:t>Total liabilities (1) (5)</w:t>
            </w:r>
          </w:p>
        </w:tc>
        <w:tc>
          <w:tcPr>
            <w:tcW w:w="340" w:type="dxa"/>
            <w:vAlign w:val="bottom"/>
          </w:tcPr>
          <w:p>
            <w:pPr>
              <w:spacing w:after="0"/>
              <w:rPr>
                <w:sz w:val="17"/>
                <w:szCs w:val="17"/>
                <w:color w:val="auto"/>
              </w:rPr>
            </w:pP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663,186</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815,078</w:t>
            </w:r>
          </w:p>
        </w:tc>
        <w:tc>
          <w:tcPr>
            <w:tcW w:w="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852,034</w:t>
            </w:r>
          </w:p>
        </w:tc>
        <w:tc>
          <w:tcPr>
            <w:tcW w:w="380" w:type="dxa"/>
            <w:vAlign w:val="bottom"/>
          </w:tcPr>
          <w:p>
            <w:pPr>
              <w:spacing w:after="0"/>
              <w:rPr>
                <w:sz w:val="17"/>
                <w:szCs w:val="17"/>
                <w:color w:val="auto"/>
              </w:rPr>
            </w:pPr>
          </w:p>
        </w:tc>
        <w:tc>
          <w:tcPr>
            <w:tcW w:w="11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922,536</w:t>
            </w:r>
          </w:p>
        </w:tc>
        <w:tc>
          <w:tcPr>
            <w:tcW w:w="36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985,529</w:t>
            </w:r>
          </w:p>
        </w:tc>
        <w:tc>
          <w:tcPr>
            <w:tcW w:w="0" w:type="dxa"/>
            <w:vAlign w:val="bottom"/>
          </w:tcPr>
          <w:p>
            <w:pPr>
              <w:spacing w:after="0"/>
              <w:rPr>
                <w:sz w:val="1"/>
                <w:szCs w:val="1"/>
                <w:color w:val="auto"/>
              </w:rPr>
            </w:pPr>
          </w:p>
        </w:tc>
      </w:tr>
      <w:tr>
        <w:trPr>
          <w:trHeight w:val="239"/>
        </w:trPr>
        <w:tc>
          <w:tcPr>
            <w:tcW w:w="4120" w:type="dxa"/>
            <w:vAlign w:val="bottom"/>
          </w:tcPr>
          <w:p>
            <w:pPr>
              <w:ind w:left="100"/>
              <w:spacing w:after="0"/>
              <w:rPr>
                <w:sz w:val="20"/>
                <w:szCs w:val="20"/>
                <w:color w:val="auto"/>
              </w:rPr>
            </w:pPr>
            <w:r>
              <w:rPr>
                <w:rFonts w:ascii="Arial" w:cs="Arial" w:eastAsia="Arial" w:hAnsi="Arial"/>
                <w:sz w:val="18"/>
                <w:szCs w:val="18"/>
                <w:color w:val="auto"/>
              </w:rPr>
              <w:t>Shareholders’ equity (5)</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493,511</w:t>
            </w:r>
          </w:p>
        </w:tc>
        <w:tc>
          <w:tcPr>
            <w:tcW w:w="3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415,850</w:t>
            </w:r>
          </w:p>
        </w:tc>
        <w:tc>
          <w:tcPr>
            <w:tcW w:w="40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426,259</w:t>
            </w:r>
          </w:p>
        </w:tc>
        <w:tc>
          <w:tcPr>
            <w:tcW w:w="38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422,613</w:t>
            </w:r>
          </w:p>
        </w:tc>
        <w:tc>
          <w:tcPr>
            <w:tcW w:w="3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418,589</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60" w:right="40" w:hanging="352"/>
        <w:spacing w:after="0" w:line="200" w:lineRule="auto"/>
        <w:tabs>
          <w:tab w:leader="none" w:pos="3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In 2012, we sold our Albany Door Systems and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businesses resulting in a pre-tax gain of $92.3 million. Previously reported data for net sales, cost of sales, operating income and liabilities for years prior to 2012 have been adjusted to reflect only the activity from continuing operations. In 2008, we sold our Filtration Technologies business. Previously reported data for net sales, cost of sales, and operating income for 2008 have been adjusted to reflect only the activity from continuing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1" w:name="page22"/>
    <w:bookmarkEnd w:id="21"/>
    <w:p>
      <w:pPr>
        <w:ind w:left="352" w:right="340" w:hanging="352"/>
        <w:spacing w:after="0" w:line="246" w:lineRule="auto"/>
        <w:tabs>
          <w:tab w:leader="none" w:pos="3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2012, we took action to settle certain pension plan liabilities in the United States, Canada, and Sweden which led to charges totaling $119.7 million.</w:t>
      </w:r>
    </w:p>
    <w:p>
      <w:pPr>
        <w:spacing w:after="0" w:line="142" w:lineRule="exact"/>
        <w:rPr>
          <w:rFonts w:ascii="Arial" w:cs="Arial" w:eastAsia="Arial" w:hAnsi="Arial"/>
          <w:sz w:val="18"/>
          <w:szCs w:val="18"/>
          <w:color w:val="auto"/>
        </w:rPr>
      </w:pPr>
    </w:p>
    <w:p>
      <w:pPr>
        <w:ind w:left="352" w:hanging="352"/>
        <w:spacing w:after="0"/>
        <w:tabs>
          <w:tab w:leader="none" w:pos="352"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period 2008 through 2012, we recorded restructuring and other charges related to cost reduction initiatives.</w:t>
      </w:r>
    </w:p>
    <w:p>
      <w:pPr>
        <w:spacing w:after="0" w:line="157" w:lineRule="exact"/>
        <w:rPr>
          <w:rFonts w:ascii="Arial" w:cs="Arial" w:eastAsia="Arial" w:hAnsi="Arial"/>
          <w:sz w:val="18"/>
          <w:szCs w:val="18"/>
          <w:color w:val="auto"/>
        </w:rPr>
      </w:pPr>
    </w:p>
    <w:p>
      <w:pPr>
        <w:ind w:left="352" w:right="640" w:hanging="352"/>
        <w:spacing w:after="0" w:line="246" w:lineRule="auto"/>
        <w:tabs>
          <w:tab w:leader="none" w:pos="3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2008, a Goodwill impairment charge of $72.3 million was recorded, as well as an Intangible impairment charge of $1.0 million for customer contracts.</w:t>
      </w:r>
    </w:p>
    <w:p>
      <w:pPr>
        <w:spacing w:after="0" w:line="142" w:lineRule="exact"/>
        <w:rPr>
          <w:rFonts w:ascii="Arial" w:cs="Arial" w:eastAsia="Arial" w:hAnsi="Arial"/>
          <w:sz w:val="18"/>
          <w:szCs w:val="18"/>
          <w:color w:val="auto"/>
        </w:rPr>
      </w:pPr>
    </w:p>
    <w:p>
      <w:pPr>
        <w:ind w:left="352" w:hanging="352"/>
        <w:spacing w:after="0" w:line="257" w:lineRule="auto"/>
        <w:tabs>
          <w:tab w:leader="none" w:pos="3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2009, we adopted new accounting guidance for convertible debt instruments that may be settled in cash upon conversion, which required certain retrospective adjustments to the years 2008 and 2007. During 2009, we entered into agreements to exchange a portion of these convertible debt instruments for cash plus an equivalent amount of our Senior Notes (“New Notes”). In each case, we simultaneously entered into additional agreements to purchase the New Notes, which resulted in $52.0 million of pretax gains on early retirement of debt.</w:t>
      </w:r>
    </w:p>
    <w:p>
      <w:pPr>
        <w:spacing w:after="0" w:line="135" w:lineRule="exact"/>
        <w:rPr>
          <w:rFonts w:ascii="Arial" w:cs="Arial" w:eastAsia="Arial" w:hAnsi="Arial"/>
          <w:sz w:val="17"/>
          <w:szCs w:val="17"/>
          <w:color w:val="auto"/>
        </w:rPr>
      </w:pPr>
    </w:p>
    <w:p>
      <w:pPr>
        <w:ind w:left="352" w:right="360" w:hanging="352"/>
        <w:spacing w:after="0" w:line="246" w:lineRule="auto"/>
        <w:tabs>
          <w:tab w:leader="none" w:pos="3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2009, we recorded a charge of $10.0 million for a purchase price adjustment related to the sale of the Filtration business, which was also paid during the year.</w:t>
      </w:r>
    </w:p>
    <w:p>
      <w:pPr>
        <w:spacing w:after="0" w:line="142" w:lineRule="exact"/>
        <w:rPr>
          <w:rFonts w:ascii="Arial" w:cs="Arial" w:eastAsia="Arial" w:hAnsi="Arial"/>
          <w:sz w:val="18"/>
          <w:szCs w:val="18"/>
          <w:color w:val="auto"/>
        </w:rPr>
      </w:pPr>
    </w:p>
    <w:p>
      <w:pPr>
        <w:ind w:left="352" w:hanging="352"/>
        <w:spacing w:after="0"/>
        <w:tabs>
          <w:tab w:leader="none" w:pos="3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in 2011 includes a favorable adjustment of $3.5 million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92"/>
          </w:cols>
          <w:pgMar w:left="248" w:top="63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158" w:lineRule="exact"/>
        <w:rPr>
          <w:sz w:val="20"/>
          <w:szCs w:val="20"/>
          <w:color w:val="auto"/>
        </w:rPr>
      </w:pPr>
    </w:p>
    <w:p>
      <w:pPr>
        <w:ind w:right="700" w:firstLine="360"/>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0"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Our reportable segments: Machine Clothing (MC) and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49" w:lineRule="exact"/>
        <w:rPr>
          <w:sz w:val="20"/>
          <w:szCs w:val="20"/>
          <w:color w:val="auto"/>
        </w:rPr>
      </w:pPr>
    </w:p>
    <w:p>
      <w:pPr>
        <w:ind w:right="140" w:firstLine="360"/>
        <w:spacing w:after="0" w:line="236" w:lineRule="auto"/>
        <w:rPr>
          <w:sz w:val="20"/>
          <w:szCs w:val="20"/>
          <w:color w:val="auto"/>
        </w:rPr>
      </w:pPr>
      <w:r>
        <w:rPr>
          <w:rFonts w:ascii="Arial" w:cs="Arial" w:eastAsia="Arial" w:hAnsi="Arial"/>
          <w:sz w:val="18"/>
          <w:szCs w:val="18"/>
          <w:color w:val="auto"/>
        </w:rPr>
        <w:t>Machine Clothing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Although we do not consider the market for Machine Clothing as having significant growth potential, we do believe it provides the Company with significant prospects for long-term cash generation. We feel we are now well-positioned in these markets, with high-quality, low-cost production in growth markets, substantially lower fixed costs in mature markets, and continued strength in new product development, field services, and manufacturing technology.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53"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supplies a number of customers in the aerospace industry. AEC’s largest aerospace customer is the SAFRAN Group, and the most significant program is the production of fan blades and other components for the LEAP engine. AEC is also developing other new and potentially significant composite products for aerospace (engine and airframe) applications.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36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-1905</wp:posOffset>
            </wp:positionV>
            <wp:extent cx="5068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173"/>
        </w:trPr>
        <w:tc>
          <w:tcPr>
            <w:tcW w:w="30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06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693,176</w:t>
            </w:r>
          </w:p>
        </w:tc>
        <w:tc>
          <w:tcPr>
            <w:tcW w:w="400" w:type="dxa"/>
            <w:vAlign w:val="bottom"/>
          </w:tcPr>
          <w:p>
            <w:pPr>
              <w:jc w:val="right"/>
              <w:ind w:right="30"/>
              <w:spacing w:after="0" w:line="17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739,211</w:t>
            </w:r>
          </w:p>
        </w:tc>
        <w:tc>
          <w:tcPr>
            <w:tcW w:w="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73" w:lineRule="exact"/>
              <w:rPr>
                <w:sz w:val="20"/>
                <w:szCs w:val="20"/>
                <w:color w:val="auto"/>
              </w:rPr>
            </w:pPr>
            <w:r>
              <w:rPr>
                <w:rFonts w:ascii="Arial" w:cs="Arial" w:eastAsia="Arial" w:hAnsi="Arial"/>
                <w:sz w:val="18"/>
                <w:szCs w:val="18"/>
                <w:color w:val="auto"/>
              </w:rPr>
              <w:t>701,020</w:t>
            </w:r>
          </w:p>
        </w:tc>
      </w:tr>
      <w:tr>
        <w:trPr>
          <w:trHeight w:val="225"/>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Engineered Composites</w:t>
            </w:r>
          </w:p>
        </w:tc>
        <w:tc>
          <w:tcPr>
            <w:tcW w:w="10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67,765</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48,076</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41,867</w:t>
            </w:r>
          </w:p>
        </w:tc>
      </w:tr>
      <w:tr>
        <w:trPr>
          <w:trHeight w:val="196"/>
        </w:trPr>
        <w:tc>
          <w:tcPr>
            <w:tcW w:w="3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760,941</w:t>
            </w:r>
          </w:p>
        </w:tc>
        <w:tc>
          <w:tcPr>
            <w:tcW w:w="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787,287</w:t>
            </w:r>
          </w:p>
        </w:tc>
        <w:tc>
          <w:tcPr>
            <w:tcW w:w="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742,887</w:t>
            </w:r>
          </w:p>
        </w:tc>
      </w:tr>
      <w:tr>
        <w:trPr>
          <w:trHeight w:val="203"/>
        </w:trPr>
        <w:tc>
          <w:tcPr>
            <w:tcW w:w="3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change</w:t>
            </w: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-3.3%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vs. 2011</w:t>
      </w:r>
    </w:p>
    <w:p>
      <w:pPr>
        <w:spacing w:after="0" w:line="180" w:lineRule="exact"/>
        <w:rPr>
          <w:sz w:val="20"/>
          <w:szCs w:val="20"/>
          <w:color w:val="auto"/>
        </w:rPr>
      </w:pPr>
    </w:p>
    <w:p>
      <w:pPr>
        <w:ind w:left="720" w:hanging="361"/>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$15.4 million during 2012 as compared to 2011.</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2012 net sales decreased 1.4% as compared to 2011.</w:t>
      </w:r>
    </w:p>
    <w:p>
      <w:pPr>
        <w:spacing w:after="0" w:line="171" w:lineRule="exact"/>
        <w:rPr>
          <w:rFonts w:ascii="Arial" w:cs="Arial" w:eastAsia="Arial" w:hAnsi="Arial"/>
          <w:sz w:val="18"/>
          <w:szCs w:val="18"/>
          <w:color w:val="auto"/>
        </w:rPr>
      </w:pPr>
    </w:p>
    <w:p>
      <w:pPr>
        <w:ind w:left="720" w:right="1040" w:hanging="361"/>
        <w:spacing w:after="0" w:line="24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to 2011, 2012 sales in Western Europe declined approximately 15% due to economic weakness and customer overcapacity.</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71" w:lineRule="exact"/>
        <w:rPr>
          <w:rFonts w:ascii="Arial" w:cs="Arial" w:eastAsia="Arial" w:hAnsi="Arial"/>
          <w:sz w:val="18"/>
          <w:szCs w:val="18"/>
          <w:color w:val="auto"/>
        </w:rPr>
      </w:pPr>
    </w:p>
    <w:p>
      <w:pPr>
        <w:ind w:left="1080" w:hanging="356"/>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MC decreased 4.1 %.</w:t>
      </w:r>
    </w:p>
    <w:p>
      <w:pPr>
        <w:spacing w:after="0" w:line="171" w:lineRule="exact"/>
        <w:rPr>
          <w:rFonts w:ascii="Arial" w:cs="Arial" w:eastAsia="Arial" w:hAnsi="Arial"/>
          <w:sz w:val="18"/>
          <w:szCs w:val="18"/>
          <w:color w:val="auto"/>
        </w:rPr>
      </w:pPr>
    </w:p>
    <w:p>
      <w:pPr>
        <w:ind w:left="1080" w:hanging="356"/>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sales in Engineered Composites increased 41.0%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2011 vs. 2010</w:t>
      </w:r>
    </w:p>
    <w:p>
      <w:pPr>
        <w:spacing w:after="0" w:line="180" w:lineRule="exact"/>
        <w:rPr>
          <w:sz w:val="20"/>
          <w:szCs w:val="20"/>
          <w:color w:val="auto"/>
        </w:rPr>
      </w:pPr>
    </w:p>
    <w:p>
      <w:pPr>
        <w:ind w:left="720" w:hanging="361"/>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$15.7 million during 2011 as compared to 2010.</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2011 net sales increased 3.9% as compared to 2010.</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volume in 2011 increased in all of our business segments as worldwide economic conditions improved.</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71" w:lineRule="exact"/>
        <w:rPr>
          <w:rFonts w:ascii="Arial" w:cs="Arial" w:eastAsia="Arial" w:hAnsi="Arial"/>
          <w:sz w:val="18"/>
          <w:szCs w:val="18"/>
          <w:color w:val="auto"/>
        </w:rPr>
      </w:pPr>
    </w:p>
    <w:p>
      <w:pPr>
        <w:ind w:left="1080" w:hanging="356"/>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MC increased 3.2%.</w:t>
      </w:r>
    </w:p>
    <w:p>
      <w:pPr>
        <w:spacing w:after="0" w:line="171" w:lineRule="exact"/>
        <w:rPr>
          <w:rFonts w:ascii="Arial" w:cs="Arial" w:eastAsia="Arial" w:hAnsi="Arial"/>
          <w:sz w:val="18"/>
          <w:szCs w:val="18"/>
          <w:color w:val="auto"/>
        </w:rPr>
      </w:pPr>
    </w:p>
    <w:p>
      <w:pPr>
        <w:ind w:left="1080" w:hanging="356"/>
        <w:spacing w:after="0"/>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Net sales in Engineered Composites increased 14.8%</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0" w:lineRule="exact"/>
        <w:rPr>
          <w:sz w:val="20"/>
          <w:szCs w:val="20"/>
          <w:color w:val="auto"/>
        </w:rPr>
      </w:pPr>
    </w:p>
    <w:p>
      <w:pPr>
        <w:ind w:right="180" w:firstLine="360"/>
        <w:spacing w:after="0" w:line="239" w:lineRule="auto"/>
        <w:rPr>
          <w:sz w:val="20"/>
          <w:szCs w:val="20"/>
          <w:color w:val="auto"/>
        </w:rPr>
      </w:pPr>
      <w:r>
        <w:rPr>
          <w:rFonts w:ascii="Arial" w:cs="Arial" w:eastAsia="Arial" w:hAnsi="Arial"/>
          <w:sz w:val="18"/>
          <w:szCs w:val="18"/>
          <w:color w:val="auto"/>
        </w:rPr>
        <w:t>Backlog in the Machine Clothing segment was $267.8 million at December 31, 2012, compared to $342.9 million at December 31, 2011. The decrease reflects market weakness in Europe and, additionally, shorter order-to-delivery times. Backlog in the Engineered Composites segment was $ 33.2 million at December 31, 2012 compared to $28.8 million at December 31, 2011. Backlog in both segments is generally expected to be invoiced during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36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-1905</wp:posOffset>
            </wp:positionV>
            <wp:extent cx="50685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2010</w:t>
            </w:r>
          </w:p>
        </w:tc>
      </w:tr>
      <w:tr>
        <w:trPr>
          <w:trHeight w:val="173"/>
        </w:trPr>
        <w:tc>
          <w:tcPr>
            <w:tcW w:w="30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04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303,801</w:t>
            </w:r>
          </w:p>
        </w:tc>
        <w:tc>
          <w:tcPr>
            <w:tcW w:w="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317,984</w:t>
            </w:r>
          </w:p>
        </w:tc>
        <w:tc>
          <w:tcPr>
            <w:tcW w:w="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290,426</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1040" w:type="dxa"/>
            <w:vAlign w:val="bottom"/>
          </w:tcPr>
          <w:p>
            <w:pPr>
              <w:spacing w:after="0"/>
              <w:rPr>
                <w:sz w:val="17"/>
                <w:szCs w:val="17"/>
                <w:color w:val="auto"/>
              </w:rPr>
            </w:pPr>
          </w:p>
        </w:tc>
        <w:tc>
          <w:tcPr>
            <w:tcW w:w="11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5,627</w:t>
            </w:r>
          </w:p>
        </w:tc>
        <w:tc>
          <w:tcPr>
            <w:tcW w:w="400" w:type="dxa"/>
            <w:vAlign w:val="bottom"/>
          </w:tcPr>
          <w:p>
            <w:pPr>
              <w:spacing w:after="0"/>
              <w:rPr>
                <w:sz w:val="17"/>
                <w:szCs w:val="17"/>
                <w:color w:val="auto"/>
              </w:rPr>
            </w:pPr>
          </w:p>
        </w:tc>
        <w:tc>
          <w:tcPr>
            <w:tcW w:w="11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507</w:t>
            </w:r>
          </w:p>
        </w:tc>
        <w:tc>
          <w:tcPr>
            <w:tcW w:w="4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(2,608)</w:t>
            </w:r>
          </w:p>
        </w:tc>
      </w:tr>
      <w:tr>
        <w:trPr>
          <w:trHeight w:val="225"/>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(4,032)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(4,325)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(5,845)</w:t>
            </w:r>
          </w:p>
        </w:tc>
      </w:tr>
      <w:tr>
        <w:trPr>
          <w:trHeight w:val="196"/>
        </w:trPr>
        <w:tc>
          <w:tcPr>
            <w:tcW w:w="3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305,396</w:t>
            </w:r>
          </w:p>
        </w:tc>
        <w:tc>
          <w:tcPr>
            <w:tcW w:w="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314,166</w:t>
            </w:r>
          </w:p>
        </w:tc>
        <w:tc>
          <w:tcPr>
            <w:tcW w:w="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281,973</w:t>
            </w:r>
          </w:p>
        </w:tc>
      </w:tr>
      <w:tr>
        <w:trPr>
          <w:trHeight w:val="196"/>
        </w:trPr>
        <w:tc>
          <w:tcPr>
            <w:tcW w:w="3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40.1%</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39.9%</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w:t>
            </w:r>
          </w:p>
        </w:tc>
      </w:tr>
    </w:tbl>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gross profit during 2012 was principally due to the net effect of the following:</w:t>
      </w:r>
    </w:p>
    <w:p>
      <w:pPr>
        <w:spacing w:after="0" w:line="158" w:lineRule="exact"/>
        <w:rPr>
          <w:sz w:val="20"/>
          <w:szCs w:val="20"/>
          <w:color w:val="auto"/>
        </w:rPr>
      </w:pPr>
    </w:p>
    <w:p>
      <w:pPr>
        <w:ind w:left="720" w:hanging="361"/>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$5.9 million increase due to higher gross profit margin in MC resulting from high plant utilization in the Americas, favorable geographic sales mix, and the cumulative effect of restructuring initiatives.</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$19.8 million decrease due to lower sales in MC, principally in Western Europe.</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$5.1 million in Engineered Composites, principally due to higher sales related to the LEAP program.</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gross profit during 2011 was principally due to the net effect of the following:</w:t>
      </w:r>
    </w:p>
    <w:p>
      <w:pPr>
        <w:spacing w:after="0" w:line="158" w:lineRule="exact"/>
        <w:rPr>
          <w:sz w:val="20"/>
          <w:szCs w:val="20"/>
          <w:color w:val="auto"/>
        </w:rPr>
      </w:pPr>
    </w:p>
    <w:p>
      <w:pPr>
        <w:ind w:left="720" w:hanging="36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$11.2 million increase due to higher gross profit margin in MC.</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$15.8 million increase due to higher sales in MC.</w:t>
      </w:r>
    </w:p>
    <w:p>
      <w:pPr>
        <w:spacing w:after="0" w:line="171" w:lineRule="exact"/>
        <w:rPr>
          <w:rFonts w:ascii="Arial" w:cs="Arial" w:eastAsia="Arial" w:hAnsi="Arial"/>
          <w:sz w:val="18"/>
          <w:szCs w:val="18"/>
          <w:color w:val="auto"/>
        </w:rPr>
      </w:pPr>
    </w:p>
    <w:p>
      <w:pPr>
        <w:ind w:left="720" w:right="120" w:hanging="361"/>
        <w:spacing w:after="0" w:line="246"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$3.1 million increase in Engineered Composites gross profit, of which $1.6 million was due to inventory write-offs in 2010 that did not recur in 2011.</w:t>
      </w:r>
    </w:p>
    <w:p>
      <w:pPr>
        <w:spacing w:after="0" w:line="142" w:lineRule="exact"/>
        <w:rPr>
          <w:rFonts w:ascii="Arial" w:cs="Arial" w:eastAsia="Arial" w:hAnsi="Arial"/>
          <w:sz w:val="18"/>
          <w:szCs w:val="18"/>
          <w:color w:val="auto"/>
        </w:rPr>
      </w:pPr>
    </w:p>
    <w:p>
      <w:pPr>
        <w:ind w:left="720" w:right="460" w:hanging="36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$1.5 million improvement in Unallocated expenses principally due to 2010 write-offs of $1.6 million in our MC machinery building operation in France. Expenses associated with the U.S. postretirement medical plan represent the majority of the Unallocated expenses in 2012, 2011 and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16"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36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-1905</wp:posOffset>
            </wp:positionV>
            <wp:extent cx="50685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25"/>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173"/>
        </w:trPr>
        <w:tc>
          <w:tcPr>
            <w:tcW w:w="30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04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132,542</w:t>
            </w:r>
          </w:p>
        </w:tc>
        <w:tc>
          <w:tcPr>
            <w:tcW w:w="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135,545</w:t>
            </w:r>
          </w:p>
        </w:tc>
        <w:tc>
          <w:tcPr>
            <w:tcW w:w="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120,002</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1040" w:type="dxa"/>
            <w:vAlign w:val="bottom"/>
          </w:tcPr>
          <w:p>
            <w:pPr>
              <w:spacing w:after="0"/>
              <w:rPr>
                <w:sz w:val="17"/>
                <w:szCs w:val="17"/>
                <w:color w:val="auto"/>
              </w:rPr>
            </w:pPr>
          </w:p>
        </w:tc>
        <w:tc>
          <w:tcPr>
            <w:tcW w:w="11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6,467</w:t>
            </w:r>
          </w:p>
        </w:tc>
        <w:tc>
          <w:tcPr>
            <w:tcW w:w="400" w:type="dxa"/>
            <w:vAlign w:val="bottom"/>
          </w:tcPr>
          <w:p>
            <w:pPr>
              <w:spacing w:after="0"/>
              <w:rPr>
                <w:sz w:val="17"/>
                <w:szCs w:val="17"/>
                <w:color w:val="auto"/>
              </w:rPr>
            </w:pPr>
          </w:p>
        </w:tc>
        <w:tc>
          <w:tcPr>
            <w:tcW w:w="11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4,654</w:t>
            </w:r>
          </w:p>
        </w:tc>
        <w:tc>
          <w:tcPr>
            <w:tcW w:w="400" w:type="dxa"/>
            <w:vAlign w:val="bottom"/>
          </w:tcPr>
          <w:p>
            <w:pPr>
              <w:spacing w:after="0"/>
              <w:rPr>
                <w:sz w:val="17"/>
                <w:szCs w:val="17"/>
                <w:color w:val="auto"/>
              </w:rPr>
            </w:pPr>
          </w:p>
        </w:tc>
        <w:tc>
          <w:tcPr>
            <w:tcW w:w="9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5,638</w:t>
            </w: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Research</w:t>
            </w:r>
          </w:p>
        </w:tc>
        <w:tc>
          <w:tcPr>
            <w:tcW w:w="1040" w:type="dxa"/>
            <w:vAlign w:val="bottom"/>
          </w:tcPr>
          <w:p>
            <w:pPr>
              <w:spacing w:after="0"/>
              <w:rPr>
                <w:sz w:val="17"/>
                <w:szCs w:val="17"/>
                <w:color w:val="auto"/>
              </w:rPr>
            </w:pPr>
          </w:p>
        </w:tc>
        <w:tc>
          <w:tcPr>
            <w:tcW w:w="110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27,616</w:t>
            </w:r>
          </w:p>
        </w:tc>
        <w:tc>
          <w:tcPr>
            <w:tcW w:w="400" w:type="dxa"/>
            <w:vAlign w:val="bottom"/>
          </w:tcPr>
          <w:p>
            <w:pPr>
              <w:spacing w:after="0"/>
              <w:rPr>
                <w:sz w:val="17"/>
                <w:szCs w:val="17"/>
                <w:color w:val="auto"/>
              </w:rPr>
            </w:pPr>
          </w:p>
        </w:tc>
        <w:tc>
          <w:tcPr>
            <w:tcW w:w="11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29,007</w:t>
            </w:r>
          </w:p>
        </w:tc>
        <w:tc>
          <w:tcPr>
            <w:tcW w:w="400" w:type="dxa"/>
            <w:vAlign w:val="bottom"/>
          </w:tcPr>
          <w:p>
            <w:pPr>
              <w:spacing w:after="0"/>
              <w:rPr>
                <w:sz w:val="17"/>
                <w:szCs w:val="17"/>
                <w:color w:val="auto"/>
              </w:rPr>
            </w:pPr>
          </w:p>
        </w:tc>
        <w:tc>
          <w:tcPr>
            <w:tcW w:w="9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26,064</w:t>
            </w:r>
          </w:p>
        </w:tc>
      </w:tr>
      <w:tr>
        <w:trPr>
          <w:trHeight w:val="225"/>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w:t>
            </w:r>
          </w:p>
        </w:tc>
        <w:tc>
          <w:tcPr>
            <w:tcW w:w="10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56,111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61,035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61,813</w:t>
            </w:r>
          </w:p>
        </w:tc>
      </w:tr>
      <w:tr>
        <w:trPr>
          <w:trHeight w:val="196"/>
        </w:trPr>
        <w:tc>
          <w:tcPr>
            <w:tcW w:w="3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222,736</w:t>
            </w:r>
          </w:p>
        </w:tc>
        <w:tc>
          <w:tcPr>
            <w:tcW w:w="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230,241</w:t>
            </w:r>
          </w:p>
        </w:tc>
        <w:tc>
          <w:tcPr>
            <w:tcW w:w="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213,517</w:t>
            </w:r>
          </w:p>
        </w:tc>
      </w:tr>
      <w:tr>
        <w:trPr>
          <w:trHeight w:val="196"/>
        </w:trPr>
        <w:tc>
          <w:tcPr>
            <w:tcW w:w="3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10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29.3%</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29.2%</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STG&amp;R expenses for 2012 decreased $7.5 million in comparison with 2011, principally due to the net effect of the following:</w:t>
      </w:r>
    </w:p>
    <w:p>
      <w:pPr>
        <w:spacing w:after="0" w:line="158" w:lineRule="exact"/>
        <w:rPr>
          <w:sz w:val="20"/>
          <w:szCs w:val="20"/>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translation decreased STG&amp;R by $7.1 million as compared to 2011.</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$1.6 million in 2012 and gains of $2.7 million in 2011.</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expense decreased by $3.4 million as a result of settlement of certain pension plan liabilities.</w:t>
      </w:r>
    </w:p>
    <w:p>
      <w:pPr>
        <w:spacing w:after="0" w:line="171" w:lineRule="exact"/>
        <w:rPr>
          <w:rFonts w:ascii="Arial" w:cs="Arial" w:eastAsia="Arial" w:hAnsi="Arial"/>
          <w:sz w:val="18"/>
          <w:szCs w:val="18"/>
          <w:color w:val="auto"/>
        </w:rPr>
      </w:pPr>
    </w:p>
    <w:p>
      <w:pPr>
        <w:ind w:left="720" w:right="300" w:hanging="361"/>
        <w:spacing w:after="0" w:line="24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completed our global SAP implementation in 2011. Implementation charges in 2011 were $2.9 million. No similar expense was incurred in 2012.</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STG&amp;R expenses for 2011 increased $16.7 million in comparison with 2010, principally due to the net effect of the following:</w:t>
      </w:r>
    </w:p>
    <w:p>
      <w:pPr>
        <w:spacing w:after="0" w:line="158" w:lineRule="exact"/>
        <w:rPr>
          <w:sz w:val="20"/>
          <w:szCs w:val="20"/>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translation increased STG&amp;R by $6.3 million as compared to 2010.</w:t>
      </w:r>
    </w:p>
    <w:p>
      <w:pPr>
        <w:spacing w:after="0" w:line="171" w:lineRule="exact"/>
        <w:rPr>
          <w:rFonts w:ascii="Arial" w:cs="Arial" w:eastAsia="Arial" w:hAnsi="Arial"/>
          <w:sz w:val="18"/>
          <w:szCs w:val="18"/>
          <w:color w:val="auto"/>
        </w:rPr>
      </w:pPr>
    </w:p>
    <w:p>
      <w:pPr>
        <w:ind w:left="720" w:right="120" w:hanging="361"/>
        <w:spacing w:after="0" w:line="246"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MC STG&amp;R included the benefit of gains on the sale of former manufacturing facilities totaling $9.4 million in 2010 and $1.0 million in 2011.</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costs increased $2.9 million, largely due to increased research activities at AEC.</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$2.7 million in 2011 and $0.4 million in 2010.</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SAP implementation charges were $2.9 million in 2011 and $4.5 million in 2010.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36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wp:posOffset>
            </wp:positionV>
            <wp:extent cx="5797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r>
      <w:tr>
        <w:trPr>
          <w:trHeight w:val="173"/>
        </w:trPr>
        <w:tc>
          <w:tcPr>
            <w:tcW w:w="33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4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163,873</w:t>
            </w:r>
          </w:p>
        </w:tc>
        <w:tc>
          <w:tcPr>
            <w:tcW w:w="4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176,759</w:t>
            </w:r>
          </w:p>
        </w:tc>
        <w:tc>
          <w:tcPr>
            <w:tcW w:w="48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165,662</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1400" w:type="dxa"/>
            <w:vAlign w:val="bottom"/>
          </w:tcPr>
          <w:p>
            <w:pPr>
              <w:spacing w:after="0"/>
              <w:rPr>
                <w:sz w:val="17"/>
                <w:szCs w:val="17"/>
                <w:color w:val="auto"/>
              </w:rPr>
            </w:pP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(840)</w:t>
            </w:r>
          </w:p>
        </w:tc>
        <w:tc>
          <w:tcPr>
            <w:tcW w:w="48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(4,204)</w:t>
            </w:r>
          </w:p>
        </w:tc>
        <w:tc>
          <w:tcPr>
            <w:tcW w:w="480" w:type="dxa"/>
            <w:vAlign w:val="bottom"/>
          </w:tcPr>
          <w:p>
            <w:pPr>
              <w:spacing w:after="0"/>
              <w:rPr>
                <w:sz w:val="17"/>
                <w:szCs w:val="17"/>
                <w:color w:val="auto"/>
              </w:rPr>
            </w:pP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(9,176)</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Research expense</w:t>
            </w:r>
          </w:p>
        </w:tc>
        <w:tc>
          <w:tcPr>
            <w:tcW w:w="1400" w:type="dxa"/>
            <w:vAlign w:val="bottom"/>
          </w:tcPr>
          <w:p>
            <w:pPr>
              <w:spacing w:after="0"/>
              <w:rPr>
                <w:sz w:val="17"/>
                <w:szCs w:val="17"/>
                <w:color w:val="auto"/>
              </w:rPr>
            </w:pPr>
          </w:p>
        </w:tc>
        <w:tc>
          <w:tcPr>
            <w:tcW w:w="11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(27,616)</w:t>
            </w:r>
          </w:p>
        </w:tc>
        <w:tc>
          <w:tcPr>
            <w:tcW w:w="48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(29,007)</w:t>
            </w:r>
          </w:p>
        </w:tc>
        <w:tc>
          <w:tcPr>
            <w:tcW w:w="480" w:type="dxa"/>
            <w:vAlign w:val="bottom"/>
          </w:tcPr>
          <w:p>
            <w:pPr>
              <w:spacing w:after="0"/>
              <w:rPr>
                <w:sz w:val="17"/>
                <w:szCs w:val="17"/>
                <w:color w:val="auto"/>
              </w:rPr>
            </w:pP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(26,064)</w:t>
            </w:r>
          </w:p>
        </w:tc>
      </w:t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1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(179,553)</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(68,940)</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(65,713)</w:t>
            </w:r>
          </w:p>
        </w:tc>
      </w:tr>
      <w:tr>
        <w:trPr>
          <w:trHeight w:val="196"/>
        </w:trPr>
        <w:tc>
          <w:tcPr>
            <w:tcW w:w="3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($44,136)</w:t>
            </w:r>
          </w:p>
        </w:tc>
        <w:tc>
          <w:tcPr>
            <w:tcW w:w="4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74,608</w:t>
            </w:r>
          </w:p>
        </w:tc>
        <w:tc>
          <w:tcPr>
            <w:tcW w:w="4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64,709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Settlement Expense</w:t>
      </w:r>
    </w:p>
    <w:p>
      <w:pPr>
        <w:spacing w:after="0" w:line="180" w:lineRule="exact"/>
        <w:rPr>
          <w:sz w:val="20"/>
          <w:szCs w:val="20"/>
          <w:color w:val="auto"/>
        </w:rPr>
      </w:pPr>
    </w:p>
    <w:p>
      <w:pPr>
        <w:ind w:right="520" w:firstLine="360"/>
        <w:spacing w:after="0" w:line="246" w:lineRule="auto"/>
        <w:rPr>
          <w:sz w:val="20"/>
          <w:szCs w:val="20"/>
          <w:color w:val="auto"/>
        </w:rPr>
      </w:pPr>
      <w:r>
        <w:rPr>
          <w:rFonts w:ascii="Arial" w:cs="Arial" w:eastAsia="Arial" w:hAnsi="Arial"/>
          <w:sz w:val="18"/>
          <w:szCs w:val="18"/>
          <w:color w:val="auto"/>
        </w:rPr>
        <w:t>In 2012, we took actions to settle certain pension plan liabilities in the U.S., Canada, and Sweden leading to charges totaling $119.7 million, which were included in Unallocated Expenses. No similar charges were incurred in 2011 or 2010.</w:t>
      </w:r>
    </w:p>
    <w:p>
      <w:pPr>
        <w:spacing w:after="0" w:line="143"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 was affected by restructuring costs.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1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Restructuring Expense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wp:posOffset>
            </wp:positionV>
            <wp:extent cx="57975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r>
      <w:tr>
        <w:trPr>
          <w:trHeight w:val="173"/>
        </w:trPr>
        <w:tc>
          <w:tcPr>
            <w:tcW w:w="33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54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7,386</w:t>
            </w:r>
          </w:p>
        </w:tc>
        <w:tc>
          <w:tcPr>
            <w:tcW w:w="58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5,680</w:t>
            </w:r>
          </w:p>
        </w:tc>
        <w:tc>
          <w:tcPr>
            <w:tcW w:w="58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4,762</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1540" w:type="dxa"/>
            <w:vAlign w:val="bottom"/>
          </w:tcPr>
          <w:p>
            <w:pPr>
              <w:spacing w:after="0"/>
              <w:rPr>
                <w:sz w:val="17"/>
                <w:szCs w:val="17"/>
                <w:color w:val="auto"/>
              </w:rPr>
            </w:pPr>
          </w:p>
        </w:tc>
        <w:tc>
          <w:tcPr>
            <w:tcW w:w="9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7"/>
                <w:szCs w:val="17"/>
                <w:color w:val="auto"/>
              </w:rPr>
            </w:pPr>
          </w:p>
        </w:tc>
        <w:tc>
          <w:tcPr>
            <w:tcW w:w="9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57</w:t>
            </w:r>
          </w:p>
        </w:tc>
        <w:tc>
          <w:tcPr>
            <w:tcW w:w="580" w:type="dxa"/>
            <w:vAlign w:val="bottom"/>
          </w:tcPr>
          <w:p>
            <w:pPr>
              <w:spacing w:after="0"/>
              <w:rPr>
                <w:sz w:val="17"/>
                <w:szCs w:val="17"/>
                <w:color w:val="auto"/>
              </w:rPr>
            </w:pPr>
          </w:p>
        </w:tc>
        <w:tc>
          <w:tcPr>
            <w:tcW w:w="12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930</w:t>
            </w:r>
          </w:p>
        </w:tc>
      </w:t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1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(325)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3,580</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(1,945)</w:t>
            </w:r>
          </w:p>
        </w:tc>
      </w:tr>
      <w:tr>
        <w:trPr>
          <w:trHeight w:val="196"/>
        </w:trPr>
        <w:tc>
          <w:tcPr>
            <w:tcW w:w="3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7,061</w:t>
            </w:r>
          </w:p>
        </w:tc>
        <w:tc>
          <w:tcPr>
            <w:tcW w:w="5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9,317</w:t>
            </w:r>
          </w:p>
        </w:tc>
        <w:tc>
          <w:tcPr>
            <w:tcW w:w="5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3,747</w:t>
            </w:r>
          </w:p>
        </w:tc>
      </w:tr>
    </w:tbl>
    <w:p>
      <w:pPr>
        <w:spacing w:after="0" w:line="202"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Restructuring expenses in 2012 were principally related to a reduction in workforce in Sweden and France, and the previously announced curtailment of manufacturing in New York and Wisconsin. The restructuring activities were related to the lower demand for paper machine clothing. Those costs were partially offset by a reduction in accruals related to the Company’s headquarters. Restructuring costs totaled $7.1 million, including a reduction to expense of $0.7 million that resulted from the sale of property in Albany, New York.</w:t>
      </w:r>
    </w:p>
    <w:p>
      <w:pPr>
        <w:spacing w:after="0" w:line="148" w:lineRule="exact"/>
        <w:rPr>
          <w:sz w:val="20"/>
          <w:szCs w:val="20"/>
          <w:color w:val="auto"/>
        </w:rPr>
      </w:pPr>
    </w:p>
    <w:p>
      <w:pPr>
        <w:ind w:right="60" w:firstLine="360"/>
        <w:spacing w:after="0"/>
        <w:rPr>
          <w:sz w:val="20"/>
          <w:szCs w:val="20"/>
          <w:color w:val="auto"/>
        </w:rPr>
      </w:pPr>
      <w:r>
        <w:rPr>
          <w:rFonts w:ascii="Arial" w:cs="Arial" w:eastAsia="Arial" w:hAnsi="Arial"/>
          <w:sz w:val="18"/>
          <w:szCs w:val="18"/>
          <w:color w:val="auto"/>
        </w:rPr>
        <w:t>In November 2012, we announced that our subsidiary in France had initiated discussions with the employee works council regarding a proposal to restructure operations at the Company’s Machine Clothing production facilities in Selestat and St. Junien. The consultation will be completed in accordance with applicable French legislation. No accrual has been recorded in regard to the proposed actions.</w:t>
      </w:r>
    </w:p>
    <w:p>
      <w:pPr>
        <w:spacing w:after="0" w:line="149"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Restructuring expenses for 2010 and 2011 were the result of restructuring and performance improvement plans affecting each of our reportable segments. The restructuring activities were driven by the need for us to balance our manufacturing capacity with anticipated demand, to improve efficiency in all aspects of our business, and to strengthen our competitive position. We also took actions to reduce costs and to create process efficiencies within administrative functions.</w:t>
      </w:r>
    </w:p>
    <w:p>
      <w:pPr>
        <w:spacing w:after="0" w:line="148" w:lineRule="exact"/>
        <w:rPr>
          <w:sz w:val="20"/>
          <w:szCs w:val="20"/>
          <w:color w:val="auto"/>
        </w:rPr>
      </w:pPr>
    </w:p>
    <w:p>
      <w:pPr>
        <w:ind w:right="20" w:firstLine="360"/>
        <w:spacing w:after="0" w:line="246" w:lineRule="auto"/>
        <w:rPr>
          <w:sz w:val="20"/>
          <w:szCs w:val="20"/>
          <w:color w:val="auto"/>
        </w:rPr>
      </w:pPr>
      <w:r>
        <w:rPr>
          <w:rFonts w:ascii="Arial" w:cs="Arial" w:eastAsia="Arial" w:hAnsi="Arial"/>
          <w:sz w:val="18"/>
          <w:szCs w:val="18"/>
          <w:color w:val="auto"/>
        </w:rPr>
        <w:t>Restructuring actions taken in 2010, 2011 and 2012 have resulted in cost reductions in line with Company expectations, and have helped to maintain or improve gross profit margins, or reduce STG&amp;R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wp:posOffset>
            </wp:positionV>
            <wp:extent cx="5797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73"/>
        </w:trPr>
        <w:tc>
          <w:tcPr>
            <w:tcW w:w="340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138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16,601</w:t>
            </w:r>
          </w:p>
        </w:tc>
        <w:tc>
          <w:tcPr>
            <w:tcW w:w="52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18,121</w:t>
            </w:r>
          </w:p>
        </w:tc>
        <w:tc>
          <w:tcPr>
            <w:tcW w:w="56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17,240</w:t>
            </w: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Other expense/(income), net</w:t>
            </w:r>
          </w:p>
        </w:tc>
        <w:tc>
          <w:tcPr>
            <w:tcW w:w="1380" w:type="dxa"/>
            <w:vAlign w:val="bottom"/>
          </w:tcPr>
          <w:p>
            <w:pPr>
              <w:spacing w:after="0"/>
              <w:rPr>
                <w:sz w:val="17"/>
                <w:szCs w:val="17"/>
                <w:color w:val="auto"/>
              </w:rPr>
            </w:pPr>
          </w:p>
        </w:tc>
        <w:tc>
          <w:tcPr>
            <w:tcW w:w="10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7,629</w:t>
            </w:r>
          </w:p>
        </w:tc>
        <w:tc>
          <w:tcPr>
            <w:tcW w:w="520" w:type="dxa"/>
            <w:vAlign w:val="bottom"/>
          </w:tcPr>
          <w:p>
            <w:pPr>
              <w:spacing w:after="0"/>
              <w:rPr>
                <w:sz w:val="17"/>
                <w:szCs w:val="17"/>
                <w:color w:val="auto"/>
              </w:rPr>
            </w:pPr>
          </w:p>
        </w:tc>
        <w:tc>
          <w:tcPr>
            <w:tcW w:w="10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2,639</w:t>
            </w:r>
          </w:p>
        </w:tc>
        <w:tc>
          <w:tcPr>
            <w:tcW w:w="56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5"/>
        </w:trPr>
        <w:tc>
          <w:tcPr>
            <w:tcW w:w="340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38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(27,523)</w:t>
            </w:r>
          </w:p>
        </w:tc>
        <w:tc>
          <w:tcPr>
            <w:tcW w:w="5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32,582</w:t>
            </w:r>
          </w:p>
        </w:tc>
        <w:tc>
          <w:tcPr>
            <w:tcW w:w="56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21,022</w:t>
            </w:r>
          </w:p>
        </w:tc>
        <w:tc>
          <w:tcPr>
            <w:tcW w:w="0" w:type="dxa"/>
            <w:vAlign w:val="bottom"/>
          </w:tcPr>
          <w:p>
            <w:pPr>
              <w:spacing w:after="0"/>
              <w:rPr>
                <w:sz w:val="1"/>
                <w:szCs w:val="1"/>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Income from discontinued</w:t>
            </w:r>
          </w:p>
        </w:tc>
        <w:tc>
          <w:tcPr>
            <w:tcW w:w="1380" w:type="dxa"/>
            <w:vAlign w:val="bottom"/>
          </w:tcPr>
          <w:p>
            <w:pPr>
              <w:spacing w:after="0"/>
              <w:rPr>
                <w:sz w:val="17"/>
                <w:szCs w:val="17"/>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71,820</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tcPr>
          <w:p>
            <w:pPr>
              <w:ind w:left="220"/>
              <w:spacing w:after="0"/>
              <w:rPr>
                <w:sz w:val="20"/>
                <w:szCs w:val="20"/>
                <w:color w:val="auto"/>
              </w:rPr>
            </w:pPr>
            <w:r>
              <w:rPr>
                <w:rFonts w:ascii="Arial" w:cs="Arial" w:eastAsia="Arial" w:hAnsi="Arial"/>
                <w:sz w:val="18"/>
                <w:szCs w:val="18"/>
                <w:color w:val="auto"/>
              </w:rPr>
              <w:t>operations, net of tax</w:t>
            </w:r>
          </w:p>
        </w:tc>
        <w:tc>
          <w:tcPr>
            <w:tcW w:w="1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13,672</w:t>
            </w:r>
          </w:p>
        </w:tc>
        <w:tc>
          <w:tcPr>
            <w:tcW w:w="56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80" w:lineRule="exact"/>
        <w:rPr>
          <w:sz w:val="20"/>
          <w:szCs w:val="20"/>
          <w:color w:val="auto"/>
        </w:rPr>
      </w:pPr>
    </w:p>
    <w:p>
      <w:pPr>
        <w:ind w:right="20" w:firstLine="360"/>
        <w:spacing w:after="0"/>
        <w:rPr>
          <w:sz w:val="20"/>
          <w:szCs w:val="20"/>
          <w:color w:val="auto"/>
        </w:rPr>
      </w:pPr>
      <w:r>
        <w:rPr>
          <w:rFonts w:ascii="Arial" w:cs="Arial" w:eastAsia="Arial" w:hAnsi="Arial"/>
          <w:sz w:val="18"/>
          <w:szCs w:val="18"/>
          <w:color w:val="auto"/>
        </w:rPr>
        <w:t>Interest expense, net, decreased $1.5 million in 2012 principally due to a decline in net debt. Interest expense, net, increased $0.9 million in 2011 due to the effect of higher interest rates under the new revolving credit agreement that we entered into during 2010, which offset the effect of lower average debt. See the Capital Resources section below for further discussion of borrowings and interest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expense/(income), net included the following:</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616" w:right="359" w:bottom="1440" w:gutter="0" w:footer="0" w:header="0"/>
        </w:sectPr>
      </w:pPr>
    </w:p>
    <w:bookmarkStart w:id="26" w:name="page27"/>
    <w:bookmarkEnd w:id="26"/>
    <w:p>
      <w:pPr>
        <w:ind w:left="720" w:right="20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losses of $5.7 million in 2012 and gains of $0.1 million in 2011, and $4.6 million in 2010. The revaluation effects were principally due to the euro’s relative strength against the U.S. dollar, Canadian dollar, Australian dollar, and Japanese yen.</w:t>
      </w:r>
    </w:p>
    <w:p>
      <w:pPr>
        <w:spacing w:after="0" w:line="148" w:lineRule="exact"/>
        <w:rPr>
          <w:rFonts w:ascii="Arial" w:cs="Arial" w:eastAsia="Arial" w:hAnsi="Arial"/>
          <w:sz w:val="18"/>
          <w:szCs w:val="18"/>
          <w:color w:val="auto"/>
        </w:rPr>
      </w:pPr>
    </w:p>
    <w:p>
      <w:pPr>
        <w:ind w:left="720" w:right="880" w:hanging="361"/>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fees and amortization of debt issuance costs were $2.4 million, $1.8 million, and $1.7 million in 2012, 2011, and 2010, respectively.</w:t>
      </w:r>
    </w:p>
    <w:p>
      <w:pPr>
        <w:spacing w:after="0" w:line="142" w:lineRule="exact"/>
        <w:rPr>
          <w:rFonts w:ascii="Arial" w:cs="Arial" w:eastAsia="Arial" w:hAnsi="Arial"/>
          <w:sz w:val="18"/>
          <w:szCs w:val="18"/>
          <w:color w:val="auto"/>
        </w:rPr>
      </w:pPr>
    </w:p>
    <w:p>
      <w:pPr>
        <w:ind w:left="720" w:right="160" w:hanging="361"/>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for a letter-of-credit (LOC) were $1.0 million, $1.5 million, and $1.8 million in 2012, 2011, and 2010, respectively. The fees were associated with an LOC required by the Canadian government for tax contingencies that were resolved in 2012.</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80" w:lineRule="exact"/>
        <w:rPr>
          <w:sz w:val="20"/>
          <w:szCs w:val="20"/>
          <w:color w:val="auto"/>
        </w:rPr>
      </w:pPr>
    </w:p>
    <w:p>
      <w:pPr>
        <w:ind w:right="140" w:firstLine="360"/>
        <w:spacing w:after="0"/>
        <w:rPr>
          <w:sz w:val="20"/>
          <w:szCs w:val="20"/>
          <w:color w:val="auto"/>
        </w:rPr>
      </w:pPr>
      <w:r>
        <w:rPr>
          <w:rFonts w:ascii="Arial" w:cs="Arial" w:eastAsia="Arial" w:hAnsi="Arial"/>
          <w:sz w:val="18"/>
          <w:szCs w:val="18"/>
          <w:color w:val="auto"/>
        </w:rPr>
        <w:t>The Company has operations which constitute a taxable presence in 16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149"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The Company’s effective tax rate for fiscal years 2012, 2011 and 2010 was 40.3%, 60.5% and 43.5%,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items that impacted the 2012 tax rate included the following (percentages reflect the effect of each item as a percentage of</w:t>
      </w:r>
    </w:p>
    <w:p>
      <w:pPr>
        <w:spacing w:after="0"/>
        <w:rPr>
          <w:sz w:val="20"/>
          <w:szCs w:val="20"/>
          <w:color w:val="auto"/>
        </w:rPr>
      </w:pPr>
      <w:r>
        <w:rPr>
          <w:rFonts w:ascii="Arial" w:cs="Arial" w:eastAsia="Arial" w:hAnsi="Arial"/>
          <w:sz w:val="18"/>
          <w:szCs w:val="18"/>
          <w:color w:val="auto"/>
        </w:rPr>
        <w:t>Income before income taxes):</w:t>
      </w:r>
    </w:p>
    <w:p>
      <w:pPr>
        <w:spacing w:after="0" w:line="158" w:lineRule="exact"/>
        <w:rPr>
          <w:sz w:val="20"/>
          <w:szCs w:val="20"/>
          <w:color w:val="auto"/>
        </w:rPr>
      </w:pP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$39.5 million (57.7%) discrete income tax benefit related to pension settlements in the U.S., Canada and Sweden.</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discrete tax benefit of $7.1 million (10.3%) related to the settlement of a tax audit in Canada.</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$0.8 million (1.1%) net tax benefit related to other discrete items.</w:t>
      </w:r>
    </w:p>
    <w:p>
      <w:pPr>
        <w:spacing w:after="0" w:line="117" w:lineRule="exact"/>
        <w:rPr>
          <w:rFonts w:ascii="Arial" w:cs="Arial" w:eastAsia="Arial" w:hAnsi="Arial"/>
          <w:sz w:val="18"/>
          <w:szCs w:val="18"/>
          <w:color w:val="auto"/>
        </w:rPr>
      </w:pPr>
    </w:p>
    <w:p>
      <w:pPr>
        <w:jc w:val="both"/>
        <w:ind w:left="800" w:hanging="400"/>
        <w:spacing w:after="0" w:line="23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tax rate reduction of 1.7% was recognized in 2012 from rate differences between non-U.S. and U.S. jurisdictions. The tax rate benefit from earnings in Switzerland and Brazil that are taxed at lower rates was offset by pension settlement and restructuring charges recognized outside the U.S. that resulted in a lower tax benefit, as compared to the benefit calculated using the U.S. notional tax rate of 35%.</w:t>
      </w:r>
    </w:p>
    <w:p>
      <w:pPr>
        <w:spacing w:after="0" w:line="93" w:lineRule="exact"/>
        <w:rPr>
          <w:rFonts w:ascii="Arial" w:cs="Arial" w:eastAsia="Arial" w:hAnsi="Arial"/>
          <w:sz w:val="18"/>
          <w:szCs w:val="18"/>
          <w:color w:val="auto"/>
        </w:rPr>
      </w:pPr>
    </w:p>
    <w:p>
      <w:pPr>
        <w:ind w:left="800" w:hanging="400"/>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39%.</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items that impacted the 2011 tax rate included the following:</w:t>
      </w:r>
    </w:p>
    <w:p>
      <w:pPr>
        <w:spacing w:after="0" w:line="158" w:lineRule="exact"/>
        <w:rPr>
          <w:sz w:val="20"/>
          <w:szCs w:val="20"/>
          <w:color w:val="auto"/>
        </w:rPr>
      </w:pPr>
    </w:p>
    <w:p>
      <w:pPr>
        <w:ind w:left="800" w:right="20" w:hanging="400"/>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$22.8 million (42.1%) of expense for valuation allowances, principally in Germany, that resulted from the Company’s sale of Albany Door Systems.</w:t>
      </w:r>
    </w:p>
    <w:p>
      <w:pPr>
        <w:spacing w:after="0" w:line="88" w:lineRule="exact"/>
        <w:rPr>
          <w:rFonts w:ascii="Arial" w:cs="Arial" w:eastAsia="Arial" w:hAnsi="Arial"/>
          <w:sz w:val="18"/>
          <w:szCs w:val="18"/>
          <w:color w:val="auto"/>
        </w:rPr>
      </w:pPr>
    </w:p>
    <w:p>
      <w:pPr>
        <w:jc w:val="both"/>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favorable tax adjustment of $3.5 million (6.4%) to correct errors from periods prior to 2006. (The Company does not believe that the corrected item was material to 2011 or any of the previously reported quarterly or annual financial statements.) As a result, the Company has not restated its previously issued financial statements.</w:t>
      </w:r>
    </w:p>
    <w:p>
      <w:pPr>
        <w:spacing w:after="0" w:line="94" w:lineRule="exact"/>
        <w:rPr>
          <w:rFonts w:ascii="Arial" w:cs="Arial" w:eastAsia="Arial" w:hAnsi="Arial"/>
          <w:sz w:val="18"/>
          <w:szCs w:val="18"/>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$3.3 million (6.2%) reduction in expense resulting from a change in the applicable tax regime in Mexico.</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$1.2 million (2.2%) net tax benefit related to the settlement of certain audits and other discrete tax matters.</w:t>
      </w:r>
    </w:p>
    <w:p>
      <w:pPr>
        <w:spacing w:after="0" w:line="117" w:lineRule="exact"/>
        <w:rPr>
          <w:rFonts w:ascii="Arial" w:cs="Arial" w:eastAsia="Arial" w:hAnsi="Arial"/>
          <w:sz w:val="18"/>
          <w:szCs w:val="18"/>
          <w:color w:val="auto"/>
        </w:rPr>
      </w:pPr>
    </w:p>
    <w:p>
      <w:pPr>
        <w:jc w:val="both"/>
        <w:ind w:left="800" w:hanging="400"/>
        <w:spacing w:after="0" w:line="23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tax rate reduction of 14.3% was recognized from rate differences between non-U.S. and U.S. jurisdictions. Earnings in Switzerland and Brazil, where tax rates are lower than the U.S. notional rate of 35%, contributed to the majority of the reduction noted. U.S. tax costs on foreign earnings and foreign withholdings offset the tax rate benefits gained from operating in low tax jurisdictions by 12.8%.</w:t>
      </w:r>
    </w:p>
    <w:p>
      <w:pPr>
        <w:spacing w:after="0" w:line="93" w:lineRule="exact"/>
        <w:rPr>
          <w:rFonts w:ascii="Arial" w:cs="Arial" w:eastAsia="Arial" w:hAnsi="Arial"/>
          <w:sz w:val="18"/>
          <w:szCs w:val="18"/>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33%.</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items that impacted the 2010 tax rate included the following:</w:t>
      </w:r>
    </w:p>
    <w:p>
      <w:pPr>
        <w:spacing w:after="0" w:line="158" w:lineRule="exact"/>
        <w:rPr>
          <w:sz w:val="20"/>
          <w:szCs w:val="20"/>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$9.4 million (19.4%) of expense due to the redemption of our company-owned life insurance policies.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 million (4.7%) of discrete tax benefit due to the repatriation of prior year’s earnings from our subsidiary in Mexico.</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$0.5 million tax benefit resulting from other discrete income tax adjustments.</w:t>
      </w:r>
    </w:p>
    <w:p>
      <w:pPr>
        <w:spacing w:after="0" w:line="117" w:lineRule="exact"/>
        <w:rPr>
          <w:rFonts w:ascii="Arial" w:cs="Arial" w:eastAsia="Arial" w:hAnsi="Arial"/>
          <w:sz w:val="18"/>
          <w:szCs w:val="18"/>
          <w:color w:val="auto"/>
        </w:rPr>
      </w:pPr>
    </w:p>
    <w:p>
      <w:pPr>
        <w:jc w:val="both"/>
        <w:ind w:left="800" w:hanging="400"/>
        <w:spacing w:after="0" w:line="23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tax rate reduction of 28.2% was recognized from rate differences between non-U.S. and U.S. jurisdictions. Earnings in Switzerland and Brazil, where tax rates are lower than the U.S. notional rate of 35%, contributed to the majority of the reduction noted. U.S. tax costs on foreign earnings and foreign withholdings offset the tax rate benefits gained from operating in low tax jurisdictions by 7.7%.</w:t>
      </w:r>
    </w:p>
    <w:p>
      <w:pPr>
        <w:spacing w:after="0" w:line="93" w:lineRule="exact"/>
        <w:rPr>
          <w:rFonts w:ascii="Arial" w:cs="Arial" w:eastAsia="Arial" w:hAnsi="Arial"/>
          <w:sz w:val="18"/>
          <w:szCs w:val="18"/>
          <w:color w:val="auto"/>
        </w:rPr>
      </w:pPr>
    </w:p>
    <w:p>
      <w:pPr>
        <w:ind w:left="800" w:hanging="400"/>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30%.</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October, 2011 we entered into a contract to sell the assets and liabilities of our Albany Door Systems business to Assa Abloy AB for</w:t>
      </w:r>
    </w:p>
    <w:p>
      <w:pPr>
        <w:spacing w:after="0" w:line="234" w:lineRule="auto"/>
        <w:rPr>
          <w:sz w:val="20"/>
          <w:szCs w:val="20"/>
          <w:color w:val="auto"/>
        </w:rPr>
      </w:pPr>
      <w:r>
        <w:rPr>
          <w:rFonts w:ascii="Arial" w:cs="Arial" w:eastAsia="Arial" w:hAnsi="Arial"/>
          <w:sz w:val="18"/>
          <w:szCs w:val="18"/>
          <w:color w:val="auto"/>
        </w:rPr>
        <w:t>$130 million. Closing on the transaction occurred on January 11, 2012, and the Company recorded a pre-tax gain of $57.4 million as a result of</w:t>
      </w:r>
    </w:p>
    <w:p>
      <w:pPr>
        <w:spacing w:after="0" w:line="235" w:lineRule="auto"/>
        <w:rPr>
          <w:sz w:val="20"/>
          <w:szCs w:val="20"/>
          <w:color w:val="auto"/>
        </w:rPr>
      </w:pPr>
      <w:r>
        <w:rPr>
          <w:rFonts w:ascii="Arial" w:cs="Arial" w:eastAsia="Arial" w:hAnsi="Arial"/>
          <w:sz w:val="18"/>
          <w:szCs w:val="18"/>
          <w:color w:val="auto"/>
        </w:rPr>
        <w:t>that sale. Additionally, in March 2012, we agreed with the purchaser on certain post-closing adjustments, and in April 2012 we received a</w:t>
      </w:r>
    </w:p>
    <w:p>
      <w:pPr>
        <w:spacing w:after="0" w:line="235" w:lineRule="auto"/>
        <w:rPr>
          <w:sz w:val="20"/>
          <w:szCs w:val="20"/>
          <w:color w:val="auto"/>
        </w:rPr>
      </w:pPr>
      <w:r>
        <w:rPr>
          <w:rFonts w:ascii="Arial" w:cs="Arial" w:eastAsia="Arial" w:hAnsi="Arial"/>
          <w:sz w:val="18"/>
          <w:szCs w:val="18"/>
          <w:color w:val="auto"/>
        </w:rPr>
        <w:t>payment of $5.0 million to reflect that agreement. Under the terms of the contract, Assa Abloy AB acquired our equity ownership of Albany</w:t>
      </w:r>
    </w:p>
    <w:p>
      <w:pPr>
        <w:spacing w:after="0" w:line="235" w:lineRule="auto"/>
        <w:rPr>
          <w:sz w:val="20"/>
          <w:szCs w:val="20"/>
          <w:color w:val="auto"/>
        </w:rPr>
      </w:pPr>
      <w:r>
        <w:rPr>
          <w:rFonts w:ascii="Arial" w:cs="Arial" w:eastAsia="Arial" w:hAnsi="Arial"/>
          <w:sz w:val="18"/>
          <w:szCs w:val="18"/>
          <w:color w:val="auto"/>
        </w:rPr>
        <w:t>Doors Systems GmbH in Germany, Albany Door Systems AB in Sweden, and other affiliates in Germany, France, the Netherlands, Turkey,</w:t>
      </w:r>
    </w:p>
    <w:p>
      <w:pPr>
        <w:spacing w:after="0" w:line="235" w:lineRule="auto"/>
        <w:rPr>
          <w:sz w:val="20"/>
          <w:szCs w:val="20"/>
          <w:color w:val="auto"/>
        </w:rPr>
      </w:pPr>
      <w:r>
        <w:rPr>
          <w:rFonts w:ascii="Arial" w:cs="Arial" w:eastAsia="Arial" w:hAnsi="Arial"/>
          <w:sz w:val="18"/>
          <w:szCs w:val="18"/>
          <w:color w:val="auto"/>
        </w:rPr>
        <w:t>Poland, Belgium, New Zealand, and other countries, as well as the remaining business assets, most of which were located in the United</w:t>
      </w:r>
    </w:p>
    <w:p>
      <w:pPr>
        <w:spacing w:after="0" w:line="235" w:lineRule="auto"/>
        <w:rPr>
          <w:sz w:val="20"/>
          <w:szCs w:val="20"/>
          <w:color w:val="auto"/>
        </w:rPr>
      </w:pPr>
      <w:r>
        <w:rPr>
          <w:rFonts w:ascii="Arial" w:cs="Arial" w:eastAsia="Arial" w:hAnsi="Arial"/>
          <w:sz w:val="18"/>
          <w:szCs w:val="18"/>
          <w:color w:val="auto"/>
        </w:rPr>
        <w:t>States, Australia, China, and Italy. In the second quarter of 2012, the purchaser completed certain legal registration activities in China, allowing</w:t>
      </w:r>
    </w:p>
    <w:p>
      <w:pPr>
        <w:spacing w:after="0"/>
        <w:rPr>
          <w:sz w:val="20"/>
          <w:szCs w:val="20"/>
          <w:color w:val="auto"/>
        </w:rPr>
      </w:pPr>
      <w:r>
        <w:rPr>
          <w:rFonts w:ascii="Arial" w:cs="Arial" w:eastAsia="Arial" w:hAnsi="Arial"/>
          <w:sz w:val="18"/>
          <w:szCs w:val="18"/>
          <w:color w:val="auto"/>
        </w:rPr>
        <w:t>the parties to complete the transfer of assets and liabilities of the business in that country.</w:t>
      </w:r>
    </w:p>
    <w:p>
      <w:pPr>
        <w:spacing w:after="0" w:line="158" w:lineRule="exact"/>
        <w:rPr>
          <w:sz w:val="20"/>
          <w:szCs w:val="20"/>
          <w:color w:val="auto"/>
        </w:rPr>
      </w:pPr>
    </w:p>
    <w:p>
      <w:pPr>
        <w:ind w:right="360" w:firstLine="360"/>
        <w:spacing w:after="0" w:line="246" w:lineRule="auto"/>
        <w:rPr>
          <w:sz w:val="20"/>
          <w:szCs w:val="20"/>
          <w:color w:val="auto"/>
        </w:rPr>
      </w:pPr>
      <w:r>
        <w:rPr>
          <w:rFonts w:ascii="Arial" w:cs="Arial" w:eastAsia="Arial" w:hAnsi="Arial"/>
          <w:sz w:val="18"/>
          <w:szCs w:val="18"/>
          <w:color w:val="auto"/>
        </w:rPr>
        <w:t>The initial purchase price of $130 million included $13 million to be paid in July 2013. We recorded the value of that consideration on a present value basis and, as of December 31, 2012, we had a receivable of $12.8 million included in Accounts receivable.</w:t>
      </w:r>
    </w:p>
    <w:p>
      <w:pPr>
        <w:spacing w:after="0" w:line="143" w:lineRule="exact"/>
        <w:rPr>
          <w:sz w:val="20"/>
          <w:szCs w:val="20"/>
          <w:color w:val="auto"/>
        </w:rPr>
      </w:pPr>
    </w:p>
    <w:p>
      <w:pPr>
        <w:ind w:right="100" w:firstLine="360"/>
        <w:spacing w:after="0" w:line="214" w:lineRule="auto"/>
        <w:rPr>
          <w:sz w:val="20"/>
          <w:szCs w:val="20"/>
          <w:color w:val="auto"/>
        </w:rPr>
      </w:pPr>
      <w:r>
        <w:rPr>
          <w:rFonts w:ascii="Arial" w:cs="Arial" w:eastAsia="Arial" w:hAnsi="Arial"/>
          <w:sz w:val="18"/>
          <w:szCs w:val="18"/>
          <w:color w:val="auto"/>
        </w:rPr>
        <w:t>In May 2012, we announced an agreement to sell our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and that transaction closed on June 29, 2012. Under the terms of the agreement, the purchaser acquired all of the assets of that business, which were located in the United States, Italy and Germany. The purchase of $38.0 million included $3.8 million held in escrow accounts, and which is expected to be received in 2013. The Company recorded a pre-tax gain of $34.9 million as result of that sale.</w:t>
      </w:r>
    </w:p>
    <w:p>
      <w:pPr>
        <w:spacing w:after="0" w:line="151" w:lineRule="exact"/>
        <w:rPr>
          <w:sz w:val="20"/>
          <w:szCs w:val="20"/>
          <w:color w:val="auto"/>
        </w:rPr>
      </w:pPr>
    </w:p>
    <w:p>
      <w:pPr>
        <w:ind w:right="160" w:firstLine="360"/>
        <w:spacing w:after="0" w:line="238" w:lineRule="auto"/>
        <w:rPr>
          <w:sz w:val="20"/>
          <w:szCs w:val="20"/>
          <w:color w:val="auto"/>
        </w:rPr>
      </w:pPr>
      <w:r>
        <w:rPr>
          <w:rFonts w:ascii="Arial" w:cs="Arial" w:eastAsia="Arial" w:hAnsi="Arial"/>
          <w:sz w:val="18"/>
          <w:szCs w:val="18"/>
          <w:color w:val="auto"/>
        </w:rPr>
        <w:t>We have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the sale of both businesses completed in 2012, there are no remaining discontinued businesses as of December 31, 2012.</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58" w:lineRule="exact"/>
        <w:rPr>
          <w:sz w:val="20"/>
          <w:szCs w:val="20"/>
          <w:color w:val="auto"/>
        </w:rPr>
      </w:pPr>
    </w:p>
    <w:p>
      <w:pPr>
        <w:ind w:right="420" w:firstLine="360"/>
        <w:spacing w:after="0" w:line="246" w:lineRule="auto"/>
        <w:rPr>
          <w:sz w:val="20"/>
          <w:szCs w:val="20"/>
          <w:color w:val="auto"/>
        </w:rPr>
      </w:pPr>
      <w:r>
        <w:rPr>
          <w:rFonts w:ascii="Arial" w:cs="Arial" w:eastAsia="Arial" w:hAnsi="Arial"/>
          <w:sz w:val="18"/>
          <w:szCs w:val="18"/>
          <w:color w:val="auto"/>
        </w:rPr>
        <w:t>Machine Clothing is our primary business segment and accounted for nearly 91% of our consolidated revenues during 2012. Machine clothing is purchased primarily by manufacturers of paper and paperboard.</w:t>
      </w:r>
    </w:p>
    <w:p>
      <w:pPr>
        <w:spacing w:after="0" w:line="143" w:lineRule="exact"/>
        <w:rPr>
          <w:sz w:val="20"/>
          <w:szCs w:val="20"/>
          <w:color w:val="auto"/>
        </w:rPr>
      </w:pPr>
    </w:p>
    <w:p>
      <w:pPr>
        <w:ind w:right="100" w:firstLine="360"/>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2-3% over the next five years, driven primarily by secular demand increases in the Asia and South America, with stabilization in the mature markets of Europe and North America.</w:t>
      </w:r>
    </w:p>
    <w:p>
      <w:pPr>
        <w:spacing w:after="0" w:line="149"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were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 These factors help to explain why Paper Machine Clothing revenue growth grows at a lesser rate than growth in paper production.</w:t>
      </w:r>
    </w:p>
    <w:p>
      <w:pPr>
        <w:spacing w:after="0" w:line="149"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48" w:lineRule="exact"/>
        <w:rPr>
          <w:sz w:val="20"/>
          <w:szCs w:val="20"/>
          <w:color w:val="auto"/>
        </w:rPr>
      </w:pPr>
    </w:p>
    <w:p>
      <w:pPr>
        <w:ind w:right="60" w:firstLine="360"/>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Paper Machine Clothing manufacturing capacity in the United States, Canada, Germany, Finland, France, the Netherlands, Sweden, and Australia.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Review of Operations</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wp:posOffset>
            </wp:positionV>
            <wp:extent cx="5797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r>
      <w:tr>
        <w:trPr>
          <w:trHeight w:val="173"/>
        </w:trPr>
        <w:tc>
          <w:tcPr>
            <w:tcW w:w="332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144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693,176</w:t>
            </w:r>
          </w:p>
        </w:tc>
        <w:tc>
          <w:tcPr>
            <w:tcW w:w="52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739,211</w:t>
            </w:r>
          </w:p>
        </w:tc>
        <w:tc>
          <w:tcPr>
            <w:tcW w:w="52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701,020</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144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-6.2%</w:t>
            </w:r>
          </w:p>
        </w:tc>
        <w:tc>
          <w:tcPr>
            <w:tcW w:w="52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5.4%</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4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303,801</w:t>
            </w:r>
          </w:p>
        </w:tc>
        <w:tc>
          <w:tcPr>
            <w:tcW w:w="52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317,984</w:t>
            </w:r>
          </w:p>
        </w:tc>
        <w:tc>
          <w:tcPr>
            <w:tcW w:w="520" w:type="dxa"/>
            <w:vAlign w:val="bottom"/>
          </w:tcPr>
          <w:p>
            <w:pPr>
              <w:spacing w:after="0"/>
              <w:rPr>
                <w:sz w:val="17"/>
                <w:szCs w:val="17"/>
                <w:color w:val="auto"/>
              </w:rPr>
            </w:pPr>
          </w:p>
        </w:tc>
        <w:tc>
          <w:tcPr>
            <w:tcW w:w="12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290,426</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144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43.8%</w:t>
            </w:r>
          </w:p>
        </w:tc>
        <w:tc>
          <w:tcPr>
            <w:tcW w:w="52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43.0%</w:t>
            </w:r>
          </w:p>
        </w:tc>
        <w:tc>
          <w:tcPr>
            <w:tcW w:w="520" w:type="dxa"/>
            <w:vAlign w:val="bottom"/>
          </w:tcPr>
          <w:p>
            <w:pPr>
              <w:spacing w:after="0"/>
              <w:rPr>
                <w:sz w:val="17"/>
                <w:szCs w:val="17"/>
                <w:color w:val="auto"/>
              </w:rPr>
            </w:pPr>
          </w:p>
        </w:tc>
        <w:tc>
          <w:tcPr>
            <w:tcW w:w="12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41.4%</w:t>
            </w:r>
          </w:p>
        </w:tc>
      </w:tr>
      <w:tr>
        <w:trPr>
          <w:trHeight w:val="232"/>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163,873</w:t>
            </w: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176,759</w:t>
            </w: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165,662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vs. 2011</w:t>
      </w:r>
    </w:p>
    <w:p>
      <w:pPr>
        <w:spacing w:after="0" w:line="180" w:lineRule="exact"/>
        <w:rPr>
          <w:sz w:val="20"/>
          <w:szCs w:val="20"/>
          <w:color w:val="auto"/>
        </w:rPr>
      </w:pPr>
    </w:p>
    <w:p>
      <w:pPr>
        <w:ind w:left="720" w:hanging="36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2012 sales by $15.4 million.</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2012 sales decreased 4.1% as compared to 2011.</w:t>
      </w:r>
    </w:p>
    <w:p>
      <w:pPr>
        <w:spacing w:after="0" w:line="171" w:lineRule="exact"/>
        <w:rPr>
          <w:rFonts w:ascii="Arial" w:cs="Arial" w:eastAsia="Arial" w:hAnsi="Arial"/>
          <w:sz w:val="18"/>
          <w:szCs w:val="18"/>
          <w:color w:val="auto"/>
        </w:rPr>
      </w:pPr>
    </w:p>
    <w:p>
      <w:pPr>
        <w:ind w:left="720" w:hanging="361"/>
        <w:spacing w:after="0" w:line="24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decrease in 2012 sales was principally due to a decline of approximately 15% in Western Europe due to economic weakness and customer overcapacity.</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remained relatively stable in the Americas and China.</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vs. 2010</w:t>
      </w:r>
    </w:p>
    <w:p>
      <w:pPr>
        <w:spacing w:after="0" w:line="180" w:lineRule="exact"/>
        <w:rPr>
          <w:sz w:val="20"/>
          <w:szCs w:val="20"/>
          <w:color w:val="auto"/>
        </w:rPr>
      </w:pPr>
    </w:p>
    <w:p>
      <w:pPr>
        <w:ind w:left="720" w:hanging="36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2011 sales by $15.7 million.</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2011 sales increased 3.9% as compared to 2010.</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2011 sales was primarily in Asia and South America.</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were relatively flat in North America and Europe.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2012 gross profit was principally due to the net effect of the following:</w:t>
      </w:r>
    </w:p>
    <w:p>
      <w:pPr>
        <w:spacing w:after="0" w:line="158" w:lineRule="exact"/>
        <w:rPr>
          <w:sz w:val="20"/>
          <w:szCs w:val="20"/>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$5.9 million increase due to higher gross profit margin in MC.</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$19.8 million decrease due to lower sales in MC.</w:t>
      </w:r>
    </w:p>
    <w:p>
      <w:pPr>
        <w:spacing w:after="0" w:line="3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2011 gross profit was principally due to the net effect of the following:</w:t>
      </w:r>
    </w:p>
    <w:p>
      <w:pPr>
        <w:spacing w:after="0" w:line="158" w:lineRule="exact"/>
        <w:rPr>
          <w:sz w:val="20"/>
          <w:szCs w:val="20"/>
          <w:color w:val="auto"/>
        </w:rPr>
      </w:pPr>
    </w:p>
    <w:p>
      <w:pPr>
        <w:ind w:left="720" w:hanging="36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$15.8 million increase due to higher sales.</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$5.5 million increase due to restructuring-related equipment relocation costs in 2010 that did not recur in 2011.</w:t>
      </w:r>
    </w:p>
    <w:p>
      <w:pPr>
        <w:spacing w:after="0" w:line="171" w:lineRule="exact"/>
        <w:rPr>
          <w:rFonts w:ascii="Arial" w:cs="Arial" w:eastAsia="Arial" w:hAnsi="Arial"/>
          <w:sz w:val="18"/>
          <w:szCs w:val="18"/>
          <w:color w:val="auto"/>
        </w:rPr>
      </w:pPr>
    </w:p>
    <w:p>
      <w:pPr>
        <w:ind w:left="720" w:right="420" w:hanging="361"/>
        <w:spacing w:after="0" w:line="24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$2.6 million increase due to 2010 idle and underutilized plant capacity related to cost reduction initiatives which did not recur in 2011.</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2012 operating income was principally due to the net effect of the following:</w:t>
      </w:r>
    </w:p>
    <w:p>
      <w:pPr>
        <w:spacing w:after="0" w:line="158" w:lineRule="exact"/>
        <w:rPr>
          <w:sz w:val="20"/>
          <w:szCs w:val="20"/>
          <w:color w:val="auto"/>
        </w:rPr>
      </w:pPr>
    </w:p>
    <w:p>
      <w:pPr>
        <w:ind w:left="720" w:hanging="361"/>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gross profit, as described above.</w:t>
      </w:r>
    </w:p>
    <w:p>
      <w:pPr>
        <w:spacing w:after="0" w:line="171" w:lineRule="exact"/>
        <w:rPr>
          <w:rFonts w:ascii="Arial" w:cs="Arial" w:eastAsia="Arial" w:hAnsi="Arial"/>
          <w:sz w:val="18"/>
          <w:szCs w:val="18"/>
          <w:color w:val="auto"/>
        </w:rPr>
      </w:pPr>
    </w:p>
    <w:p>
      <w:pPr>
        <w:ind w:left="720" w:right="60" w:hanging="361"/>
        <w:spacing w:after="0" w:line="246"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$1.6 million in 2012 compared to gains of $1.7 million in 2011.</w:t>
      </w:r>
    </w:p>
    <w:p>
      <w:pPr>
        <w:spacing w:after="0" w:line="3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2011 operating income was principally due to the net effect of the following:</w:t>
      </w:r>
    </w:p>
    <w:p>
      <w:pPr>
        <w:spacing w:after="0" w:line="158" w:lineRule="exact"/>
        <w:rPr>
          <w:sz w:val="20"/>
          <w:szCs w:val="20"/>
          <w:color w:val="auto"/>
        </w:rPr>
      </w:pPr>
    </w:p>
    <w:p>
      <w:pPr>
        <w:ind w:left="720" w:hanging="36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$27.5 million due to higher gross profit.</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$8.4 million decrease due to lower gains on sale of buildings.</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$0.9 million due to higher restructuring costs.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16" w:right="299" w:bottom="1440" w:gutter="0" w:footer="0" w:header="0"/>
        </w:sectPr>
      </w:pPr>
    </w:p>
    <w:bookmarkStart w:id="29" w:name="page30"/>
    <w:bookmarkEnd w:id="29"/>
    <w:p>
      <w:pPr>
        <w:ind w:left="720" w:right="20" w:hanging="361"/>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STG&amp;R expenses, excluding effects of currency translation and the gains on sale of buildings, increased $5.0 million, principally due to higher travel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both the near and long term, we continue to view this as a business with the potential for flat, year-over-year Adjusted EBITDA.</w:t>
      </w:r>
    </w:p>
    <w:p>
      <w:pPr>
        <w:spacing w:after="0"/>
        <w:rPr>
          <w:sz w:val="20"/>
          <w:szCs w:val="20"/>
          <w:color w:val="auto"/>
        </w:rPr>
      </w:pPr>
      <w:r>
        <w:rPr>
          <w:rFonts w:ascii="Arial" w:cs="Arial" w:eastAsia="Arial" w:hAnsi="Arial"/>
          <w:sz w:val="18"/>
          <w:szCs w:val="18"/>
          <w:color w:val="auto"/>
        </w:rPr>
        <w:t>Because of seasonal effects, we expect Q1 2013 to be weak, although it is unlikely to be as weak as Q1 2012.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58"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The Engineered Composites segment (AEC)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In 2012, approximately 25% of this segment’s sales were related to U.S. government contracts or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wp:posOffset>
            </wp:positionV>
            <wp:extent cx="5797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ended December 31,</w:t>
            </w:r>
          </w:p>
        </w:tc>
        <w:tc>
          <w:tcPr>
            <w:tcW w:w="1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r>
      <w:tr>
        <w:trPr>
          <w:trHeight w:val="173"/>
        </w:trPr>
        <w:tc>
          <w:tcPr>
            <w:tcW w:w="332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148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67,765</w:t>
            </w:r>
          </w:p>
        </w:tc>
        <w:tc>
          <w:tcPr>
            <w:tcW w:w="52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48,076</w:t>
            </w:r>
          </w:p>
        </w:tc>
        <w:tc>
          <w:tcPr>
            <w:tcW w:w="5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41,867</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 change from prior year</w:t>
            </w:r>
          </w:p>
        </w:tc>
        <w:tc>
          <w:tcPr>
            <w:tcW w:w="148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41.0%</w:t>
            </w:r>
          </w:p>
        </w:tc>
        <w:tc>
          <w:tcPr>
            <w:tcW w:w="52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14.8%</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5,627</w:t>
            </w:r>
          </w:p>
        </w:tc>
        <w:tc>
          <w:tcPr>
            <w:tcW w:w="52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507</w:t>
            </w:r>
          </w:p>
        </w:tc>
        <w:tc>
          <w:tcPr>
            <w:tcW w:w="520" w:type="dxa"/>
            <w:vAlign w:val="bottom"/>
          </w:tcPr>
          <w:p>
            <w:pPr>
              <w:spacing w:after="0"/>
              <w:rPr>
                <w:sz w:val="17"/>
                <w:szCs w:val="17"/>
                <w:color w:val="auto"/>
              </w:rPr>
            </w:pP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(2,608)</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148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8.3%</w:t>
            </w:r>
          </w:p>
        </w:tc>
        <w:tc>
          <w:tcPr>
            <w:tcW w:w="52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w:t>
            </w:r>
          </w:p>
        </w:tc>
        <w:tc>
          <w:tcPr>
            <w:tcW w:w="520" w:type="dxa"/>
            <w:vAlign w:val="bottom"/>
          </w:tcPr>
          <w:p>
            <w:pPr>
              <w:spacing w:after="0"/>
              <w:rPr>
                <w:sz w:val="17"/>
                <w:szCs w:val="17"/>
                <w:color w:val="auto"/>
              </w:rPr>
            </w:pPr>
          </w:p>
        </w:tc>
        <w:tc>
          <w:tcPr>
            <w:tcW w:w="12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-6.2%</w:t>
            </w:r>
          </w:p>
        </w:tc>
      </w:tr>
      <w:tr>
        <w:trPr>
          <w:trHeight w:val="232"/>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w:t>
            </w:r>
          </w:p>
        </w:tc>
        <w:tc>
          <w:tcPr>
            <w:tcW w:w="1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(840)</w:t>
            </w: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(4,204)</w:t>
            </w: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(9,176)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0" w:lineRule="exact"/>
        <w:rPr>
          <w:sz w:val="20"/>
          <w:szCs w:val="20"/>
          <w:color w:val="auto"/>
        </w:rPr>
      </w:pPr>
    </w:p>
    <w:p>
      <w:pPr>
        <w:ind w:left="720" w:hanging="361"/>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2012 sales over 2011 was principally due to LEAP program activities.</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2011 sales over 2010 was principally due to the ramp-up of the LEAP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2012 gross profit included the following:</w:t>
      </w:r>
    </w:p>
    <w:p>
      <w:pPr>
        <w:spacing w:after="0" w:line="158" w:lineRule="exact"/>
        <w:rPr>
          <w:sz w:val="20"/>
          <w:szCs w:val="20"/>
          <w:color w:val="auto"/>
        </w:rPr>
      </w:pPr>
    </w:p>
    <w:p>
      <w:pPr>
        <w:ind w:left="720" w:hanging="36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$4.2 million increase due to higher sales related to the LEAP program.</w:t>
      </w:r>
    </w:p>
    <w:p>
      <w:pPr>
        <w:spacing w:after="0" w:line="171" w:lineRule="exact"/>
        <w:rPr>
          <w:rFonts w:ascii="Arial" w:cs="Arial" w:eastAsia="Arial" w:hAnsi="Arial"/>
          <w:sz w:val="18"/>
          <w:szCs w:val="18"/>
          <w:color w:val="auto"/>
        </w:rPr>
      </w:pPr>
    </w:p>
    <w:p>
      <w:pPr>
        <w:ind w:left="360" w:right="2440" w:hanging="1"/>
        <w:spacing w:after="0" w:line="422" w:lineRule="auto"/>
        <w:tabs>
          <w:tab w:leader="none" w:pos="7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Ongoing improvements in the manufacturing processes also contributed to an increase in gross profit. The increase in 2011 gross profit included the following:</w:t>
      </w:r>
    </w:p>
    <w:p>
      <w:pPr>
        <w:spacing w:after="0" w:line="14" w:lineRule="exact"/>
        <w:rPr>
          <w:rFonts w:ascii="Arial" w:cs="Arial" w:eastAsia="Arial" w:hAnsi="Arial"/>
          <w:sz w:val="18"/>
          <w:szCs w:val="18"/>
          <w:color w:val="auto"/>
        </w:rPr>
      </w:pPr>
    </w:p>
    <w:p>
      <w:pPr>
        <w:ind w:left="720" w:hanging="36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$1.6 million due to write-offs in 2010 related to obsolete equipment and materials which did not recur in 2011.</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Ongoing improvements in the manufacturing processes also contributed to an increase in gross profit.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2012 operating income improved principally due to the increase in gross profit as described above.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2011 operating income improved principally due to the following:</w:t>
      </w:r>
    </w:p>
    <w:p>
      <w:pPr>
        <w:spacing w:after="0" w:line="158" w:lineRule="exact"/>
        <w:rPr>
          <w:sz w:val="20"/>
          <w:szCs w:val="20"/>
          <w:color w:val="auto"/>
        </w:rPr>
      </w:pPr>
    </w:p>
    <w:p>
      <w:pPr>
        <w:ind w:left="720" w:hanging="361"/>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$3.1 million increase due to higher gross profit.</w:t>
      </w:r>
    </w:p>
    <w:p>
      <w:pPr>
        <w:spacing w:after="0" w:line="171" w:lineRule="exact"/>
        <w:rPr>
          <w:rFonts w:ascii="Arial" w:cs="Arial" w:eastAsia="Arial" w:hAnsi="Arial"/>
          <w:sz w:val="18"/>
          <w:szCs w:val="18"/>
          <w:color w:val="auto"/>
        </w:rPr>
      </w:pPr>
    </w:p>
    <w:p>
      <w:pPr>
        <w:ind w:left="720" w:hanging="361"/>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$0.8 million due to lower restructuring costs.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638"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Outlook</w:t>
      </w:r>
    </w:p>
    <w:p>
      <w:pPr>
        <w:spacing w:after="0" w:line="180" w:lineRule="exact"/>
        <w:rPr>
          <w:sz w:val="20"/>
          <w:szCs w:val="20"/>
          <w:color w:val="auto"/>
        </w:rPr>
      </w:pPr>
    </w:p>
    <w:p>
      <w:pPr>
        <w:ind w:right="540" w:firstLine="360"/>
        <w:spacing w:after="0" w:line="246" w:lineRule="auto"/>
        <w:rPr>
          <w:sz w:val="20"/>
          <w:szCs w:val="20"/>
          <w:color w:val="auto"/>
        </w:rPr>
      </w:pPr>
      <w:r>
        <w:rPr>
          <w:rFonts w:ascii="Arial" w:cs="Arial" w:eastAsia="Arial" w:hAnsi="Arial"/>
          <w:sz w:val="18"/>
          <w:szCs w:val="18"/>
          <w:color w:val="auto"/>
        </w:rPr>
        <w:t>We expect continued year-over-year strong growth in 2013. If recently proposed accelerations to the LEAP production schedule are realized, AEC capital spending would also be accelerated.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7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For the years ended December 31,</w:t>
            </w: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2011</w:t>
            </w:r>
          </w:p>
        </w:tc>
        <w:tc>
          <w:tcPr>
            <w:tcW w:w="5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73"/>
        </w:trPr>
        <w:tc>
          <w:tcPr>
            <w:tcW w:w="4680" w:type="dxa"/>
            <w:vAlign w:val="bottom"/>
          </w:tcPr>
          <w:p>
            <w:pPr>
              <w:ind w:left="100"/>
              <w:spacing w:after="0" w:line="173" w:lineRule="exact"/>
              <w:rPr>
                <w:sz w:val="20"/>
                <w:szCs w:val="20"/>
                <w:color w:val="auto"/>
              </w:rPr>
            </w:pPr>
            <w:r>
              <w:rPr>
                <w:rFonts w:ascii="Arial" w:cs="Arial" w:eastAsia="Arial" w:hAnsi="Arial"/>
                <w:sz w:val="18"/>
                <w:szCs w:val="18"/>
                <w:color w:val="auto"/>
              </w:rPr>
              <w:t>Net income</w:t>
            </w:r>
          </w:p>
        </w:tc>
        <w:tc>
          <w:tcPr>
            <w:tcW w:w="74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30,977</w:t>
            </w:r>
          </w:p>
        </w:tc>
        <w:tc>
          <w:tcPr>
            <w:tcW w:w="54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34,938</w:t>
            </w:r>
          </w:p>
        </w:tc>
        <w:tc>
          <w:tcPr>
            <w:tcW w:w="54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37,636</w:t>
            </w:r>
          </w:p>
        </w:tc>
        <w:tc>
          <w:tcPr>
            <w:tcW w:w="0" w:type="dxa"/>
            <w:vAlign w:val="bottom"/>
          </w:tcPr>
          <w:p>
            <w:pPr>
              <w:spacing w:after="0"/>
              <w:rPr>
                <w:sz w:val="1"/>
                <w:szCs w:val="1"/>
                <w:color w:val="auto"/>
              </w:rPr>
            </w:pPr>
          </w:p>
        </w:tc>
      </w:tr>
      <w:tr>
        <w:trPr>
          <w:trHeight w:val="203"/>
        </w:trPr>
        <w:tc>
          <w:tcPr>
            <w:tcW w:w="468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63,235</w:t>
            </w:r>
          </w:p>
        </w:tc>
        <w:tc>
          <w:tcPr>
            <w:tcW w:w="540" w:type="dxa"/>
            <w:vAlign w:val="bottom"/>
          </w:tcPr>
          <w:p>
            <w:pPr>
              <w:spacing w:after="0"/>
              <w:rPr>
                <w:sz w:val="17"/>
                <w:szCs w:val="17"/>
                <w:color w:val="auto"/>
              </w:rPr>
            </w:pP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66,385</w:t>
            </w:r>
          </w:p>
        </w:tc>
        <w:tc>
          <w:tcPr>
            <w:tcW w:w="540" w:type="dxa"/>
            <w:vAlign w:val="bottom"/>
          </w:tcPr>
          <w:p>
            <w:pPr>
              <w:spacing w:after="0"/>
              <w:rPr>
                <w:sz w:val="17"/>
                <w:szCs w:val="17"/>
                <w:color w:val="auto"/>
              </w:rPr>
            </w:pPr>
          </w:p>
        </w:tc>
        <w:tc>
          <w:tcPr>
            <w:tcW w:w="13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62,996</w:t>
            </w:r>
          </w:p>
        </w:tc>
        <w:tc>
          <w:tcPr>
            <w:tcW w:w="0" w:type="dxa"/>
            <w:vAlign w:val="bottom"/>
          </w:tcPr>
          <w:p>
            <w:pPr>
              <w:spacing w:after="0"/>
              <w:rPr>
                <w:sz w:val="1"/>
                <w:szCs w:val="1"/>
                <w:color w:val="auto"/>
              </w:rPr>
            </w:pPr>
          </w:p>
        </w:tc>
      </w:tr>
      <w:tr>
        <w:trPr>
          <w:trHeight w:val="203"/>
        </w:trPr>
        <w:tc>
          <w:tcPr>
            <w:tcW w:w="4680" w:type="dxa"/>
            <w:vAlign w:val="bottom"/>
          </w:tcPr>
          <w:p>
            <w:pPr>
              <w:ind w:left="280"/>
              <w:spacing w:after="0" w:line="202" w:lineRule="exact"/>
              <w:rPr>
                <w:sz w:val="20"/>
                <w:szCs w:val="20"/>
                <w:color w:val="auto"/>
              </w:rPr>
            </w:pPr>
            <w:r>
              <w:rPr>
                <w:rFonts w:ascii="Arial" w:cs="Arial" w:eastAsia="Arial" w:hAnsi="Arial"/>
                <w:sz w:val="18"/>
                <w:szCs w:val="18"/>
                <w:color w:val="auto"/>
              </w:rPr>
              <w:t>Changes in working capital</w:t>
            </w:r>
          </w:p>
        </w:tc>
        <w:tc>
          <w:tcPr>
            <w:tcW w:w="74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34,085</w:t>
            </w:r>
          </w:p>
        </w:tc>
        <w:tc>
          <w:tcPr>
            <w:tcW w:w="540" w:type="dxa"/>
            <w:vAlign w:val="bottom"/>
          </w:tcPr>
          <w:p>
            <w:pPr>
              <w:spacing w:after="0"/>
              <w:rPr>
                <w:sz w:val="17"/>
                <w:szCs w:val="17"/>
                <w:color w:val="auto"/>
              </w:rPr>
            </w:pP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(1,086)</w:t>
            </w:r>
          </w:p>
        </w:tc>
        <w:tc>
          <w:tcPr>
            <w:tcW w:w="540" w:type="dxa"/>
            <w:vAlign w:val="bottom"/>
          </w:tcPr>
          <w:p>
            <w:pPr>
              <w:spacing w:after="0"/>
              <w:rPr>
                <w:sz w:val="17"/>
                <w:szCs w:val="17"/>
                <w:color w:val="auto"/>
              </w:rPr>
            </w:pP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25"/>
        </w:trPr>
        <w:tc>
          <w:tcPr>
            <w:tcW w:w="4680" w:type="dxa"/>
            <w:vAlign w:val="bottom"/>
          </w:tcPr>
          <w:p>
            <w:pPr>
              <w:ind w:left="280"/>
              <w:spacing w:after="0"/>
              <w:rPr>
                <w:sz w:val="20"/>
                <w:szCs w:val="20"/>
                <w:color w:val="auto"/>
              </w:rPr>
            </w:pPr>
            <w:r>
              <w:rPr>
                <w:rFonts w:ascii="Arial" w:cs="Arial" w:eastAsia="Arial" w:hAnsi="Arial"/>
                <w:sz w:val="18"/>
                <w:szCs w:val="18"/>
                <w:color w:val="auto"/>
              </w:rPr>
              <w:t>Gain on disposition of assets</w:t>
            </w:r>
          </w:p>
        </w:tc>
        <w:tc>
          <w:tcPr>
            <w:tcW w:w="7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(92,457)</w:t>
            </w:r>
          </w:p>
        </w:tc>
        <w:tc>
          <w:tcPr>
            <w:tcW w:w="5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(1,022)</w:t>
            </w:r>
          </w:p>
        </w:tc>
        <w:tc>
          <w:tcPr>
            <w:tcW w:w="540" w:type="dxa"/>
            <w:vAlign w:val="bottom"/>
          </w:tcPr>
          <w:p>
            <w:pPr>
              <w:spacing w:after="0"/>
              <w:rPr>
                <w:sz w:val="19"/>
                <w:szCs w:val="19"/>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03"/>
        </w:trPr>
        <w:tc>
          <w:tcPr>
            <w:tcW w:w="4680" w:type="dxa"/>
            <w:vAlign w:val="bottom"/>
          </w:tcPr>
          <w:p>
            <w:pPr>
              <w:ind w:left="280"/>
              <w:spacing w:after="0" w:line="202" w:lineRule="exact"/>
              <w:rPr>
                <w:sz w:val="20"/>
                <w:szCs w:val="20"/>
                <w:color w:val="auto"/>
              </w:rPr>
            </w:pPr>
            <w:r>
              <w:rPr>
                <w:rFonts w:ascii="Arial" w:cs="Arial" w:eastAsia="Arial" w:hAnsi="Arial"/>
                <w:sz w:val="18"/>
                <w:szCs w:val="18"/>
                <w:color w:val="auto"/>
              </w:rPr>
              <w:t>Changes in long-term liabilities, deferred</w:t>
            </w:r>
          </w:p>
        </w:tc>
        <w:tc>
          <w:tcPr>
            <w:tcW w:w="740" w:type="dxa"/>
            <w:vAlign w:val="bottom"/>
          </w:tcPr>
          <w:p>
            <w:pPr>
              <w:spacing w:after="0"/>
              <w:rPr>
                <w:sz w:val="17"/>
                <w:szCs w:val="17"/>
                <w:color w:val="auto"/>
              </w:rPr>
            </w:pPr>
          </w:p>
        </w:tc>
        <w:tc>
          <w:tcPr>
            <w:tcW w:w="12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(123,887)</w:t>
            </w: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680" w:type="dxa"/>
            <w:vAlign w:val="bottom"/>
          </w:tcPr>
          <w:p>
            <w:pPr>
              <w:ind w:left="480"/>
              <w:spacing w:after="0" w:line="181" w:lineRule="exact"/>
              <w:rPr>
                <w:sz w:val="20"/>
                <w:szCs w:val="20"/>
                <w:color w:val="auto"/>
              </w:rPr>
            </w:pPr>
            <w:r>
              <w:rPr>
                <w:rFonts w:ascii="Arial" w:cs="Arial" w:eastAsia="Arial" w:hAnsi="Arial"/>
                <w:sz w:val="18"/>
                <w:szCs w:val="18"/>
                <w:color w:val="auto"/>
              </w:rPr>
              <w:t>taxes and other credits</w:t>
            </w:r>
          </w:p>
        </w:tc>
        <w:tc>
          <w:tcPr>
            <w:tcW w:w="7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237</w:t>
            </w:r>
          </w:p>
        </w:tc>
        <w:tc>
          <w:tcPr>
            <w:tcW w:w="540" w:type="dxa"/>
            <w:vAlign w:val="bottom"/>
          </w:tcPr>
          <w:p>
            <w:pPr>
              <w:spacing w:after="0"/>
              <w:rPr>
                <w:sz w:val="15"/>
                <w:szCs w:val="15"/>
                <w:color w:val="auto"/>
              </w:rPr>
            </w:pPr>
          </w:p>
        </w:tc>
        <w:tc>
          <w:tcPr>
            <w:tcW w:w="138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03"/>
        </w:trPr>
        <w:tc>
          <w:tcPr>
            <w:tcW w:w="4680" w:type="dxa"/>
            <w:vAlign w:val="bottom"/>
          </w:tcPr>
          <w:p>
            <w:pPr>
              <w:ind w:left="280"/>
              <w:spacing w:after="0" w:line="202" w:lineRule="exact"/>
              <w:rPr>
                <w:sz w:val="20"/>
                <w:szCs w:val="20"/>
                <w:color w:val="auto"/>
              </w:rPr>
            </w:pPr>
            <w:r>
              <w:rPr>
                <w:rFonts w:ascii="Arial" w:cs="Arial" w:eastAsia="Arial" w:hAnsi="Arial"/>
                <w:sz w:val="18"/>
                <w:szCs w:val="18"/>
                <w:color w:val="auto"/>
              </w:rPr>
              <w:t>Write-off of pension liability adjustment</w:t>
            </w:r>
          </w:p>
        </w:tc>
        <w:tc>
          <w:tcPr>
            <w:tcW w:w="74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118,350</w:t>
            </w:r>
          </w:p>
        </w:tc>
        <w:tc>
          <w:tcPr>
            <w:tcW w:w="540" w:type="dxa"/>
            <w:vAlign w:val="bottom"/>
          </w:tcPr>
          <w:p>
            <w:pPr>
              <w:spacing w:after="0"/>
              <w:rPr>
                <w:sz w:val="17"/>
                <w:szCs w:val="17"/>
                <w:color w:val="auto"/>
              </w:rPr>
            </w:pPr>
          </w:p>
        </w:tc>
        <w:tc>
          <w:tcPr>
            <w:tcW w:w="11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operating items</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4,204</w:t>
            </w: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5,817</w:t>
            </w: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173"/>
        </w:trPr>
        <w:tc>
          <w:tcPr>
            <w:tcW w:w="4680" w:type="dxa"/>
            <w:vAlign w:val="bottom"/>
          </w:tcPr>
          <w:p>
            <w:pPr>
              <w:ind w:left="100"/>
              <w:spacing w:after="0" w:line="173" w:lineRule="exact"/>
              <w:rPr>
                <w:sz w:val="20"/>
                <w:szCs w:val="20"/>
                <w:color w:val="auto"/>
              </w:rPr>
            </w:pPr>
            <w:r>
              <w:rPr>
                <w:rFonts w:ascii="Arial" w:cs="Arial" w:eastAsia="Arial" w:hAnsi="Arial"/>
                <w:sz w:val="18"/>
                <w:szCs w:val="18"/>
                <w:color w:val="auto"/>
              </w:rPr>
              <w:t>Net cash provided by operating activities</w:t>
            </w:r>
          </w:p>
        </w:tc>
        <w:tc>
          <w:tcPr>
            <w:tcW w:w="740" w:type="dxa"/>
            <w:vAlign w:val="bottom"/>
          </w:tcPr>
          <w:p>
            <w:pPr>
              <w:spacing w:after="0"/>
              <w:rPr>
                <w:sz w:val="15"/>
                <w:szCs w:val="15"/>
                <w:color w:val="auto"/>
              </w:rPr>
            </w:pPr>
          </w:p>
        </w:tc>
        <w:tc>
          <w:tcPr>
            <w:tcW w:w="122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34,507</w:t>
            </w:r>
          </w:p>
        </w:tc>
        <w:tc>
          <w:tcPr>
            <w:tcW w:w="540" w:type="dxa"/>
            <w:vAlign w:val="bottom"/>
          </w:tcPr>
          <w:p>
            <w:pPr>
              <w:spacing w:after="0"/>
              <w:rPr>
                <w:sz w:val="15"/>
                <w:szCs w:val="15"/>
                <w:color w:val="auto"/>
              </w:rPr>
            </w:pPr>
          </w:p>
        </w:tc>
        <w:tc>
          <w:tcPr>
            <w:tcW w:w="118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105,269</w:t>
            </w:r>
          </w:p>
        </w:tc>
        <w:tc>
          <w:tcPr>
            <w:tcW w:w="540" w:type="dxa"/>
            <w:vAlign w:val="bottom"/>
          </w:tcPr>
          <w:p>
            <w:pPr>
              <w:spacing w:after="0"/>
              <w:rPr>
                <w:sz w:val="15"/>
                <w:szCs w:val="15"/>
                <w:color w:val="auto"/>
              </w:rPr>
            </w:pPr>
          </w:p>
        </w:tc>
        <w:tc>
          <w:tcPr>
            <w:tcW w:w="138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99,572</w:t>
            </w: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74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113,447</w:t>
            </w:r>
          </w:p>
        </w:tc>
        <w:tc>
          <w:tcPr>
            <w:tcW w:w="540" w:type="dxa"/>
            <w:vAlign w:val="bottom"/>
          </w:tcPr>
          <w:p>
            <w:pPr>
              <w:spacing w:after="0"/>
              <w:rPr>
                <w:sz w:val="17"/>
                <w:szCs w:val="17"/>
                <w:color w:val="auto"/>
              </w:rPr>
            </w:pP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(25,820)</w:t>
            </w:r>
          </w:p>
        </w:tc>
        <w:tc>
          <w:tcPr>
            <w:tcW w:w="540" w:type="dxa"/>
            <w:vAlign w:val="bottom"/>
          </w:tcPr>
          <w:p>
            <w:pPr>
              <w:spacing w:after="0"/>
              <w:rPr>
                <w:sz w:val="17"/>
                <w:szCs w:val="17"/>
                <w:color w:val="auto"/>
              </w:rPr>
            </w:pPr>
          </w:p>
        </w:tc>
        <w:tc>
          <w:tcPr>
            <w:tcW w:w="13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28,065</w:t>
            </w: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 financing activities</w:t>
            </w:r>
          </w:p>
        </w:tc>
        <w:tc>
          <w:tcPr>
            <w:tcW w:w="740" w:type="dxa"/>
            <w:vAlign w:val="bottom"/>
          </w:tcPr>
          <w:p>
            <w:pPr>
              <w:spacing w:after="0"/>
              <w:rPr>
                <w:sz w:val="17"/>
                <w:szCs w:val="17"/>
                <w:color w:val="auto"/>
              </w:rPr>
            </w:pPr>
          </w:p>
        </w:tc>
        <w:tc>
          <w:tcPr>
            <w:tcW w:w="12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(76,064)</w:t>
            </w:r>
          </w:p>
        </w:tc>
        <w:tc>
          <w:tcPr>
            <w:tcW w:w="540" w:type="dxa"/>
            <w:vAlign w:val="bottom"/>
          </w:tcPr>
          <w:p>
            <w:pPr>
              <w:spacing w:after="0"/>
              <w:rPr>
                <w:sz w:val="17"/>
                <w:szCs w:val="17"/>
                <w:color w:val="auto"/>
              </w:rPr>
            </w:pP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(65,923)</w:t>
            </w:r>
          </w:p>
        </w:tc>
        <w:tc>
          <w:tcPr>
            <w:tcW w:w="540" w:type="dxa"/>
            <w:vAlign w:val="bottom"/>
          </w:tcPr>
          <w:p>
            <w:pPr>
              <w:spacing w:after="0"/>
              <w:rPr>
                <w:sz w:val="17"/>
                <w:szCs w:val="17"/>
                <w:color w:val="auto"/>
              </w:rPr>
            </w:pP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(93,517)</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flows</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(81)</w:t>
            </w: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(3,373)</w:t>
            </w: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173"/>
        </w:trPr>
        <w:tc>
          <w:tcPr>
            <w:tcW w:w="4680" w:type="dxa"/>
            <w:vAlign w:val="bottom"/>
          </w:tcPr>
          <w:p>
            <w:pPr>
              <w:ind w:left="100"/>
              <w:spacing w:after="0" w:line="173" w:lineRule="exact"/>
              <w:rPr>
                <w:sz w:val="20"/>
                <w:szCs w:val="20"/>
                <w:color w:val="auto"/>
              </w:rPr>
            </w:pPr>
            <w:r>
              <w:rPr>
                <w:rFonts w:ascii="Arial" w:cs="Arial" w:eastAsia="Arial" w:hAnsi="Arial"/>
                <w:sz w:val="18"/>
                <w:szCs w:val="18"/>
                <w:color w:val="auto"/>
              </w:rPr>
              <w:t>Increase in cash and cash equivalents</w:t>
            </w:r>
          </w:p>
        </w:tc>
        <w:tc>
          <w:tcPr>
            <w:tcW w:w="740" w:type="dxa"/>
            <w:vAlign w:val="bottom"/>
          </w:tcPr>
          <w:p>
            <w:pPr>
              <w:spacing w:after="0"/>
              <w:rPr>
                <w:sz w:val="15"/>
                <w:szCs w:val="15"/>
                <w:color w:val="auto"/>
              </w:rPr>
            </w:pPr>
          </w:p>
        </w:tc>
        <w:tc>
          <w:tcPr>
            <w:tcW w:w="122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71,809</w:t>
            </w:r>
          </w:p>
        </w:tc>
        <w:tc>
          <w:tcPr>
            <w:tcW w:w="540" w:type="dxa"/>
            <w:vAlign w:val="bottom"/>
          </w:tcPr>
          <w:p>
            <w:pPr>
              <w:spacing w:after="0"/>
              <w:rPr>
                <w:sz w:val="15"/>
                <w:szCs w:val="15"/>
                <w:color w:val="auto"/>
              </w:rPr>
            </w:pPr>
          </w:p>
        </w:tc>
        <w:tc>
          <w:tcPr>
            <w:tcW w:w="118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10,153</w:t>
            </w:r>
          </w:p>
        </w:tc>
        <w:tc>
          <w:tcPr>
            <w:tcW w:w="540" w:type="dxa"/>
            <w:vAlign w:val="bottom"/>
          </w:tcPr>
          <w:p>
            <w:pPr>
              <w:spacing w:after="0"/>
              <w:rPr>
                <w:sz w:val="15"/>
                <w:szCs w:val="15"/>
                <w:color w:val="auto"/>
              </w:rPr>
            </w:pPr>
          </w:p>
        </w:tc>
        <w:tc>
          <w:tcPr>
            <w:tcW w:w="138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24,835</w:t>
            </w:r>
          </w:p>
        </w:tc>
        <w:tc>
          <w:tcPr>
            <w:tcW w:w="0" w:type="dxa"/>
            <w:vAlign w:val="bottom"/>
          </w:tcPr>
          <w:p>
            <w:pPr>
              <w:spacing w:after="0"/>
              <w:rPr>
                <w:sz w:val="1"/>
                <w:szCs w:val="1"/>
                <w:color w:val="auto"/>
              </w:rPr>
            </w:pPr>
          </w:p>
        </w:tc>
      </w:tr>
      <w:tr>
        <w:trPr>
          <w:trHeight w:val="203"/>
        </w:trPr>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74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11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(9,169)</w:t>
            </w:r>
          </w:p>
        </w:tc>
        <w:tc>
          <w:tcPr>
            <w:tcW w:w="540" w:type="dxa"/>
            <w:vAlign w:val="bottom"/>
          </w:tcPr>
          <w:p>
            <w:pPr>
              <w:spacing w:after="0"/>
              <w:rPr>
                <w:sz w:val="17"/>
                <w:szCs w:val="17"/>
                <w:color w:val="auto"/>
              </w:rPr>
            </w:pP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118,909</w:t>
            </w: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117,925</w:t>
            </w: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94,139</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year</w:t>
            </w:r>
          </w:p>
        </w:tc>
        <w:tc>
          <w:tcPr>
            <w:tcW w:w="7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190,718</w:t>
            </w:r>
          </w:p>
        </w:tc>
        <w:tc>
          <w:tcPr>
            <w:tcW w:w="5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118,909</w:t>
            </w:r>
          </w:p>
        </w:tc>
        <w:tc>
          <w:tcPr>
            <w:tcW w:w="5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117,925</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0"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The decrease in cash provided by operating activities in 2012 was principally due to contributions to pension plans, which is included in Changes in long-term liabilities, deferred taxes and other credits in the above table. As part of the Company’s previously disclosed plan to fund or settle part of our pension liabilities in the U.S., Canada, and Sweden, $30 million of cash was used to settle Swedish pension liabilities in Q1 2012, we contributed $30 million in Q1 and $20 million in Q2 to the U.S. pension plan, and subsequently settled two-thirds of our U.S. pension obligations, and $18 million was contributed in Q2 to the plan in Canada to fully fund the plan and settle about half of the plan obligation. As a result of the settlement activities, we recorded total settlement expense of $119.7 million in 2012, which included the write-off of $118.4 million of deferred pension charges. The Company’s global net unfunded net pension liability decreased from $101.2 million at December 31, 2011 to $45.1 million at December 31, 2012. With the completion of this plan, $249.7 million of pension plan obligations were settled.</w:t>
      </w:r>
    </w:p>
    <w:p>
      <w:pPr>
        <w:spacing w:after="0" w:line="154"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Changes in working capital provided cash flow of $34.1 million in 2012, compared to a net use of cash in 2011 and 2010. The improvement in 2012 reflects lower Machine Clothing sales and ongoing efforts in the Machine Clothing segment to optimize inventory levels, which helped to offset increases in accounts receivable and inventory in the Engineered Composites segment.</w:t>
      </w:r>
    </w:p>
    <w:p>
      <w:pPr>
        <w:spacing w:after="0" w:line="149" w:lineRule="exact"/>
        <w:rPr>
          <w:sz w:val="20"/>
          <w:szCs w:val="20"/>
          <w:color w:val="auto"/>
        </w:rPr>
      </w:pPr>
    </w:p>
    <w:p>
      <w:pPr>
        <w:ind w:right="60" w:firstLine="360"/>
        <w:spacing w:after="0" w:line="238" w:lineRule="auto"/>
        <w:rPr>
          <w:sz w:val="20"/>
          <w:szCs w:val="20"/>
          <w:color w:val="auto"/>
        </w:rPr>
      </w:pPr>
      <w:r>
        <w:rPr>
          <w:rFonts w:ascii="Arial" w:cs="Arial" w:eastAsia="Arial" w:hAnsi="Arial"/>
          <w:sz w:val="18"/>
          <w:szCs w:val="18"/>
          <w:color w:val="auto"/>
        </w:rPr>
        <w:t>At December 31, 2012, we had $190.7 million of cash and cash equivalents, of which $178.2 million was held by subsidiaries outside of the United States. As disclosed in Note 7 of the Notes to Consolidated Financial Statements, we determined that all but $19.4 million of this amount (which represents the amount of 2012 earnings expected to be repatriated to the United States at some point in the future) is intended to be utilized by these non-U.S. operations for an indefinite period of time. Our current plans do not anticipate that we will need funds generated from</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16" w:right="299" w:bottom="1440" w:gutter="0" w:footer="0" w:header="0"/>
        </w:sectPr>
      </w:pPr>
    </w:p>
    <w:bookmarkStart w:id="31" w:name="page32"/>
    <w:bookmarkEnd w:id="31"/>
    <w:p>
      <w:pPr>
        <w:ind w:right="140"/>
        <w:spacing w:after="0"/>
        <w:rPr>
          <w:sz w:val="20"/>
          <w:szCs w:val="20"/>
          <w:color w:val="auto"/>
        </w:rPr>
      </w:pPr>
      <w:r>
        <w:rPr>
          <w:rFonts w:ascii="Arial" w:cs="Arial" w:eastAsia="Arial" w:hAnsi="Arial"/>
          <w:sz w:val="18"/>
          <w:szCs w:val="18"/>
          <w:color w:val="auto"/>
        </w:rPr>
        <w:t>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49"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Cash payments for income taxes, net of refunds, on continuing operations were $15.1 million, $13.7 million, and $9.2 million in 2012, 2011, and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Total capital expenditures for continuing operations, including purchased software, were $37.2 million in 2012, compared to $28.7 million in 2011 and $31.6 million in 2010, respectively. The increase in 2012 reflects investments in the Engineered Composites business, for which capital expenditures were $19.0 million in 2012, compared to $9.7 million in 2011 and $ 6.6 million in 2010, respectively. We expect average annual capital expenditures over the five year period 2012 to 2016 to be approximately $70 million, as the Engineered Composites business ramps-up to meet LEAP production requirements. In 2013, we also plan to begin construction of a $15 million facility in Wisconsin for our Machine Clothing business that will be capable of producing full-scale prototypes of new products.</w:t>
      </w:r>
    </w:p>
    <w:p>
      <w:pPr>
        <w:spacing w:after="0" w:line="151" w:lineRule="exact"/>
        <w:rPr>
          <w:sz w:val="20"/>
          <w:szCs w:val="20"/>
          <w:color w:val="auto"/>
        </w:rPr>
      </w:pPr>
    </w:p>
    <w:p>
      <w:pPr>
        <w:ind w:right="360" w:firstLine="360"/>
        <w:spacing w:after="0" w:line="234" w:lineRule="auto"/>
        <w:rPr>
          <w:sz w:val="20"/>
          <w:szCs w:val="20"/>
          <w:color w:val="auto"/>
        </w:rPr>
      </w:pPr>
      <w:r>
        <w:rPr>
          <w:rFonts w:ascii="Arial" w:cs="Arial" w:eastAsia="Arial" w:hAnsi="Arial"/>
          <w:sz w:val="18"/>
          <w:szCs w:val="18"/>
          <w:color w:val="auto"/>
        </w:rPr>
        <w:t>In January 2012, the Company completed the sale of Albany Door Systems, and in March 2012, we finalized certain postclosing adjustments that increased the sale price by $5 million. As of December 31, 2012, $122 million of the total $135 million sale price had been</w:t>
      </w:r>
    </w:p>
    <w:p>
      <w:pPr>
        <w:spacing w:after="0" w:line="2" w:lineRule="exact"/>
        <w:rPr>
          <w:sz w:val="20"/>
          <w:szCs w:val="20"/>
          <w:color w:val="auto"/>
        </w:rPr>
      </w:pPr>
    </w:p>
    <w:p>
      <w:pPr>
        <w:ind w:right="140"/>
        <w:spacing w:after="0" w:line="209" w:lineRule="auto"/>
        <w:rPr>
          <w:sz w:val="20"/>
          <w:szCs w:val="20"/>
          <w:color w:val="auto"/>
        </w:rPr>
      </w:pPr>
      <w:r>
        <w:rPr>
          <w:rFonts w:ascii="Arial" w:cs="Arial" w:eastAsia="Arial" w:hAnsi="Arial"/>
          <w:sz w:val="18"/>
          <w:szCs w:val="18"/>
          <w:color w:val="auto"/>
        </w:rPr>
        <w:t>received, with the remainder expected to be received in July 2013. During Q2 2012, the Company completed the sale of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Of the $38 million sale price, $34 million was received in June, with the remainder, subject to any post-closing adjustments, expected to be received in December 2013.</w:t>
      </w:r>
    </w:p>
    <w:p>
      <w:pPr>
        <w:spacing w:after="0" w:line="149"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We actively manage our global portfolio of real estate that is available for sale due to prior restructuring activities. In 2012, we sold one property for $1.3 million, with proceeds from that sale expected in 2013 and 2015. In 2011, we sold two properties located in the United States for $ 2.9 million in cash. In 2010 we sold two other properties located in the United States for $ 12.3 million in cash proceeds. Proceeds received from any sale in the future should help to offset a portion of capital expenditures, although the amount or timing of the proceeds to be realized cannot yet be predicted accurately.</w:t>
      </w:r>
    </w:p>
    <w:p>
      <w:pPr>
        <w:spacing w:after="0" w:line="149" w:lineRule="exact"/>
        <w:rPr>
          <w:sz w:val="20"/>
          <w:szCs w:val="20"/>
          <w:color w:val="auto"/>
        </w:rPr>
      </w:pPr>
    </w:p>
    <w:p>
      <w:pPr>
        <w:ind w:right="100" w:firstLine="360"/>
        <w:spacing w:after="0"/>
        <w:rPr>
          <w:sz w:val="20"/>
          <w:szCs w:val="20"/>
          <w:color w:val="auto"/>
        </w:rPr>
      </w:pPr>
      <w:r>
        <w:rPr>
          <w:rFonts w:ascii="Arial" w:cs="Arial" w:eastAsia="Arial" w:hAnsi="Arial"/>
          <w:sz w:val="18"/>
          <w:szCs w:val="18"/>
          <w:color w:val="auto"/>
        </w:rPr>
        <w:t>During Q2 2010, we liquidated all of our holdings in life insurance policies, which provided cash of $ 49.3 million and led to a discrete tax charge of $9.4 million. During Q1 2010, we acquired certain assets and liabilities of Envico Ltd., which is part of the discontinued Albany Doors segment, for approximately $1.9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Cash dividends paid were $21.3 million, $ 15.6 million, and $14.9 million in 2012, 2011, and 2010, respectively. The total for 2012 includes five quarterly dividend payments as the Board of Directors elected to pay before year end dividends that were declared in December 2012. 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80" w:lineRule="exact"/>
        <w:rPr>
          <w:sz w:val="20"/>
          <w:szCs w:val="20"/>
          <w:color w:val="auto"/>
        </w:rPr>
      </w:pPr>
    </w:p>
    <w:p>
      <w:pPr>
        <w:ind w:right="260" w:firstLine="360"/>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December 31, 2012 was held by non-U.S. subsidiaries. Based on cash on hand and credit facilities, we anticipate that the Company has sufficient capital resources to operate for the foreseeable future. We were in compliance with all debt covenants as of December 31, 2012.</w:t>
      </w:r>
    </w:p>
    <w:p>
      <w:pPr>
        <w:spacing w:after="0" w:line="149"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On July 16, 2010, we entered into a $390 million unsecured five-year revolving credit facility agreement under which $132 million of borrowings were outstanding as of December 31, 2012. The applicable interest rate for borrowings under the agreement, as well as under the former agreement, is LIBOR plus a spread, based on our leverage ratio at the time of borrowing.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2" w:name="page33"/>
    <w:bookmarkEnd w:id="32"/>
    <w:p>
      <w:pPr>
        <w:ind w:right="60" w:firstLine="360"/>
        <w:spacing w:after="0" w:line="239" w:lineRule="auto"/>
        <w:rPr>
          <w:sz w:val="20"/>
          <w:szCs w:val="20"/>
          <w:color w:val="auto"/>
        </w:rPr>
      </w:pPr>
      <w:r>
        <w:rPr>
          <w:rFonts w:ascii="Arial" w:cs="Arial" w:eastAsia="Arial" w:hAnsi="Arial"/>
          <w:sz w:val="18"/>
          <w:szCs w:val="18"/>
          <w:color w:val="auto"/>
        </w:rPr>
        <w:t>Our ability to borrow additional amounts under the agreement is conditional upon the absence of any defaults, as well as the absence of any material adverse change. Based on our maximum leverage ratio and our consolidated EBITDA (as defined in the agreement), and without modification to any other credit agreements as of December 31, 2012, we would have been able to borrow an additional $258 million under our agreement.</w:t>
      </w:r>
    </w:p>
    <w:p>
      <w:pPr>
        <w:spacing w:after="0" w:line="148" w:lineRule="exact"/>
        <w:rPr>
          <w:sz w:val="20"/>
          <w:szCs w:val="20"/>
          <w:color w:val="auto"/>
        </w:rPr>
      </w:pPr>
    </w:p>
    <w:p>
      <w:pPr>
        <w:ind w:right="160" w:firstLine="360"/>
        <w:spacing w:after="0" w:line="237" w:lineRule="auto"/>
        <w:rPr>
          <w:sz w:val="20"/>
          <w:szCs w:val="20"/>
          <w:color w:val="auto"/>
        </w:rPr>
      </w:pPr>
      <w:r>
        <w:rPr>
          <w:rFonts w:ascii="Arial" w:cs="Arial" w:eastAsia="Arial" w:hAnsi="Arial"/>
          <w:sz w:val="18"/>
          <w:szCs w:val="18"/>
          <w:color w:val="auto"/>
        </w:rPr>
        <w:t>Also on July 16, 2010, we entered into interest rate hedging transactions that have the effect of fixing the LIBOR portion of the effective interest rate (before addition of the spread) on $105 million of the indebtedness drawn under the new agreement at the rate of 2.04% for the next five years. Under the terms of these transactions, we pay the fixed rate of 2.04% and the counterparties pay a floating rate based on the three-month LIBOR rate at each quarterly calculation date, which on October 12, 2012 was 0.34%. The net effect is to fix the effective interest rate on $ 105 million of indebtedness at 2.04%, plus the applicable spread, until these swap agreements expire on July 16, 2015. On October 16, 2012 the applicable spread was 2.25%, yielding an effective annual rate of 4.29%. This interest rate swap is accounted for as a hedge of future cash flows, as further described in Note 13 of the Notes to Consolidated Financial Statements.</w:t>
      </w:r>
    </w:p>
    <w:p>
      <w:pPr>
        <w:spacing w:after="0" w:line="149" w:lineRule="exact"/>
        <w:rPr>
          <w:sz w:val="20"/>
          <w:szCs w:val="20"/>
          <w:color w:val="auto"/>
        </w:rPr>
      </w:pPr>
    </w:p>
    <w:p>
      <w:pPr>
        <w:ind w:right="240" w:firstLine="360"/>
        <w:spacing w:after="0"/>
        <w:rPr>
          <w:sz w:val="20"/>
          <w:szCs w:val="20"/>
          <w:color w:val="auto"/>
        </w:rPr>
      </w:pPr>
      <w:r>
        <w:rPr>
          <w:rFonts w:ascii="Arial" w:cs="Arial" w:eastAsia="Arial" w:hAnsi="Arial"/>
          <w:sz w:val="18"/>
          <w:szCs w:val="18"/>
          <w:color w:val="auto"/>
        </w:rPr>
        <w:t>We have a $150.0 million borrowing from the Prudential Insurance Company of America, for which the agreement was amended and restated during 2010. The principal is due in three installments of $50.0 million each in 2013, 2015, and 2017, and the interest rate is fixed at 6.84%.</w:t>
      </w:r>
    </w:p>
    <w:p>
      <w:pPr>
        <w:spacing w:after="0" w:line="149"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We are currently required to maintain a leverage ratio of not greater than 3.50 to 1.00 and minimum interest coverage of 3.00 to 1.00 under the new credit agreement and the Prudential agreement.</w:t>
      </w:r>
    </w:p>
    <w:p>
      <w:pPr>
        <w:spacing w:after="0" w:line="143" w:lineRule="exact"/>
        <w:rPr>
          <w:sz w:val="20"/>
          <w:szCs w:val="20"/>
          <w:color w:val="auto"/>
        </w:rPr>
      </w:pPr>
    </w:p>
    <w:p>
      <w:pPr>
        <w:ind w:right="320" w:firstLine="360"/>
        <w:spacing w:after="0"/>
        <w:rPr>
          <w:sz w:val="20"/>
          <w:szCs w:val="20"/>
          <w:color w:val="auto"/>
        </w:rPr>
      </w:pPr>
      <w:r>
        <w:rPr>
          <w:rFonts w:ascii="Arial" w:cs="Arial" w:eastAsia="Arial" w:hAnsi="Arial"/>
          <w:sz w:val="18"/>
          <w:szCs w:val="18"/>
          <w:color w:val="auto"/>
        </w:rPr>
        <w:t>As of December 31, 2012, our leverage ratio was 1.06 to 1.00 and our interest coverage ratio was 13.29 to 1.00. We may purchase our Common Stock or pay dividends to the extent our leverage ratio remains at or below 3.50 to 1.00, and may make acquisitions with cash provided our leverage ratio would not exceed 3.00 to 1.00 after giving pro forma effect to the acquisition.</w:t>
      </w:r>
    </w:p>
    <w:p>
      <w:pPr>
        <w:spacing w:after="0" w:line="149" w:lineRule="exact"/>
        <w:rPr>
          <w:sz w:val="20"/>
          <w:szCs w:val="20"/>
          <w:color w:val="auto"/>
        </w:rPr>
      </w:pPr>
    </w:p>
    <w:p>
      <w:pPr>
        <w:ind w:right="680" w:firstLine="360"/>
        <w:spacing w:after="0" w:line="246" w:lineRule="auto"/>
        <w:rPr>
          <w:sz w:val="20"/>
          <w:szCs w:val="20"/>
          <w:color w:val="auto"/>
        </w:rPr>
      </w:pPr>
      <w:r>
        <w:rPr>
          <w:rFonts w:ascii="Arial" w:cs="Arial" w:eastAsia="Arial" w:hAnsi="Arial"/>
          <w:sz w:val="18"/>
          <w:szCs w:val="18"/>
          <w:color w:val="auto"/>
        </w:rPr>
        <w:t>In March 2006, we issued $180 million principal amount of 2.25% convertible notes. As of December 31, 2012, the fair value of the balance of Notes outstanding was approximately $28.4 million, which was measured using quoted prices in active markets.</w:t>
      </w:r>
    </w:p>
    <w:p>
      <w:pPr>
        <w:spacing w:after="0" w:line="143" w:lineRule="exact"/>
        <w:rPr>
          <w:sz w:val="20"/>
          <w:szCs w:val="20"/>
          <w:color w:val="auto"/>
        </w:rPr>
      </w:pPr>
    </w:p>
    <w:p>
      <w:pPr>
        <w:ind w:right="420" w:firstLine="360"/>
        <w:spacing w:after="0" w:line="246" w:lineRule="auto"/>
        <w:rPr>
          <w:sz w:val="20"/>
          <w:szCs w:val="20"/>
          <w:color w:val="auto"/>
        </w:rPr>
      </w:pPr>
      <w:r>
        <w:rPr>
          <w:rFonts w:ascii="Arial" w:cs="Arial" w:eastAsia="Arial" w:hAnsi="Arial"/>
          <w:sz w:val="18"/>
          <w:szCs w:val="18"/>
          <w:color w:val="auto"/>
        </w:rPr>
        <w:t>On January 25, 2013, the Company announced the redemption, at 100 percent of principal, of all remaining 2.25% Convertible Senior Notes due 2026, for which we have a current liability of $28.3 million at December 31, 2012.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2012, we have no off-balance sheet arrangements required to be disclosed pursuant to Item 303(a)(4) of Regulation</w:t>
      </w:r>
    </w:p>
    <w:p>
      <w:pPr>
        <w:spacing w:after="0"/>
        <w:rPr>
          <w:sz w:val="20"/>
          <w:szCs w:val="20"/>
          <w:color w:val="auto"/>
        </w:rPr>
      </w:pPr>
      <w:r>
        <w:rPr>
          <w:rFonts w:ascii="Arial" w:cs="Arial" w:eastAsia="Arial" w:hAnsi="Arial"/>
          <w:sz w:val="18"/>
          <w:szCs w:val="18"/>
          <w:color w:val="auto"/>
        </w:rPr>
        <w:t>S-K.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2012, we have the following cash flow obligations</w:t>
      </w:r>
      <w:r>
        <w:rPr>
          <w:rFonts w:ascii="Arial" w:cs="Arial" w:eastAsia="Arial" w:hAnsi="Arial"/>
          <w:sz w:val="18"/>
          <w:szCs w:val="18"/>
          <w:i w:val="1"/>
          <w:iCs w:val="1"/>
          <w:color w:val="auto"/>
        </w:rPr>
        <w:t>:</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Payments Due by Period</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r>
      <w:tr>
        <w:trPr>
          <w:trHeight w:val="195"/>
        </w:trPr>
        <w:tc>
          <w:tcPr>
            <w:tcW w:w="3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Less than</w:t>
            </w:r>
          </w:p>
        </w:tc>
        <w:tc>
          <w:tcPr>
            <w:tcW w:w="136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One to three</w:t>
            </w:r>
          </w:p>
        </w:tc>
        <w:tc>
          <w:tcPr>
            <w:tcW w:w="260" w:type="dxa"/>
            <w:vAlign w:val="bottom"/>
          </w:tcPr>
          <w:p>
            <w:pPr>
              <w:spacing w:after="0"/>
              <w:rPr>
                <w:sz w:val="16"/>
                <w:szCs w:val="16"/>
                <w:color w:val="auto"/>
              </w:rPr>
            </w:pPr>
          </w:p>
        </w:tc>
        <w:tc>
          <w:tcPr>
            <w:tcW w:w="10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Three to</w:t>
            </w:r>
          </w:p>
        </w:tc>
        <w:tc>
          <w:tcPr>
            <w:tcW w:w="280" w:type="dxa"/>
            <w:vAlign w:val="bottom"/>
          </w:tcPr>
          <w:p>
            <w:pPr>
              <w:spacing w:after="0"/>
              <w:rPr>
                <w:sz w:val="16"/>
                <w:szCs w:val="16"/>
                <w:color w:val="auto"/>
              </w:rPr>
            </w:pPr>
          </w:p>
        </w:tc>
        <w:tc>
          <w:tcPr>
            <w:tcW w:w="10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After</w:t>
            </w:r>
          </w:p>
        </w:tc>
      </w:tr>
      <w:tr>
        <w:trPr>
          <w:trHeight w:val="203"/>
        </w:trPr>
        <w:tc>
          <w:tcPr>
            <w:tcW w:w="3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one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years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five years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five years</w:t>
            </w:r>
          </w:p>
        </w:tc>
      </w:tr>
      <w:tr>
        <w:trPr>
          <w:trHeight w:val="195"/>
        </w:trPr>
        <w:tc>
          <w:tcPr>
            <w:tcW w:w="3200" w:type="dxa"/>
            <w:vAlign w:val="bottom"/>
          </w:tcPr>
          <w:p>
            <w:pPr>
              <w:spacing w:after="0" w:line="195" w:lineRule="exact"/>
              <w:rPr>
                <w:sz w:val="20"/>
                <w:szCs w:val="20"/>
                <w:color w:val="auto"/>
              </w:rPr>
            </w:pPr>
            <w:r>
              <w:rPr>
                <w:rFonts w:ascii="Arial" w:cs="Arial" w:eastAsia="Arial" w:hAnsi="Arial"/>
                <w:sz w:val="18"/>
                <w:szCs w:val="18"/>
                <w:color w:val="auto"/>
              </w:rPr>
              <w:t>Total debt</w:t>
            </w:r>
          </w:p>
        </w:tc>
        <w:tc>
          <w:tcPr>
            <w:tcW w:w="8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319.7</w:t>
            </w:r>
          </w:p>
        </w:tc>
        <w:tc>
          <w:tcPr>
            <w:tcW w:w="28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83.8</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185.8</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50.0</w:t>
            </w: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0.1</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Interest payments (a)</w:t>
            </w:r>
          </w:p>
        </w:tc>
        <w:tc>
          <w:tcPr>
            <w:tcW w:w="86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15.5</w:t>
            </w:r>
          </w:p>
        </w:tc>
        <w:tc>
          <w:tcPr>
            <w:tcW w:w="320" w:type="dxa"/>
            <w:vAlign w:val="bottom"/>
          </w:tcPr>
          <w:p>
            <w:pPr>
              <w:spacing w:after="0"/>
              <w:rPr>
                <w:sz w:val="17"/>
                <w:szCs w:val="17"/>
                <w:color w:val="auto"/>
              </w:rPr>
            </w:pP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21.4</w:t>
            </w:r>
          </w:p>
        </w:tc>
        <w:tc>
          <w:tcPr>
            <w:tcW w:w="26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6.0</w:t>
            </w:r>
          </w:p>
        </w:tc>
        <w:tc>
          <w:tcPr>
            <w:tcW w:w="2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Pension plan contributions (b)</w:t>
            </w:r>
          </w:p>
        </w:tc>
        <w:tc>
          <w:tcPr>
            <w:tcW w:w="86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4.6</w:t>
            </w:r>
          </w:p>
        </w:tc>
        <w:tc>
          <w:tcPr>
            <w:tcW w:w="320" w:type="dxa"/>
            <w:vAlign w:val="bottom"/>
          </w:tcPr>
          <w:p>
            <w:pPr>
              <w:spacing w:after="0"/>
              <w:rPr>
                <w:sz w:val="17"/>
                <w:szCs w:val="17"/>
                <w:color w:val="auto"/>
              </w:rPr>
            </w:pP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Other postretirement benefits (c)</w:t>
            </w:r>
          </w:p>
        </w:tc>
        <w:tc>
          <w:tcPr>
            <w:tcW w:w="86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w:t>
            </w:r>
          </w:p>
        </w:tc>
        <w:tc>
          <w:tcPr>
            <w:tcW w:w="320" w:type="dxa"/>
            <w:vAlign w:val="bottom"/>
          </w:tcPr>
          <w:p>
            <w:pPr>
              <w:spacing w:after="0"/>
              <w:rPr>
                <w:sz w:val="17"/>
                <w:szCs w:val="17"/>
                <w:color w:val="auto"/>
              </w:rPr>
            </w:pP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10.7</w:t>
            </w:r>
          </w:p>
        </w:tc>
        <w:tc>
          <w:tcPr>
            <w:tcW w:w="260" w:type="dxa"/>
            <w:vAlign w:val="bottom"/>
          </w:tcPr>
          <w:p>
            <w:pPr>
              <w:spacing w:after="0"/>
              <w:rPr>
                <w:sz w:val="17"/>
                <w:szCs w:val="17"/>
                <w:color w:val="auto"/>
              </w:rPr>
            </w:pP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Restructuring accruals</w:t>
            </w:r>
          </w:p>
        </w:tc>
        <w:tc>
          <w:tcPr>
            <w:tcW w:w="86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4.9</w:t>
            </w:r>
          </w:p>
        </w:tc>
        <w:tc>
          <w:tcPr>
            <w:tcW w:w="320" w:type="dxa"/>
            <w:vAlign w:val="bottom"/>
          </w:tcPr>
          <w:p>
            <w:pPr>
              <w:spacing w:after="0"/>
              <w:rPr>
                <w:sz w:val="17"/>
                <w:szCs w:val="17"/>
                <w:color w:val="auto"/>
              </w:rPr>
            </w:pP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 (d)</w:t>
            </w:r>
          </w:p>
        </w:tc>
        <w:tc>
          <w:tcPr>
            <w:tcW w:w="860" w:type="dxa"/>
            <w:vAlign w:val="bottom"/>
          </w:tcPr>
          <w:p>
            <w:pPr>
              <w:spacing w:after="0"/>
              <w:rPr>
                <w:sz w:val="17"/>
                <w:szCs w:val="17"/>
                <w:color w:val="auto"/>
              </w:rPr>
            </w:pPr>
          </w:p>
        </w:tc>
        <w:tc>
          <w:tcPr>
            <w:tcW w:w="9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Operating leases</w:t>
            </w:r>
          </w:p>
        </w:tc>
        <w:tc>
          <w:tcPr>
            <w:tcW w:w="8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8.4</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0.8</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0.3</w:t>
            </w:r>
          </w:p>
        </w:tc>
      </w:tr>
      <w:tr>
        <w:trPr>
          <w:trHeight w:val="196"/>
        </w:trPr>
        <w:tc>
          <w:tcPr>
            <w:tcW w:w="3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Totals</w:t>
            </w:r>
          </w:p>
        </w:tc>
        <w:tc>
          <w:tcPr>
            <w:tcW w:w="8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431.5</w:t>
            </w:r>
          </w:p>
        </w:tc>
        <w:tc>
          <w:tcPr>
            <w:tcW w:w="2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117.9</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221.7</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66.9</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25.0</w:t>
            </w:r>
          </w:p>
        </w:tc>
      </w:tr>
    </w:tbl>
    <w:p>
      <w:pPr>
        <w:spacing w:after="0" w:line="215" w:lineRule="exact"/>
        <w:rPr>
          <w:sz w:val="20"/>
          <w:szCs w:val="20"/>
          <w:color w:val="auto"/>
        </w:rPr>
      </w:pPr>
    </w:p>
    <w:p>
      <w:pPr>
        <w:ind w:left="360" w:right="380" w:hanging="352"/>
        <w:spacing w:after="0" w:line="246"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variable-rate debt arrangements, including interest rates and maturities, are included in Note 12 of Notes to Consolidated Financial Statements. The interest payments are based on the assumption that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3" w:name="page34"/>
    <w:bookmarkEnd w:id="33"/>
    <w:p>
      <w:pPr>
        <w:ind w:left="360" w:right="220"/>
        <w:spacing w:after="0" w:line="246" w:lineRule="auto"/>
        <w:rPr>
          <w:sz w:val="20"/>
          <w:szCs w:val="20"/>
          <w:color w:val="auto"/>
        </w:rPr>
      </w:pPr>
      <w:r>
        <w:rPr>
          <w:rFonts w:ascii="Arial" w:cs="Arial" w:eastAsia="Arial" w:hAnsi="Arial"/>
          <w:sz w:val="18"/>
          <w:szCs w:val="18"/>
          <w:color w:val="auto"/>
        </w:rPr>
        <w:t>maintain $132.0 million of variable rate debt until the July 2010 credit agreement matures on July 16, 2015, and the rate as of December 31, 2012 (3.92%) continues until maturity.</w:t>
      </w:r>
    </w:p>
    <w:p>
      <w:pPr>
        <w:spacing w:after="0" w:line="143" w:lineRule="exact"/>
        <w:rPr>
          <w:sz w:val="20"/>
          <w:szCs w:val="20"/>
          <w:color w:val="auto"/>
        </w:rPr>
      </w:pPr>
    </w:p>
    <w:p>
      <w:pPr>
        <w:ind w:left="360" w:right="18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2013 contribution to defined benefit pension plans is estimated to be $4.6 million. However, that estimate is subject to revision based on many factors. The amount of contributions after 2013 is subject to many variables, including return of pension plan assets, interest rates, and tax and employee benefit laws. Therefore, contributions beyond 2012 are not included in this schedule.</w:t>
      </w:r>
    </w:p>
    <w:p>
      <w:pPr>
        <w:spacing w:after="0" w:line="148" w:lineRule="exact"/>
        <w:rPr>
          <w:rFonts w:ascii="Arial" w:cs="Arial" w:eastAsia="Arial" w:hAnsi="Arial"/>
          <w:sz w:val="18"/>
          <w:szCs w:val="18"/>
          <w:color w:val="auto"/>
        </w:rPr>
      </w:pPr>
    </w:p>
    <w:p>
      <w:pPr>
        <w:ind w:left="360" w:right="120" w:hanging="352"/>
        <w:spacing w:after="0" w:line="246"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cash outflow for other postretirement benefits is consistent with the expected benefit payments as presented in Note 4 of Notes to Consolidated Financial Statements.</w:t>
      </w:r>
    </w:p>
    <w:p>
      <w:pPr>
        <w:spacing w:after="0" w:line="142" w:lineRule="exact"/>
        <w:rPr>
          <w:rFonts w:ascii="Arial" w:cs="Arial" w:eastAsia="Arial" w:hAnsi="Arial"/>
          <w:sz w:val="18"/>
          <w:szCs w:val="18"/>
          <w:color w:val="auto"/>
        </w:rPr>
      </w:pPr>
    </w:p>
    <w:p>
      <w:pPr>
        <w:ind w:left="360" w:right="320" w:hanging="352"/>
        <w:spacing w:after="0" w:line="261"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Estimated payments for deferred compensation, taxes, and other noncurrent liabilities are not included in this table due to the uncertain timing of the ultimate cash settlement. Also, this table does not reflect unrecognized tax benefits of $24.4 million, the timing of which is uncertain. Refer to Note 7 of Notes to Consolidated Financial Statements for additional discussion on unrecognized tax benefits.</w:t>
      </w:r>
    </w:p>
    <w:p>
      <w:pPr>
        <w:spacing w:after="0" w:line="132"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The foregoing table should not be deemed to represent all of our future cash requirements, which will vary based on our future needs. While the cash required to satisfy the obligations set forth in the table is reasonably determinable in advance, many other cash needs, such as raw materials costs, payroll, and taxes, are dependent on future events and are harder to predict. In addition, while the contingencies described in Note 15 of Notes to Consolidated Financial Statements are not currently anticipated to have a material adverse effect on our Company, there can be no assurance that this may not change. Subject to the foregoing, we currently expect that cash from operations and the other sources of liquidity described above will be sufficient to enable us to meet the foregoing cash obligations, as well as to meet our other cash requirements.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0" w:lineRule="exact"/>
        <w:rPr>
          <w:sz w:val="20"/>
          <w:szCs w:val="20"/>
          <w:color w:val="auto"/>
        </w:rPr>
      </w:pPr>
    </w:p>
    <w:p>
      <w:pPr>
        <w:ind w:right="340" w:firstLine="360"/>
        <w:spacing w:after="0" w:line="238" w:lineRule="auto"/>
        <w:rPr>
          <w:sz w:val="20"/>
          <w:szCs w:val="20"/>
          <w:color w:val="auto"/>
        </w:rPr>
      </w:pPr>
      <w:r>
        <w:rPr>
          <w:rFonts w:ascii="Arial" w:cs="Arial" w:eastAsia="Arial" w:hAnsi="Arial"/>
          <w:sz w:val="18"/>
          <w:szCs w:val="18"/>
          <w:color w:val="auto"/>
        </w:rPr>
        <w:t>On February 5, 2013, the Financial Accounting Standards Board (FASB) issued authoritative guidance related to reporting of amounts reclassified out of accumulated other comprehensive income</w:t>
      </w:r>
      <w:r>
        <w:rPr>
          <w:rFonts w:ascii="Arial" w:cs="Arial" w:eastAsia="Arial" w:hAnsi="Arial"/>
          <w:sz w:val="18"/>
          <w:szCs w:val="18"/>
          <w:i w:val="1"/>
          <w:iCs w:val="1"/>
          <w:color w:val="auto"/>
        </w:rPr>
        <w:t>.</w:t>
      </w:r>
      <w:r>
        <w:rPr>
          <w:rFonts w:ascii="Arial" w:cs="Arial" w:eastAsia="Arial" w:hAnsi="Arial"/>
          <w:sz w:val="18"/>
          <w:szCs w:val="18"/>
          <w:color w:val="auto"/>
        </w:rPr>
        <w:t xml:space="preserve"> This pronouncement affects the reporting of reclassification adjustments from accumulated other comprehensive income. The new requirements will take effect for quarterly and annual reporting periods beginning after December 15, 2012. We are required to adopt these provisions in the first quarter of 2013. The guidance affects financial statement presentation only, and we do not expect the adoption of these requirements to have a material effect on our financial statements.</w:t>
      </w:r>
    </w:p>
    <w:p>
      <w:pPr>
        <w:spacing w:after="0" w:line="149"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The adoption of this guidance concerns presentation and disclosure only, and did not have a material impact on our financial statements.</w:t>
      </w:r>
    </w:p>
    <w:p>
      <w:pPr>
        <w:spacing w:after="0" w:line="149" w:lineRule="exact"/>
        <w:rPr>
          <w:sz w:val="20"/>
          <w:szCs w:val="20"/>
          <w:color w:val="auto"/>
        </w:rPr>
      </w:pPr>
    </w:p>
    <w:p>
      <w:pPr>
        <w:ind w:right="120" w:firstLine="360"/>
        <w:spacing w:after="0" w:line="237"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Annually, the Company performs a qualitative assessment for each of its reporting units to determine if the two step process for impairment testing is required. If the Company determines that it is more likely than not that the fair value of a reporting unit is less than its carrying amount, the Company evaluates the recoverability of goodwill using a two-step impairment test approach at the reporting unit level. This pronouncement is effective for annual and interim goodwill impairment tests performed for fiscal years beginning after December 15, 2011. The Company adopted this approach in 2012, and it did not have a material effect on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Assumptions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should be read in conjunction with the Consolidated Financial Statements and Notes thereto.</w:t>
      </w:r>
    </w:p>
    <w:p>
      <w:pPr>
        <w:spacing w:after="0" w:line="158" w:lineRule="exact"/>
        <w:rPr>
          <w:sz w:val="20"/>
          <w:szCs w:val="20"/>
          <w:color w:val="auto"/>
        </w:rPr>
      </w:pPr>
    </w:p>
    <w:p>
      <w:pPr>
        <w:ind w:right="240" w:firstLine="360"/>
        <w:spacing w:after="0" w:line="238"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accounting principles generally accepted in the United States of America (GAAP). The preparation of these financial statements requires the Company to make estimates and judgments that affect the reported amounts of assets, liabilities, revenues and expenses, and related disclosure of contingent assets and liabilities. Some of these estimates require judgments about matters that are inherently uncertain.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ind w:right="100" w:firstLine="360"/>
        <w:spacing w:after="0" w:line="238" w:lineRule="auto"/>
        <w:rPr>
          <w:sz w:val="20"/>
          <w:szCs w:val="20"/>
          <w:color w:val="auto"/>
        </w:rPr>
      </w:pPr>
      <w:r>
        <w:rPr>
          <w:rFonts w:ascii="Arial" w:cs="Arial" w:eastAsia="Arial" w:hAnsi="Arial"/>
          <w:sz w:val="18"/>
          <w:szCs w:val="18"/>
          <w:color w:val="auto"/>
        </w:rPr>
        <w:t>We record sales when persuasive evidence of an arrangement exists, delivery has occurred, title has been transferred, the selling price is fixed, and collectability is reasonably assured. We include in revenue any amounts invoiced for shipping and handling. The timing of revenue recognition is dependent upon the contractual arrangement with customers. These arrangements, which may include provisions for transfer of title and guarantees of workmanship, are specific to each customer. Some of these contracts provide for a transfer of title upon delivery, or upon reaching a specific date, while other contracts provide for title transfer to occur upon consumption of the product.</w:t>
      </w:r>
    </w:p>
    <w:p>
      <w:pPr>
        <w:spacing w:after="0" w:line="149"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Engineered Composites segment. We use the percentage of completion (actual cost to estimated cost) method for accounting for these projects. That method requires significant judgment and estimation, which could be considerably different if the underlying circumstances were to change. When adjustments in estimated contract revenues or costs are required, any changes from prior estimates are included in earnings in the current period.</w:t>
      </w:r>
    </w:p>
    <w:p>
      <w:pPr>
        <w:spacing w:after="0" w:line="148"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The Engineered Composites segment also has some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method. Accumulated capitalized costs are written-off when those costs are determined to be unrecoverable. Depending on the type of contract, we determine our percentage of completion using either the cost to cost method, or the units of delivery method.</w:t>
      </w:r>
    </w:p>
    <w:p>
      <w:pPr>
        <w:spacing w:after="0" w:line="151"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80" w:lineRule="exact"/>
        <w:rPr>
          <w:sz w:val="20"/>
          <w:szCs w:val="20"/>
          <w:color w:val="auto"/>
        </w:rPr>
      </w:pPr>
    </w:p>
    <w:p>
      <w:pPr>
        <w:ind w:right="60" w:firstLine="360"/>
        <w:spacing w:after="0" w:line="237" w:lineRule="auto"/>
        <w:rPr>
          <w:sz w:val="20"/>
          <w:szCs w:val="20"/>
          <w:color w:val="auto"/>
        </w:rPr>
      </w:pPr>
      <w:r>
        <w:rPr>
          <w:rFonts w:ascii="Arial" w:cs="Arial" w:eastAsia="Arial" w:hAnsi="Arial"/>
          <w:sz w:val="18"/>
          <w:szCs w:val="18"/>
          <w:color w:val="auto"/>
        </w:rPr>
        <w:t>We may incur expenses related to restructuring of our operations, which could include employee termination costs, costs to consolidate or close facilities, or costs to terminate contractual relationships.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and the consolidation or the closure of facilities, are recognized when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80"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Engineered Composites contracts accounted for under the percentage of completion method.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Inventory Impairment</w:t>
      </w:r>
    </w:p>
    <w:p>
      <w:pPr>
        <w:spacing w:after="0" w:line="180"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Property, Plant, and Equipment (PP&amp;E)</w:t>
      </w:r>
    </w:p>
    <w:p>
      <w:pPr>
        <w:spacing w:after="0" w:line="180"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PP&amp;E is recorded at cost, which is generally objectively quantifiable when assets are purchased singly. However, when assets are purchased in groups, as would be the case for a business acquisition, costs assigned to PP&amp;E are based on an estimate of fair value of each asset at the date of acquisition. These estimates are based on assumptions about asset condition, remaining useful life, and market conditions. The Company may employ appraisers to aid in allocating cost to assets purchased as a group. Included in the cost basis of PP&amp;E are those costs that substantially increase the useful lives or capacity of existing PP&amp;E. Significant judgment is needed to determine which costs should be capitalized under these criteria, and which should be expensed as repairs and maintenance costs. Economic useful life is the duration of time an asset is expected to be productively employed by the Company, which may be less than its physical life. Management’s estimate of useful life is monitored to determine its appropriateness, especially in light of changed business circumstances. Changes in these estimates that affect PP&amp;E could have a significant impact on the Company’s financial statements. However, significant adjustments have not been required in recent years. Management also monitors changes in business conditions and events such as a plant closure that could indicate that PP&amp;E asset values are impaired. The determination of asset impairment involves significant judgment about market values and future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0" w:lineRule="exact"/>
        <w:rPr>
          <w:sz w:val="20"/>
          <w:szCs w:val="20"/>
          <w:color w:val="auto"/>
        </w:rPr>
      </w:pPr>
    </w:p>
    <w:p>
      <w:pPr>
        <w:ind w:right="60" w:firstLine="360"/>
        <w:spacing w:after="0" w:line="236" w:lineRule="auto"/>
        <w:rPr>
          <w:sz w:val="20"/>
          <w:szCs w:val="20"/>
          <w:color w:val="auto"/>
        </w:rPr>
      </w:pPr>
      <w:r>
        <w:rPr>
          <w:rFonts w:ascii="Arial" w:cs="Arial" w:eastAsia="Arial" w:hAnsi="Arial"/>
          <w:sz w:val="18"/>
          <w:szCs w:val="18"/>
          <w:color w:val="auto"/>
        </w:rPr>
        <w:t>Goodwill impairment exists when the carrying amount of goodwill exceeds its fair value. Assessments of possible impairment of goodwill are made when events or changes in circumstances indicate that the carrying value of the asset may not be recoverable through future operations. Additionally, testing for possible impairment of recorded goodwill and certain intangible asset balances is required annually. The amount and timing of any impairment charges based on these assessments require the estimation of future cash flows and the fair market value of the related assets based on management’s best estimates of certain key factors, including future selling prices and volumes; operating, raw material, energy, and freight costs; and various other projected operating and economic factors. When testing, fair values of the reporting units and the related implied fair values of their respective goodwill are established using public company analysis and discounted cash flows. In performing our annual goodwill assessment in 2012, we performed the qualitative assessment as described above in Recent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Liabilities</w:t>
      </w:r>
    </w:p>
    <w:p>
      <w:pPr>
        <w:spacing w:after="0" w:line="180"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The Company is self-insured for some employee and business risks, including health care and workers’ compensation programs in the United States. Losses under all of these programs are accrued based on estimates of the ultimate liability for claims reported and an estimate of claims incurred but not reported, with assistance from third-party actuaries and service providers. However, these liabilities are difficult to assess and estimate due to unknown factors, including the severity of an illness or injury and the number of incidents not reported. The accruals are based upon known facts and historical trends, and management believes such accruals to be adequate. If actual results significantly differ from estimates used to calculate the liability, the Company’s financial condition, results of operations and cash flows could be materially impacted by losses under these programs, as well as higher stop-loss premiums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Liabilities</w:t>
      </w:r>
    </w:p>
    <w:p>
      <w:pPr>
        <w:spacing w:after="0" w:line="180" w:lineRule="exact"/>
        <w:rPr>
          <w:sz w:val="20"/>
          <w:szCs w:val="20"/>
          <w:color w:val="auto"/>
        </w:rPr>
      </w:pPr>
    </w:p>
    <w:p>
      <w:pPr>
        <w:ind w:right="100" w:firstLine="360"/>
        <w:spacing w:after="0" w:line="237" w:lineRule="auto"/>
        <w:rPr>
          <w:sz w:val="20"/>
          <w:szCs w:val="20"/>
          <w:color w:val="auto"/>
        </w:rPr>
      </w:pPr>
      <w:r>
        <w:rPr>
          <w:rFonts w:ascii="Arial" w:cs="Arial" w:eastAsia="Arial" w:hAnsi="Arial"/>
          <w:sz w:val="18"/>
          <w:szCs w:val="18"/>
          <w:color w:val="auto"/>
        </w:rPr>
        <w:t>The Company has pension and postretirement benefit costs and liabilities that are developed from actuarial valuations. Inherent in these valuations are key assumptions, including discount rates and expected return on plan assets, which are updated on an annual basis. As of December 31, 2012, net liabilities under our defined benefit pension plans exceeded plan assets by $45.1 million, of which $29.6 million was for plans outside of the U.S. Additionally, at December 31, 2012 postretirement liabilities totaled $84.4 million, substantially all of which related to our U.S plan. As of December 31, 2012, we have unrecognized net losses of $ 85.3 million for pension plans, and $17.6 million for postretirement benefit plans that will be amortized into expense in future periods. The unrecognized net loss in pension plans is primarily attributable to recent declines in interest rates and unfavorable investment returns in 2008.</w:t>
      </w:r>
    </w:p>
    <w:p>
      <w:pPr>
        <w:spacing w:after="0" w:line="149"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We are required to consider current market conditions, including changes in interest rates, in making these assumptions. We anticipate 2013 employer contributions of $4.6 million for pension plans and $5.6 million for postretirement benefit plans. Changes in the related pension and postretirement benefit costs or credits may occur in the future due to changes in the assumptions. The amount of annual pension plan funding and annual expense is subject to many variables, including the investment return on pension plan assets and interest rates, and actual</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16" w:right="279" w:bottom="1440" w:gutter="0" w:footer="0" w:header="0"/>
        </w:sectPr>
      </w:pPr>
    </w:p>
    <w:bookmarkStart w:id="36" w:name="page37"/>
    <w:bookmarkEnd w:id="36"/>
    <w:p>
      <w:pPr>
        <w:ind w:right="360"/>
        <w:spacing w:after="0" w:line="246" w:lineRule="auto"/>
        <w:rPr>
          <w:sz w:val="20"/>
          <w:szCs w:val="20"/>
          <w:color w:val="auto"/>
        </w:rPr>
      </w:pPr>
      <w:r>
        <w:rPr>
          <w:rFonts w:ascii="Arial" w:cs="Arial" w:eastAsia="Arial" w:hAnsi="Arial"/>
          <w:sz w:val="18"/>
          <w:szCs w:val="18"/>
          <w:color w:val="auto"/>
        </w:rPr>
        <w:t>contributions could vary significantly. Assumptions used for determining pension plan liabilities and expenses are evaluated and updated at least annually.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ind w:right="80" w:firstLine="360"/>
        <w:spacing w:after="0" w:line="239" w:lineRule="auto"/>
        <w:rPr>
          <w:sz w:val="20"/>
          <w:szCs w:val="20"/>
          <w:color w:val="auto"/>
        </w:rPr>
      </w:pPr>
      <w:r>
        <w:rPr>
          <w:rFonts w:ascii="Arial" w:cs="Arial" w:eastAsia="Arial" w:hAnsi="Arial"/>
          <w:sz w:val="18"/>
          <w:szCs w:val="18"/>
          <w:color w:val="auto"/>
        </w:rPr>
        <w:t>We record deferred income tax assets and liabilities for the tax consequences of differences between financial statement and tax bases of existing assets and liabilities. A tax valuation allowance is established, as needed, to reduce net deferred tax assets to the amount expected to be realized. In the event it becomes more likely than not that some or all of the deferred tax asset allowances will not be needed, the valuation allowance will be adjusted. Management judgment is required to determine income tax expense and the related balance sheet amounts.</w:t>
      </w:r>
    </w:p>
    <w:p>
      <w:pPr>
        <w:spacing w:after="0" w:line="148"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See Notes 1 and 7 to the Consolidated Financial Statements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0"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We have contingent liabilities for litigation, claims, and assessments that result from the ordinary course of business. These matters are more fully described in Note 15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180" w:lineRule="exact"/>
        <w:rPr>
          <w:sz w:val="20"/>
          <w:szCs w:val="20"/>
          <w:color w:val="auto"/>
        </w:rPr>
      </w:pPr>
    </w:p>
    <w:p>
      <w:pPr>
        <w:ind w:right="60" w:firstLine="360"/>
        <w:spacing w:after="0" w:line="238" w:lineRule="auto"/>
        <w:rPr>
          <w:sz w:val="20"/>
          <w:szCs w:val="20"/>
          <w:color w:val="auto"/>
        </w:rPr>
      </w:pPr>
      <w:r>
        <w:rPr>
          <w:rFonts w:ascii="Arial" w:cs="Arial" w:eastAsia="Arial" w:hAnsi="Arial"/>
          <w:sz w:val="18"/>
          <w:szCs w:val="18"/>
          <w:color w:val="auto"/>
        </w:rPr>
        <w:t>We have certain financial assets and liabilities that are measured at fair value on a recurring basis, in accordance with the applicable accounting guidance. Fair values are based on assumptions that market participants would use in pricing an asset or liability, which include review of observable inputs, market quotes, and assumptions of expected cash flows. In certain cases this determination of value may require some level of valuation analysis, interpretation of information, and judgment. As these key observable inputs and assumptions change in future periods, the Company will update its valuation to reflect market conditions.</w:t>
      </w:r>
    </w:p>
    <w:p>
      <w:pPr>
        <w:spacing w:after="0" w:line="149"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We may enter into hedging transactions from time to time in order to mitigate volatility in cash flows, which can be caused by changes in currency exchange rates. To qualify for hedge accounting under the applicable accounting guidance, the hedging relationship between the hedging instrument and the hedged item must be effective in achieving the offset of changes that are attributable to the hedged risk, both at the inception of the hedge and on a continuing basis until maturity or settlement of the hedging instrument. Hedge effectiveness, which would be tested by the Company periodically, is dependent upon market factors and changes in currency exchange rates, which are unpredictable. In the event that the hedged item falls below the hedging instrument, any gains or losses related to the ineffective portion of the hedge will be recognized in the current period in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80"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This Form 10-K contains certain items, such as earnings before interest, taxes, depreciation and amortization (EBITDA), EBITDA from continuing operations, Adjusted EBITDA, sales excluding currency effects, effective income tax rate exclusive of income tax adjustments, net debt,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performance, especially when compared to periods in which such items had a greater or lesser effect, or no effect.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7" w:name="page38"/>
    <w:bookmarkEnd w:id="37"/>
    <w:p>
      <w:pPr>
        <w:ind w:right="100" w:firstLine="360"/>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its effective Income tax rate, exclusive of Income tax adjustments, by removing discrete Income tax adjustments from total Income tax expense, then dividing that result by Income before tax. The Company calculates EBITDA by adding Interest expense net, Income taxes, Depreciation and Amortization to Net income. Adjusted EBITDA is calculated by adding EBITDA, costs associated with restructuring and pension settlement charges, and then adding or subtracting revaluation losses or gains and subtracting building sale gains.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161" w:lineRule="exact"/>
        <w:rPr>
          <w:sz w:val="20"/>
          <w:szCs w:val="20"/>
          <w:color w:val="auto"/>
        </w:rPr>
      </w:pPr>
    </w:p>
    <w:p>
      <w:pPr>
        <w:ind w:right="240" w:firstLine="360"/>
        <w:spacing w:after="0" w:line="246" w:lineRule="auto"/>
        <w:rPr>
          <w:sz w:val="20"/>
          <w:szCs w:val="20"/>
          <w:color w:val="auto"/>
        </w:rPr>
      </w:pPr>
      <w:r>
        <w:rPr>
          <w:rFonts w:ascii="Arial" w:cs="Arial" w:eastAsia="Arial" w:hAnsi="Arial"/>
          <w:sz w:val="18"/>
          <w:szCs w:val="18"/>
          <w:color w:val="auto"/>
        </w:rPr>
        <w:t>The following tables show the calculation of EBITDA from continuing operations, Adjusted EBITDA from continuing operations excluding restructuring charges, currency revaluation effects, and gains from the sale of buildings and pension settlement charges: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Years ended December 31,</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(Loss)/income from continuing operations</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($40,843)</w:t>
            </w:r>
          </w:p>
        </w:tc>
        <w:tc>
          <w:tcPr>
            <w:tcW w:w="9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21,266</w:t>
            </w:r>
          </w:p>
        </w:tc>
        <w:tc>
          <w:tcPr>
            <w:tcW w:w="300" w:type="dxa"/>
            <w:vAlign w:val="bottom"/>
          </w:tcPr>
          <w:p>
            <w:pPr>
              <w:jc w:val="right"/>
              <w:spacing w:after="0" w:line="173"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27,423</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16,601</w:t>
            </w:r>
          </w:p>
        </w:tc>
        <w:tc>
          <w:tcPr>
            <w:tcW w:w="960" w:type="dxa"/>
            <w:vAlign w:val="bottom"/>
          </w:tcPr>
          <w:p>
            <w:pPr>
              <w:spacing w:after="0"/>
              <w:rPr>
                <w:sz w:val="17"/>
                <w:szCs w:val="17"/>
                <w:color w:val="auto"/>
              </w:rPr>
            </w:pPr>
          </w:p>
        </w:tc>
        <w:tc>
          <w:tcPr>
            <w:tcW w:w="15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18,121</w:t>
            </w:r>
          </w:p>
        </w:tc>
        <w:tc>
          <w:tcPr>
            <w:tcW w:w="30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17,240</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(benefit)/expense</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(27,523)</w:t>
            </w:r>
          </w:p>
        </w:tc>
        <w:tc>
          <w:tcPr>
            <w:tcW w:w="960" w:type="dxa"/>
            <w:vAlign w:val="bottom"/>
          </w:tcPr>
          <w:p>
            <w:pPr>
              <w:spacing w:after="0"/>
              <w:rPr>
                <w:sz w:val="17"/>
                <w:szCs w:val="17"/>
                <w:color w:val="auto"/>
              </w:rPr>
            </w:pPr>
          </w:p>
        </w:tc>
        <w:tc>
          <w:tcPr>
            <w:tcW w:w="15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32,582</w:t>
            </w:r>
          </w:p>
        </w:tc>
        <w:tc>
          <w:tcPr>
            <w:tcW w:w="30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21,022</w:t>
            </w: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63,067</w:t>
            </w: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63,812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60,444</w:t>
            </w: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EBITDA from continuing operations</w:t>
            </w: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11,302</w:t>
            </w:r>
          </w:p>
        </w:tc>
        <w:tc>
          <w:tcPr>
            <w:tcW w:w="960" w:type="dxa"/>
            <w:vAlign w:val="bottom"/>
          </w:tcPr>
          <w:p>
            <w:pPr>
              <w:spacing w:after="0"/>
              <w:rPr>
                <w:sz w:val="15"/>
                <w:szCs w:val="15"/>
                <w:color w:val="auto"/>
              </w:rPr>
            </w:pPr>
          </w:p>
        </w:tc>
        <w:tc>
          <w:tcPr>
            <w:tcW w:w="152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135,781</w:t>
            </w:r>
          </w:p>
        </w:tc>
        <w:tc>
          <w:tcPr>
            <w:tcW w:w="300" w:type="dxa"/>
            <w:vAlign w:val="bottom"/>
          </w:tcPr>
          <w:p>
            <w:pPr>
              <w:spacing w:after="0"/>
              <w:rPr>
                <w:sz w:val="15"/>
                <w:szCs w:val="15"/>
                <w:color w:val="auto"/>
              </w:rPr>
            </w:pPr>
          </w:p>
        </w:tc>
        <w:tc>
          <w:tcPr>
            <w:tcW w:w="12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126,129</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7,061</w:t>
            </w:r>
          </w:p>
        </w:tc>
        <w:tc>
          <w:tcPr>
            <w:tcW w:w="960" w:type="dxa"/>
            <w:vAlign w:val="bottom"/>
          </w:tcPr>
          <w:p>
            <w:pPr>
              <w:spacing w:after="0"/>
              <w:rPr>
                <w:sz w:val="17"/>
                <w:szCs w:val="17"/>
                <w:color w:val="auto"/>
              </w:rPr>
            </w:pPr>
          </w:p>
        </w:tc>
        <w:tc>
          <w:tcPr>
            <w:tcW w:w="15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9,317</w:t>
            </w:r>
          </w:p>
        </w:tc>
        <w:tc>
          <w:tcPr>
            <w:tcW w:w="30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3,747</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7,350</w:t>
            </w:r>
          </w:p>
        </w:tc>
        <w:tc>
          <w:tcPr>
            <w:tcW w:w="960" w:type="dxa"/>
            <w:vAlign w:val="bottom"/>
          </w:tcPr>
          <w:p>
            <w:pPr>
              <w:spacing w:after="0"/>
              <w:rPr>
                <w:sz w:val="17"/>
                <w:szCs w:val="17"/>
                <w:color w:val="auto"/>
              </w:rPr>
            </w:pPr>
          </w:p>
        </w:tc>
        <w:tc>
          <w:tcPr>
            <w:tcW w:w="15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(2,761)</w:t>
            </w: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(5,010)</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former manufacturing facilities</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7"/>
                <w:szCs w:val="17"/>
                <w:color w:val="auto"/>
              </w:rPr>
            </w:pPr>
          </w:p>
        </w:tc>
        <w:tc>
          <w:tcPr>
            <w:tcW w:w="15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(1,008)</w:t>
            </w: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r>
      <w:tr>
        <w:trPr>
          <w:trHeight w:val="225"/>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Pension settlement expense</w:t>
            </w:r>
          </w:p>
        </w:tc>
        <w:tc>
          <w:tcPr>
            <w:tcW w:w="9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119,735</w:t>
            </w: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4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from continuing operations</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$145,448</w:t>
            </w:r>
          </w:p>
        </w:tc>
        <w:tc>
          <w:tcPr>
            <w:tcW w:w="9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141,329</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115,466</w:t>
            </w:r>
          </w:p>
        </w:tc>
      </w:tr>
      <w:tr>
        <w:trPr>
          <w:trHeight w:val="439"/>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398"/>
        </w:trPr>
        <w:tc>
          <w:tcPr>
            <w:tcW w:w="4360" w:type="dxa"/>
            <w:vAlign w:val="bottom"/>
            <w:gridSpan w:val="2"/>
          </w:tcPr>
          <w:p>
            <w:pPr>
              <w:spacing w:after="0"/>
              <w:rPr>
                <w:sz w:val="20"/>
                <w:szCs w:val="20"/>
                <w:color w:val="auto"/>
              </w:rPr>
            </w:pPr>
            <w:r>
              <w:rPr>
                <w:rFonts w:ascii="Arial" w:cs="Arial" w:eastAsia="Arial" w:hAnsi="Arial"/>
                <w:sz w:val="18"/>
                <w:szCs w:val="18"/>
                <w:color w:val="auto"/>
              </w:rPr>
              <w:t>Year ended December 31, 2012</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Research and</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ind w:left="580"/>
              <w:spacing w:after="0" w:line="203" w:lineRule="exact"/>
              <w:rPr>
                <w:sz w:val="20"/>
                <w:szCs w:val="20"/>
                <w:color w:val="auto"/>
              </w:rPr>
            </w:pPr>
            <w:r>
              <w:rPr>
                <w:rFonts w:ascii="Arial" w:cs="Arial" w:eastAsia="Arial" w:hAnsi="Arial"/>
                <w:sz w:val="18"/>
                <w:szCs w:val="18"/>
                <w:color w:val="auto"/>
              </w:rPr>
              <w:t>Machine Clothing</w:t>
            </w: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AEC</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Unallocated</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Total Company</w:t>
            </w:r>
          </w:p>
        </w:tc>
      </w:tr>
      <w:tr>
        <w:trPr>
          <w:trHeight w:val="195"/>
        </w:trPr>
        <w:tc>
          <w:tcPr>
            <w:tcW w:w="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Income/(loss) from continuing operations</w:t>
            </w:r>
          </w:p>
        </w:tc>
        <w:tc>
          <w:tcPr>
            <w:tcW w:w="940" w:type="dxa"/>
            <w:vAlign w:val="bottom"/>
          </w:tcPr>
          <w:p>
            <w:pPr>
              <w:ind w:left="580"/>
              <w:spacing w:after="0" w:line="19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163,873</w:t>
            </w:r>
          </w:p>
        </w:tc>
        <w:tc>
          <w:tcPr>
            <w:tcW w:w="960" w:type="dxa"/>
            <w:vAlign w:val="bottom"/>
          </w:tcPr>
          <w:p>
            <w:pPr>
              <w:spacing w:after="0"/>
              <w:rPr>
                <w:sz w:val="16"/>
                <w:szCs w:val="16"/>
                <w:color w:val="auto"/>
              </w:rPr>
            </w:pPr>
          </w:p>
        </w:tc>
        <w:tc>
          <w:tcPr>
            <w:tcW w:w="9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($840)</w:t>
            </w:r>
          </w:p>
        </w:tc>
        <w:tc>
          <w:tcPr>
            <w:tcW w:w="15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($203,876)</w:t>
            </w:r>
          </w:p>
        </w:tc>
        <w:tc>
          <w:tcPr>
            <w:tcW w:w="300" w:type="dxa"/>
            <w:vAlign w:val="bottom"/>
          </w:tcPr>
          <w:p>
            <w:pPr>
              <w:spacing w:after="0"/>
              <w:rPr>
                <w:sz w:val="16"/>
                <w:szCs w:val="16"/>
                <w:color w:val="auto"/>
              </w:rPr>
            </w:pP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($40,843)</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7"/>
                <w:szCs w:val="17"/>
                <w:color w:val="auto"/>
              </w:rPr>
            </w:pP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9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16,601</w:t>
            </w:r>
          </w:p>
        </w:tc>
        <w:tc>
          <w:tcPr>
            <w:tcW w:w="30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16,601</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expense/(benefit)</w:t>
            </w:r>
          </w:p>
        </w:tc>
        <w:tc>
          <w:tcPr>
            <w:tcW w:w="940" w:type="dxa"/>
            <w:vAlign w:val="bottom"/>
          </w:tcPr>
          <w:p>
            <w:pPr>
              <w:spacing w:after="0"/>
              <w:rPr>
                <w:sz w:val="17"/>
                <w:szCs w:val="17"/>
                <w:color w:val="auto"/>
              </w:rPr>
            </w:pP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9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(27,523)</w:t>
            </w: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(27,523)</w:t>
            </w:r>
          </w:p>
        </w:tc>
      </w:tr>
      <w:tr>
        <w:trPr>
          <w:trHeight w:val="203"/>
        </w:trPr>
        <w:tc>
          <w:tcPr>
            <w:tcW w:w="43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46,843</w:t>
            </w: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5,920</w:t>
            </w:r>
          </w:p>
        </w:tc>
        <w:tc>
          <w:tcPr>
            <w:tcW w:w="15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10,304</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63,067</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EBITDA from continuing operations</w:t>
            </w:r>
          </w:p>
        </w:tc>
        <w:tc>
          <w:tcPr>
            <w:tcW w:w="940" w:type="dxa"/>
            <w:vAlign w:val="bottom"/>
          </w:tcPr>
          <w:p>
            <w:pPr>
              <w:spacing w:after="0"/>
              <w:rPr>
                <w:sz w:val="16"/>
                <w:szCs w:val="16"/>
                <w:color w:val="auto"/>
              </w:rPr>
            </w:pPr>
          </w:p>
        </w:tc>
        <w:tc>
          <w:tcPr>
            <w:tcW w:w="11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210,716</w:t>
            </w:r>
          </w:p>
        </w:tc>
        <w:tc>
          <w:tcPr>
            <w:tcW w:w="960" w:type="dxa"/>
            <w:vAlign w:val="bottom"/>
          </w:tcPr>
          <w:p>
            <w:pPr>
              <w:spacing w:after="0"/>
              <w:rPr>
                <w:sz w:val="16"/>
                <w:szCs w:val="16"/>
                <w:color w:val="auto"/>
              </w:rPr>
            </w:pPr>
          </w:p>
        </w:tc>
        <w:tc>
          <w:tcPr>
            <w:tcW w:w="9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5,080</w:t>
            </w:r>
          </w:p>
        </w:tc>
        <w:tc>
          <w:tcPr>
            <w:tcW w:w="15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(204,494)</w:t>
            </w:r>
          </w:p>
        </w:tc>
        <w:tc>
          <w:tcPr>
            <w:tcW w:w="300" w:type="dxa"/>
            <w:vAlign w:val="bottom"/>
          </w:tcPr>
          <w:p>
            <w:pPr>
              <w:spacing w:after="0"/>
              <w:rPr>
                <w:sz w:val="16"/>
                <w:szCs w:val="16"/>
                <w:color w:val="auto"/>
              </w:rPr>
            </w:pP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11,302</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940" w:type="dxa"/>
            <w:vAlign w:val="bottom"/>
          </w:tcPr>
          <w:p>
            <w:pPr>
              <w:spacing w:after="0"/>
              <w:rPr>
                <w:sz w:val="17"/>
                <w:szCs w:val="17"/>
                <w:color w:val="auto"/>
              </w:rPr>
            </w:pP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7,386</w:t>
            </w:r>
          </w:p>
        </w:tc>
        <w:tc>
          <w:tcPr>
            <w:tcW w:w="960" w:type="dxa"/>
            <w:vAlign w:val="bottom"/>
          </w:tcPr>
          <w:p>
            <w:pPr>
              <w:spacing w:after="0"/>
              <w:rPr>
                <w:sz w:val="17"/>
                <w:szCs w:val="17"/>
                <w:color w:val="auto"/>
              </w:rPr>
            </w:pPr>
          </w:p>
        </w:tc>
        <w:tc>
          <w:tcPr>
            <w:tcW w:w="9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(325)</w:t>
            </w:r>
          </w:p>
        </w:tc>
        <w:tc>
          <w:tcPr>
            <w:tcW w:w="30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7,061</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940" w:type="dxa"/>
            <w:vAlign w:val="bottom"/>
          </w:tcPr>
          <w:p>
            <w:pPr>
              <w:spacing w:after="0"/>
              <w:rPr>
                <w:sz w:val="17"/>
                <w:szCs w:val="17"/>
                <w:color w:val="auto"/>
              </w:rPr>
            </w:pP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1,633</w:t>
            </w:r>
          </w:p>
        </w:tc>
        <w:tc>
          <w:tcPr>
            <w:tcW w:w="960" w:type="dxa"/>
            <w:vAlign w:val="bottom"/>
          </w:tcPr>
          <w:p>
            <w:pPr>
              <w:spacing w:after="0"/>
              <w:rPr>
                <w:sz w:val="17"/>
                <w:szCs w:val="17"/>
                <w:color w:val="auto"/>
              </w:rPr>
            </w:pPr>
          </w:p>
        </w:tc>
        <w:tc>
          <w:tcPr>
            <w:tcW w:w="9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5,715</w:t>
            </w:r>
          </w:p>
        </w:tc>
        <w:tc>
          <w:tcPr>
            <w:tcW w:w="300" w:type="dxa"/>
            <w:vAlign w:val="bottom"/>
          </w:tcPr>
          <w:p>
            <w:pPr>
              <w:spacing w:after="0"/>
              <w:rPr>
                <w:sz w:val="17"/>
                <w:szCs w:val="17"/>
                <w:color w:val="auto"/>
              </w:rPr>
            </w:pP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7,350</w:t>
            </w:r>
          </w:p>
        </w:tc>
      </w:tr>
      <w:tr>
        <w:trPr>
          <w:trHeight w:val="203"/>
        </w:trPr>
        <w:tc>
          <w:tcPr>
            <w:tcW w:w="43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Pension settlement expense</w:t>
            </w: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119,735</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119,735</w:t>
            </w:r>
          </w:p>
        </w:tc>
      </w:tr>
      <w:tr>
        <w:trPr>
          <w:trHeight w:val="196"/>
        </w:trPr>
        <w:tc>
          <w:tcPr>
            <w:tcW w:w="436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 from continuing operations</w:t>
            </w:r>
          </w:p>
        </w:tc>
        <w:tc>
          <w:tcPr>
            <w:tcW w:w="940" w:type="dxa"/>
            <w:vAlign w:val="bottom"/>
          </w:tcPr>
          <w:p>
            <w:pPr>
              <w:ind w:left="58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219,735</w:t>
            </w:r>
          </w:p>
        </w:tc>
        <w:tc>
          <w:tcPr>
            <w:tcW w:w="960" w:type="dxa"/>
            <w:vAlign w:val="bottom"/>
          </w:tcPr>
          <w:p>
            <w:pPr>
              <w:spacing w:after="0"/>
              <w:rPr>
                <w:sz w:val="17"/>
                <w:szCs w:val="17"/>
                <w:color w:val="auto"/>
              </w:rPr>
            </w:pPr>
          </w:p>
        </w:tc>
        <w:tc>
          <w:tcPr>
            <w:tcW w:w="9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$5,082</w:t>
            </w:r>
          </w:p>
        </w:tc>
        <w:tc>
          <w:tcPr>
            <w:tcW w:w="15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($79,369)</w:t>
            </w:r>
          </w:p>
        </w:tc>
        <w:tc>
          <w:tcPr>
            <w:tcW w:w="300" w:type="dxa"/>
            <w:vAlign w:val="bottom"/>
          </w:tcPr>
          <w:p>
            <w:pPr>
              <w:spacing w:after="0"/>
              <w:rPr>
                <w:sz w:val="17"/>
                <w:szCs w:val="17"/>
                <w:color w:val="auto"/>
              </w:rPr>
            </w:pPr>
          </w:p>
        </w:tc>
        <w:tc>
          <w:tcPr>
            <w:tcW w:w="12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$145,448</w:t>
            </w:r>
          </w:p>
        </w:tc>
      </w:tr>
      <w:tr>
        <w:trPr>
          <w:trHeight w:val="399"/>
        </w:trPr>
        <w:tc>
          <w:tcPr>
            <w:tcW w:w="2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38</w:t>
            </w:r>
          </w:p>
        </w:tc>
        <w:tc>
          <w:tcPr>
            <w:tcW w:w="9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Arial" w:cs="Arial" w:eastAsia="Arial" w:hAnsi="Arial"/>
                <w:sz w:val="18"/>
                <w:szCs w:val="18"/>
                <w:color w:val="auto"/>
              </w:rPr>
              <w:t>Year ended December 31, 2011</w:t>
            </w: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Research and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ind w:left="580"/>
              <w:spacing w:after="0" w:line="203" w:lineRule="exact"/>
              <w:rPr>
                <w:sz w:val="20"/>
                <w:szCs w:val="20"/>
                <w:color w:val="auto"/>
              </w:rPr>
            </w:pPr>
            <w:r>
              <w:rPr>
                <w:rFonts w:ascii="Arial" w:cs="Arial" w:eastAsia="Arial" w:hAnsi="Arial"/>
                <w:sz w:val="18"/>
                <w:szCs w:val="18"/>
                <w:color w:val="auto"/>
              </w:rPr>
              <w:t>Machine Clothing</w:t>
            </w:r>
          </w:p>
        </w:tc>
        <w:tc>
          <w:tcPr>
            <w:tcW w:w="15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AEC</w:t>
            </w:r>
          </w:p>
        </w:tc>
        <w:tc>
          <w:tcPr>
            <w:tcW w:w="15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Unallocated</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Total Company</w:t>
            </w:r>
          </w:p>
        </w:tc>
      </w:tr>
      <w:tr>
        <w:trPr>
          <w:trHeight w:val="195"/>
        </w:trPr>
        <w:tc>
          <w:tcPr>
            <w:tcW w:w="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Income/(loss) from continuing operations</w:t>
            </w:r>
          </w:p>
        </w:tc>
        <w:tc>
          <w:tcPr>
            <w:tcW w:w="940" w:type="dxa"/>
            <w:vAlign w:val="bottom"/>
          </w:tcPr>
          <w:p>
            <w:pPr>
              <w:ind w:left="580"/>
              <w:spacing w:after="0" w:line="195"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176,759</w:t>
            </w:r>
          </w:p>
        </w:tc>
        <w:tc>
          <w:tcPr>
            <w:tcW w:w="15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($4,204)</w:t>
            </w:r>
          </w:p>
        </w:tc>
        <w:tc>
          <w:tcPr>
            <w:tcW w:w="15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($151,289)</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21,266</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7"/>
                <w:szCs w:val="17"/>
                <w:color w:val="auto"/>
              </w:rPr>
            </w:pPr>
          </w:p>
        </w:tc>
        <w:tc>
          <w:tcPr>
            <w:tcW w:w="15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18,121</w:t>
            </w:r>
          </w:p>
        </w:tc>
        <w:tc>
          <w:tcPr>
            <w:tcW w:w="3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18,121</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expense/(benefit)</w:t>
            </w:r>
          </w:p>
        </w:tc>
        <w:tc>
          <w:tcPr>
            <w:tcW w:w="940" w:type="dxa"/>
            <w:vAlign w:val="bottom"/>
          </w:tcPr>
          <w:p>
            <w:pPr>
              <w:spacing w:after="0"/>
              <w:rPr>
                <w:sz w:val="17"/>
                <w:szCs w:val="17"/>
                <w:color w:val="auto"/>
              </w:rPr>
            </w:pPr>
          </w:p>
        </w:tc>
        <w:tc>
          <w:tcPr>
            <w:tcW w:w="15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32,582</w:t>
            </w:r>
          </w:p>
        </w:tc>
        <w:tc>
          <w:tcPr>
            <w:tcW w:w="3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32,582</w:t>
            </w:r>
          </w:p>
        </w:tc>
      </w:tr>
      <w:tr>
        <w:trPr>
          <w:trHeight w:val="203"/>
        </w:trPr>
        <w:tc>
          <w:tcPr>
            <w:tcW w:w="43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48,181</w:t>
            </w:r>
          </w:p>
        </w:tc>
        <w:tc>
          <w:tcPr>
            <w:tcW w:w="1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4,959</w:t>
            </w:r>
          </w:p>
        </w:tc>
        <w:tc>
          <w:tcPr>
            <w:tcW w:w="15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10,672</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63,812</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EBITDA from continuing operations</w:t>
            </w:r>
          </w:p>
        </w:tc>
        <w:tc>
          <w:tcPr>
            <w:tcW w:w="940" w:type="dxa"/>
            <w:vAlign w:val="bottom"/>
          </w:tcPr>
          <w:p>
            <w:pPr>
              <w:spacing w:after="0"/>
              <w:rPr>
                <w:sz w:val="16"/>
                <w:szCs w:val="16"/>
                <w:color w:val="auto"/>
              </w:rPr>
            </w:pPr>
          </w:p>
        </w:tc>
        <w:tc>
          <w:tcPr>
            <w:tcW w:w="15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224,940</w:t>
            </w:r>
          </w:p>
        </w:tc>
        <w:tc>
          <w:tcPr>
            <w:tcW w:w="150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755</w:t>
            </w:r>
          </w:p>
        </w:tc>
        <w:tc>
          <w:tcPr>
            <w:tcW w:w="15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(89,914)</w:t>
            </w:r>
          </w:p>
        </w:tc>
        <w:tc>
          <w:tcPr>
            <w:tcW w:w="300" w:type="dxa"/>
            <w:vAlign w:val="bottom"/>
          </w:tcPr>
          <w:p>
            <w:pPr>
              <w:spacing w:after="0"/>
              <w:rPr>
                <w:sz w:val="16"/>
                <w:szCs w:val="16"/>
                <w:color w:val="auto"/>
              </w:rPr>
            </w:pP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135,781</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940" w:type="dxa"/>
            <w:vAlign w:val="bottom"/>
          </w:tcPr>
          <w:p>
            <w:pPr>
              <w:spacing w:after="0"/>
              <w:rPr>
                <w:sz w:val="17"/>
                <w:szCs w:val="17"/>
                <w:color w:val="auto"/>
              </w:rPr>
            </w:pPr>
          </w:p>
        </w:tc>
        <w:tc>
          <w:tcPr>
            <w:tcW w:w="15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5,680</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57</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3,580</w:t>
            </w:r>
          </w:p>
        </w:tc>
        <w:tc>
          <w:tcPr>
            <w:tcW w:w="3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9,317</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940" w:type="dxa"/>
            <w:vAlign w:val="bottom"/>
          </w:tcPr>
          <w:p>
            <w:pPr>
              <w:spacing w:after="0"/>
              <w:rPr>
                <w:sz w:val="17"/>
                <w:szCs w:val="17"/>
                <w:color w:val="auto"/>
              </w:rPr>
            </w:pPr>
          </w:p>
        </w:tc>
        <w:tc>
          <w:tcPr>
            <w:tcW w:w="15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(2,685)</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w:t>
            </w: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(2,761)</w:t>
            </w:r>
          </w:p>
        </w:tc>
      </w:tr>
      <w:tr>
        <w:trPr>
          <w:trHeight w:val="203"/>
        </w:trPr>
        <w:tc>
          <w:tcPr>
            <w:tcW w:w="43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(Gain) on sale of former manufacturing facilities</w:t>
            </w:r>
          </w:p>
        </w:tc>
        <w:tc>
          <w:tcPr>
            <w:tcW w:w="9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(1,008)</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(1,008)</w:t>
            </w:r>
          </w:p>
        </w:tc>
      </w:tr>
      <w:tr>
        <w:trPr>
          <w:trHeight w:val="196"/>
        </w:trPr>
        <w:tc>
          <w:tcPr>
            <w:tcW w:w="4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from continuing operations</w:t>
            </w:r>
          </w:p>
        </w:tc>
        <w:tc>
          <w:tcPr>
            <w:tcW w:w="940" w:type="dxa"/>
            <w:vAlign w:val="bottom"/>
            <w:tcBorders>
              <w:bottom w:val="single" w:sz="8" w:color="auto"/>
            </w:tcBorders>
          </w:tcPr>
          <w:p>
            <w:pPr>
              <w:ind w:left="58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227,935</w:t>
            </w:r>
          </w:p>
        </w:tc>
        <w:tc>
          <w:tcPr>
            <w:tcW w:w="1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$813</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($87,419)</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141,329</w:t>
            </w:r>
          </w:p>
        </w:tc>
      </w:tr>
      <w:tr>
        <w:trPr>
          <w:trHeight w:val="439"/>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9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398"/>
        </w:trPr>
        <w:tc>
          <w:tcPr>
            <w:tcW w:w="4360" w:type="dxa"/>
            <w:vAlign w:val="bottom"/>
            <w:gridSpan w:val="2"/>
          </w:tcPr>
          <w:p>
            <w:pPr>
              <w:spacing w:after="0"/>
              <w:rPr>
                <w:sz w:val="20"/>
                <w:szCs w:val="20"/>
                <w:color w:val="auto"/>
              </w:rPr>
            </w:pPr>
            <w:r>
              <w:rPr>
                <w:rFonts w:ascii="Arial" w:cs="Arial" w:eastAsia="Arial" w:hAnsi="Arial"/>
                <w:sz w:val="18"/>
                <w:szCs w:val="18"/>
                <w:color w:val="auto"/>
              </w:rPr>
              <w:t>Year ended December 31, 2010</w:t>
            </w: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Research and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ind w:left="580"/>
              <w:spacing w:after="0" w:line="203" w:lineRule="exact"/>
              <w:rPr>
                <w:sz w:val="20"/>
                <w:szCs w:val="20"/>
                <w:color w:val="auto"/>
              </w:rPr>
            </w:pPr>
            <w:r>
              <w:rPr>
                <w:rFonts w:ascii="Arial" w:cs="Arial" w:eastAsia="Arial" w:hAnsi="Arial"/>
                <w:sz w:val="18"/>
                <w:szCs w:val="18"/>
                <w:color w:val="auto"/>
              </w:rPr>
              <w:t>Machine Clothing</w:t>
            </w:r>
          </w:p>
        </w:tc>
        <w:tc>
          <w:tcPr>
            <w:tcW w:w="15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AEC</w:t>
            </w:r>
          </w:p>
        </w:tc>
        <w:tc>
          <w:tcPr>
            <w:tcW w:w="15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Unallocated</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Total Company</w:t>
            </w:r>
          </w:p>
        </w:tc>
      </w:tr>
      <w:tr>
        <w:trPr>
          <w:trHeight w:val="195"/>
        </w:trPr>
        <w:tc>
          <w:tcPr>
            <w:tcW w:w="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Income/(loss) from continuing operations</w:t>
            </w:r>
          </w:p>
        </w:tc>
        <w:tc>
          <w:tcPr>
            <w:tcW w:w="940" w:type="dxa"/>
            <w:vAlign w:val="bottom"/>
          </w:tcPr>
          <w:p>
            <w:pPr>
              <w:ind w:left="580"/>
              <w:spacing w:after="0" w:line="195"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165,662</w:t>
            </w:r>
          </w:p>
        </w:tc>
        <w:tc>
          <w:tcPr>
            <w:tcW w:w="15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($9,176)</w:t>
            </w:r>
          </w:p>
        </w:tc>
        <w:tc>
          <w:tcPr>
            <w:tcW w:w="15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($129,063)</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27,423</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7"/>
                <w:szCs w:val="17"/>
                <w:color w:val="auto"/>
              </w:rPr>
            </w:pPr>
          </w:p>
        </w:tc>
        <w:tc>
          <w:tcPr>
            <w:tcW w:w="15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17,240</w:t>
            </w:r>
          </w:p>
        </w:tc>
        <w:tc>
          <w:tcPr>
            <w:tcW w:w="3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17,240</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expense/(benefit)</w:t>
            </w:r>
          </w:p>
        </w:tc>
        <w:tc>
          <w:tcPr>
            <w:tcW w:w="940" w:type="dxa"/>
            <w:vAlign w:val="bottom"/>
          </w:tcPr>
          <w:p>
            <w:pPr>
              <w:spacing w:after="0"/>
              <w:rPr>
                <w:sz w:val="17"/>
                <w:szCs w:val="17"/>
                <w:color w:val="auto"/>
              </w:rPr>
            </w:pPr>
          </w:p>
        </w:tc>
        <w:tc>
          <w:tcPr>
            <w:tcW w:w="15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21,022</w:t>
            </w:r>
          </w:p>
        </w:tc>
        <w:tc>
          <w:tcPr>
            <w:tcW w:w="3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21,022</w:t>
            </w:r>
          </w:p>
        </w:tc>
      </w:tr>
      <w:tr>
        <w:trPr>
          <w:trHeight w:val="203"/>
        </w:trPr>
        <w:tc>
          <w:tcPr>
            <w:tcW w:w="43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49,036</w:t>
            </w:r>
          </w:p>
        </w:tc>
        <w:tc>
          <w:tcPr>
            <w:tcW w:w="1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4,277</w:t>
            </w:r>
          </w:p>
        </w:tc>
        <w:tc>
          <w:tcPr>
            <w:tcW w:w="15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7,131</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60,444</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EBITDA from continuing operations</w:t>
            </w:r>
          </w:p>
        </w:tc>
        <w:tc>
          <w:tcPr>
            <w:tcW w:w="940" w:type="dxa"/>
            <w:vAlign w:val="bottom"/>
          </w:tcPr>
          <w:p>
            <w:pPr>
              <w:spacing w:after="0"/>
              <w:rPr>
                <w:sz w:val="16"/>
                <w:szCs w:val="16"/>
                <w:color w:val="auto"/>
              </w:rPr>
            </w:pPr>
          </w:p>
        </w:tc>
        <w:tc>
          <w:tcPr>
            <w:tcW w:w="15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214,698</w:t>
            </w:r>
          </w:p>
        </w:tc>
        <w:tc>
          <w:tcPr>
            <w:tcW w:w="15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(4,899)</w:t>
            </w:r>
          </w:p>
        </w:tc>
        <w:tc>
          <w:tcPr>
            <w:tcW w:w="15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(83,670)</w:t>
            </w:r>
          </w:p>
        </w:tc>
        <w:tc>
          <w:tcPr>
            <w:tcW w:w="300" w:type="dxa"/>
            <w:vAlign w:val="bottom"/>
          </w:tcPr>
          <w:p>
            <w:pPr>
              <w:spacing w:after="0"/>
              <w:rPr>
                <w:sz w:val="16"/>
                <w:szCs w:val="16"/>
                <w:color w:val="auto"/>
              </w:rPr>
            </w:pP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126,129</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 net</w:t>
            </w:r>
          </w:p>
        </w:tc>
        <w:tc>
          <w:tcPr>
            <w:tcW w:w="940" w:type="dxa"/>
            <w:vAlign w:val="bottom"/>
          </w:tcPr>
          <w:p>
            <w:pPr>
              <w:spacing w:after="0"/>
              <w:rPr>
                <w:sz w:val="17"/>
                <w:szCs w:val="17"/>
                <w:color w:val="auto"/>
              </w:rPr>
            </w:pPr>
          </w:p>
        </w:tc>
        <w:tc>
          <w:tcPr>
            <w:tcW w:w="15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4,762</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930</w:t>
            </w: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(1,945)</w:t>
            </w:r>
          </w:p>
        </w:tc>
        <w:tc>
          <w:tcPr>
            <w:tcW w:w="300" w:type="dxa"/>
            <w:vAlign w:val="bottom"/>
          </w:tcPr>
          <w:p>
            <w:pPr>
              <w:spacing w:after="0"/>
              <w:rPr>
                <w:sz w:val="17"/>
                <w:szCs w:val="17"/>
                <w:color w:val="auto"/>
              </w:rPr>
            </w:pP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3,747</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940" w:type="dxa"/>
            <w:vAlign w:val="bottom"/>
          </w:tcPr>
          <w:p>
            <w:pPr>
              <w:spacing w:after="0"/>
              <w:rPr>
                <w:sz w:val="17"/>
                <w:szCs w:val="17"/>
                <w:color w:val="auto"/>
              </w:rPr>
            </w:pPr>
          </w:p>
        </w:tc>
        <w:tc>
          <w:tcPr>
            <w:tcW w:w="15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(397)</w:t>
            </w:r>
          </w:p>
        </w:tc>
        <w:tc>
          <w:tcPr>
            <w:tcW w:w="15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w:t>
            </w: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(4,620)</w:t>
            </w:r>
          </w:p>
        </w:tc>
        <w:tc>
          <w:tcPr>
            <w:tcW w:w="3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(5,010)</w:t>
            </w:r>
          </w:p>
        </w:tc>
      </w:tr>
      <w:tr>
        <w:trPr>
          <w:trHeight w:val="203"/>
        </w:trPr>
        <w:tc>
          <w:tcPr>
            <w:tcW w:w="43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(Gain) on sale of former manufacturing facilities</w:t>
            </w:r>
          </w:p>
        </w:tc>
        <w:tc>
          <w:tcPr>
            <w:tcW w:w="9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(9,400)</w:t>
            </w:r>
          </w:p>
        </w:tc>
        <w:tc>
          <w:tcPr>
            <w:tcW w:w="1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(9,400)</w:t>
            </w:r>
          </w:p>
        </w:tc>
      </w:tr>
      <w:tr>
        <w:trPr>
          <w:trHeight w:val="196"/>
        </w:trPr>
        <w:tc>
          <w:tcPr>
            <w:tcW w:w="4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from continuing operations</w:t>
            </w:r>
          </w:p>
        </w:tc>
        <w:tc>
          <w:tcPr>
            <w:tcW w:w="940" w:type="dxa"/>
            <w:vAlign w:val="bottom"/>
            <w:tcBorders>
              <w:bottom w:val="single" w:sz="8" w:color="auto"/>
            </w:tcBorders>
          </w:tcPr>
          <w:p>
            <w:pPr>
              <w:ind w:left="580"/>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209,663</w:t>
            </w:r>
          </w:p>
        </w:tc>
        <w:tc>
          <w:tcPr>
            <w:tcW w:w="15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($3,962)</w:t>
            </w:r>
          </w:p>
        </w:tc>
        <w:tc>
          <w:tcPr>
            <w:tcW w:w="15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($90,235)</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115,466</w:t>
            </w:r>
          </w:p>
        </w:tc>
      </w:tr>
    </w:tbl>
    <w:p>
      <w:pPr>
        <w:spacing w:after="0" w:line="121"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We disclose certain income and expense items on a per share basis. We believe that such disclosures provide important insight into the underlying quarterly earnings and are financial performance metrics commonly used by investors. We calculate the per share amount for items included in continuing operations by using the effective tax rate utilized during the applicable reporting period and the weighted average number of shares outstanding for the period.</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70"/>
              <w:spacing w:after="0" w:line="173" w:lineRule="exact"/>
              <w:rPr>
                <w:sz w:val="20"/>
                <w:szCs w:val="20"/>
                <w:color w:val="auto"/>
              </w:rPr>
            </w:pPr>
            <w:r>
              <w:rPr>
                <w:rFonts w:ascii="Arial" w:cs="Arial" w:eastAsia="Arial" w:hAnsi="Arial"/>
                <w:sz w:val="18"/>
                <w:szCs w:val="18"/>
                <w:b w:val="1"/>
                <w:bCs w:val="1"/>
                <w:color w:val="auto"/>
                <w:w w:val="99"/>
              </w:rPr>
              <w:t>Pre tax</w:t>
            </w:r>
          </w:p>
        </w:tc>
        <w:tc>
          <w:tcPr>
            <w:tcW w:w="5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210"/>
              <w:spacing w:after="0" w:line="173" w:lineRule="exact"/>
              <w:rPr>
                <w:sz w:val="20"/>
                <w:szCs w:val="20"/>
                <w:color w:val="auto"/>
              </w:rPr>
            </w:pPr>
            <w:r>
              <w:rPr>
                <w:rFonts w:ascii="Arial" w:cs="Arial" w:eastAsia="Arial" w:hAnsi="Arial"/>
                <w:sz w:val="18"/>
                <w:szCs w:val="18"/>
                <w:b w:val="1"/>
                <w:bCs w:val="1"/>
                <w:color w:val="auto"/>
                <w:w w:val="96"/>
              </w:rPr>
              <w:t>Tax</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90"/>
              <w:spacing w:after="0" w:line="173" w:lineRule="exact"/>
              <w:rPr>
                <w:sz w:val="20"/>
                <w:szCs w:val="20"/>
                <w:color w:val="auto"/>
              </w:rPr>
            </w:pPr>
            <w:r>
              <w:rPr>
                <w:rFonts w:ascii="Arial" w:cs="Arial" w:eastAsia="Arial" w:hAnsi="Arial"/>
                <w:sz w:val="18"/>
                <w:szCs w:val="18"/>
                <w:b w:val="1"/>
                <w:bCs w:val="1"/>
                <w:color w:val="auto"/>
                <w:w w:val="98"/>
              </w:rPr>
              <w:t>After tax</w:t>
            </w:r>
          </w:p>
        </w:tc>
        <w:tc>
          <w:tcPr>
            <w:tcW w:w="14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Shares</w:t>
            </w: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50"/>
              <w:spacing w:after="0" w:line="173" w:lineRule="exact"/>
              <w:rPr>
                <w:sz w:val="20"/>
                <w:szCs w:val="20"/>
                <w:color w:val="auto"/>
              </w:rPr>
            </w:pPr>
            <w:r>
              <w:rPr>
                <w:rFonts w:ascii="Arial" w:cs="Arial" w:eastAsia="Arial" w:hAnsi="Arial"/>
                <w:sz w:val="18"/>
                <w:szCs w:val="18"/>
                <w:b w:val="1"/>
                <w:bCs w:val="1"/>
                <w:color w:val="auto"/>
                <w:w w:val="99"/>
              </w:rPr>
              <w:t>Per Share</w:t>
            </w:r>
          </w:p>
        </w:tc>
      </w:tr>
      <w:tr>
        <w:trPr>
          <w:trHeight w:val="2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2012</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Amounts</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Effect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Effect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Outstanding</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Effect</w:t>
            </w:r>
          </w:p>
        </w:tc>
      </w:tr>
      <w:tr>
        <w:trPr>
          <w:trHeight w:val="173"/>
        </w:trPr>
        <w:tc>
          <w:tcPr>
            <w:tcW w:w="3780" w:type="dxa"/>
            <w:vAlign w:val="bottom"/>
          </w:tcPr>
          <w:p>
            <w:pPr>
              <w:spacing w:after="0" w:line="173" w:lineRule="exact"/>
              <w:rPr>
                <w:sz w:val="20"/>
                <w:szCs w:val="20"/>
                <w:color w:val="auto"/>
              </w:rPr>
            </w:pPr>
            <w:r>
              <w:rPr>
                <w:rFonts w:ascii="Arial" w:cs="Arial" w:eastAsia="Arial" w:hAnsi="Arial"/>
                <w:sz w:val="18"/>
                <w:szCs w:val="18"/>
                <w:b w:val="1"/>
                <w:bCs w:val="1"/>
                <w:color w:val="auto"/>
              </w:rPr>
              <w:t>Restructuring and other, net</w:t>
            </w:r>
          </w:p>
        </w:tc>
        <w:tc>
          <w:tcPr>
            <w:tcW w:w="6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7,061</w:t>
            </w:r>
          </w:p>
        </w:tc>
        <w:tc>
          <w:tcPr>
            <w:tcW w:w="5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2,718</w:t>
            </w:r>
          </w:p>
        </w:tc>
        <w:tc>
          <w:tcPr>
            <w:tcW w:w="3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4,343</w:t>
            </w:r>
          </w:p>
        </w:tc>
        <w:tc>
          <w:tcPr>
            <w:tcW w:w="142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31,356</w:t>
            </w:r>
          </w:p>
        </w:tc>
        <w:tc>
          <w:tcPr>
            <w:tcW w:w="3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0.14</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b w:val="1"/>
                <w:bCs w:val="1"/>
                <w:color w:val="auto"/>
              </w:rPr>
              <w:t>Foreign currency revaluation gains</w:t>
            </w:r>
          </w:p>
        </w:tc>
        <w:tc>
          <w:tcPr>
            <w:tcW w:w="6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7,350</w:t>
            </w:r>
          </w:p>
        </w:tc>
        <w:tc>
          <w:tcPr>
            <w:tcW w:w="5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2,830</w:t>
            </w:r>
          </w:p>
        </w:tc>
        <w:tc>
          <w:tcPr>
            <w:tcW w:w="360" w:type="dxa"/>
            <w:vAlign w:val="bottom"/>
          </w:tcPr>
          <w:p>
            <w:pPr>
              <w:spacing w:after="0"/>
              <w:rPr>
                <w:sz w:val="17"/>
                <w:szCs w:val="17"/>
                <w:color w:val="auto"/>
              </w:rPr>
            </w:pP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4,520</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31,356</w:t>
            </w:r>
          </w:p>
        </w:tc>
        <w:tc>
          <w:tcPr>
            <w:tcW w:w="3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0.14</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b w:val="1"/>
                <w:bCs w:val="1"/>
                <w:color w:val="auto"/>
              </w:rPr>
              <w:t>Pension settlement expense</w:t>
            </w:r>
          </w:p>
        </w:tc>
        <w:tc>
          <w:tcPr>
            <w:tcW w:w="6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119,735</w:t>
            </w:r>
          </w:p>
        </w:tc>
        <w:tc>
          <w:tcPr>
            <w:tcW w:w="50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39,460</w:t>
            </w:r>
          </w:p>
        </w:tc>
        <w:tc>
          <w:tcPr>
            <w:tcW w:w="360" w:type="dxa"/>
            <w:vAlign w:val="bottom"/>
          </w:tcPr>
          <w:p>
            <w:pPr>
              <w:spacing w:after="0"/>
              <w:rPr>
                <w:sz w:val="17"/>
                <w:szCs w:val="17"/>
                <w:color w:val="auto"/>
              </w:rPr>
            </w:pP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80,275</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31,356</w:t>
            </w:r>
          </w:p>
        </w:tc>
        <w:tc>
          <w:tcPr>
            <w:tcW w:w="3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2.56</w:t>
            </w:r>
          </w:p>
        </w:tc>
      </w:tr>
      <w:tr>
        <w:trPr>
          <w:trHeight w:val="23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favorable discrete tax adjustments</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7,833</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7,833</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31,356</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0.25</w:t>
            </w:r>
          </w:p>
        </w:tc>
      </w:tr>
      <w:tr>
        <w:trPr>
          <w:trHeight w:val="446"/>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amounts)</w:t>
            </w:r>
          </w:p>
        </w:tc>
        <w:tc>
          <w:tcPr>
            <w:tcW w:w="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8"/>
              </w:rPr>
              <w:t>Pre tax</w:t>
            </w:r>
          </w:p>
        </w:tc>
        <w:tc>
          <w:tcPr>
            <w:tcW w:w="500" w:type="dxa"/>
            <w:vAlign w:val="bottom"/>
          </w:tcPr>
          <w:p>
            <w:pPr>
              <w:spacing w:after="0"/>
              <w:rPr>
                <w:sz w:val="16"/>
                <w:szCs w:val="16"/>
                <w:color w:val="auto"/>
              </w:rPr>
            </w:pPr>
          </w:p>
        </w:tc>
        <w:tc>
          <w:tcPr>
            <w:tcW w:w="108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3"/>
              </w:rPr>
              <w:t>Tax</w:t>
            </w:r>
          </w:p>
        </w:tc>
        <w:tc>
          <w:tcPr>
            <w:tcW w:w="360" w:type="dxa"/>
            <w:vAlign w:val="bottom"/>
          </w:tcPr>
          <w:p>
            <w:pPr>
              <w:spacing w:after="0"/>
              <w:rPr>
                <w:sz w:val="16"/>
                <w:szCs w:val="16"/>
                <w:color w:val="auto"/>
              </w:rPr>
            </w:pPr>
          </w:p>
        </w:tc>
        <w:tc>
          <w:tcPr>
            <w:tcW w:w="1160" w:type="dxa"/>
            <w:vAlign w:val="bottom"/>
          </w:tcPr>
          <w:p>
            <w:pPr>
              <w:jc w:val="center"/>
              <w:ind w:right="190"/>
              <w:spacing w:after="0" w:line="195" w:lineRule="exact"/>
              <w:rPr>
                <w:sz w:val="20"/>
                <w:szCs w:val="20"/>
                <w:color w:val="auto"/>
              </w:rPr>
            </w:pPr>
            <w:r>
              <w:rPr>
                <w:rFonts w:ascii="Arial" w:cs="Arial" w:eastAsia="Arial" w:hAnsi="Arial"/>
                <w:sz w:val="18"/>
                <w:szCs w:val="18"/>
                <w:color w:val="auto"/>
              </w:rPr>
              <w:t>After tax</w:t>
            </w: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8"/>
              </w:rPr>
              <w:t>Shares</w:t>
            </w:r>
          </w:p>
        </w:tc>
        <w:tc>
          <w:tcPr>
            <w:tcW w:w="30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8"/>
              </w:rPr>
              <w:t>Per Share</w:t>
            </w:r>
          </w:p>
        </w:tc>
      </w:tr>
      <w:tr>
        <w:trPr>
          <w:trHeight w:val="203"/>
        </w:trPr>
        <w:tc>
          <w:tcPr>
            <w:tcW w:w="37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Year ended December 31, 2011</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rPr>
              <w:t>Amounts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10"/>
              <w:spacing w:after="0" w:line="203" w:lineRule="exact"/>
              <w:rPr>
                <w:sz w:val="20"/>
                <w:szCs w:val="20"/>
                <w:color w:val="auto"/>
              </w:rPr>
            </w:pPr>
            <w:r>
              <w:rPr>
                <w:rFonts w:ascii="Arial" w:cs="Arial" w:eastAsia="Arial" w:hAnsi="Arial"/>
                <w:sz w:val="18"/>
                <w:szCs w:val="18"/>
                <w:color w:val="auto"/>
                <w:w w:val="99"/>
              </w:rPr>
              <w:t>Effect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70"/>
              <w:spacing w:after="0" w:line="203" w:lineRule="exact"/>
              <w:rPr>
                <w:sz w:val="20"/>
                <w:szCs w:val="20"/>
                <w:color w:val="auto"/>
              </w:rPr>
            </w:pPr>
            <w:r>
              <w:rPr>
                <w:rFonts w:ascii="Arial" w:cs="Arial" w:eastAsia="Arial" w:hAnsi="Arial"/>
                <w:sz w:val="18"/>
                <w:szCs w:val="18"/>
                <w:color w:val="auto"/>
                <w:w w:val="99"/>
              </w:rPr>
              <w:t>Effect</w:t>
            </w:r>
          </w:p>
        </w:tc>
        <w:tc>
          <w:tcPr>
            <w:tcW w:w="14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Outstanding</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0"/>
              <w:spacing w:after="0" w:line="203" w:lineRule="exact"/>
              <w:rPr>
                <w:sz w:val="20"/>
                <w:szCs w:val="20"/>
                <w:color w:val="auto"/>
              </w:rPr>
            </w:pPr>
            <w:r>
              <w:rPr>
                <w:rFonts w:ascii="Arial" w:cs="Arial" w:eastAsia="Arial" w:hAnsi="Arial"/>
                <w:sz w:val="18"/>
                <w:szCs w:val="18"/>
                <w:color w:val="auto"/>
                <w:w w:val="95"/>
              </w:rPr>
              <w:t>Effect</w:t>
            </w:r>
          </w:p>
        </w:tc>
      </w:tr>
      <w:tr>
        <w:trPr>
          <w:trHeight w:val="195"/>
        </w:trPr>
        <w:tc>
          <w:tcPr>
            <w:tcW w:w="378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9,317</w:t>
            </w:r>
          </w:p>
        </w:tc>
        <w:tc>
          <w:tcPr>
            <w:tcW w:w="5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3,084</w:t>
            </w: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6,233</w:t>
            </w:r>
          </w:p>
        </w:tc>
        <w:tc>
          <w:tcPr>
            <w:tcW w:w="14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31,262</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0.20</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6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2,761</w:t>
            </w:r>
          </w:p>
        </w:tc>
        <w:tc>
          <w:tcPr>
            <w:tcW w:w="50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914</w:t>
            </w:r>
          </w:p>
        </w:tc>
        <w:tc>
          <w:tcPr>
            <w:tcW w:w="360" w:type="dxa"/>
            <w:vAlign w:val="bottom"/>
          </w:tcPr>
          <w:p>
            <w:pPr>
              <w:spacing w:after="0"/>
              <w:rPr>
                <w:sz w:val="17"/>
                <w:szCs w:val="17"/>
                <w:color w:val="auto"/>
              </w:rPr>
            </w:pP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1,847</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31,262</w:t>
            </w:r>
          </w:p>
        </w:tc>
        <w:tc>
          <w:tcPr>
            <w:tcW w:w="3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Gain on sale of buildings</w:t>
            </w:r>
          </w:p>
        </w:tc>
        <w:tc>
          <w:tcPr>
            <w:tcW w:w="6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1,008</w:t>
            </w:r>
          </w:p>
        </w:tc>
        <w:tc>
          <w:tcPr>
            <w:tcW w:w="50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334</w:t>
            </w:r>
          </w:p>
        </w:tc>
        <w:tc>
          <w:tcPr>
            <w:tcW w:w="360" w:type="dxa"/>
            <w:vAlign w:val="bottom"/>
          </w:tcPr>
          <w:p>
            <w:pPr>
              <w:spacing w:after="0"/>
              <w:rPr>
                <w:sz w:val="17"/>
                <w:szCs w:val="17"/>
                <w:color w:val="auto"/>
              </w:rPr>
            </w:pP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674</w:t>
            </w:r>
          </w:p>
        </w:tc>
        <w:tc>
          <w:tcPr>
            <w:tcW w:w="14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31,262</w:t>
            </w:r>
          </w:p>
        </w:tc>
        <w:tc>
          <w:tcPr>
            <w:tcW w:w="300" w:type="dxa"/>
            <w:vAlign w:val="bottom"/>
          </w:tcPr>
          <w:p>
            <w:pPr>
              <w:spacing w:after="0"/>
              <w:rPr>
                <w:sz w:val="17"/>
                <w:szCs w:val="17"/>
                <w:color w:val="auto"/>
              </w:rPr>
            </w:pP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r>
      <w:tr>
        <w:trPr>
          <w:trHeight w:val="210"/>
        </w:trPr>
        <w:tc>
          <w:tcPr>
            <w:tcW w:w="37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unfavorable discrete tax adjustments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14,768</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14,768</w:t>
            </w:r>
          </w:p>
        </w:tc>
        <w:tc>
          <w:tcPr>
            <w:tcW w:w="14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31,262</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0.47</w:t>
            </w:r>
          </w:p>
        </w:tc>
      </w:tr>
      <w:tr>
        <w:trPr>
          <w:trHeight w:val="405"/>
        </w:trPr>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(in thousands, except per share amounts)</w:t>
      </w:r>
    </w:p>
    <w:tbl>
      <w:tblPr>
        <w:tblLayout w:type="fixed"/>
        <w:tblInd w:w="0" w:type="dxa"/>
        <w:tblCellMar>
          <w:top w:w="0" w:type="dxa"/>
          <w:left w:w="0" w:type="dxa"/>
          <w:bottom w:w="0" w:type="dxa"/>
          <w:right w:w="0" w:type="dxa"/>
        </w:tblCellMar>
      </w:tblPr>
      <w:tr>
        <w:trPr>
          <w:trHeight w:val="195"/>
        </w:trPr>
        <w:tc>
          <w:tcPr>
            <w:tcW w:w="37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30"/>
              <w:spacing w:after="0" w:line="195" w:lineRule="exact"/>
              <w:rPr>
                <w:sz w:val="20"/>
                <w:szCs w:val="20"/>
                <w:color w:val="auto"/>
              </w:rPr>
            </w:pPr>
            <w:r>
              <w:rPr>
                <w:rFonts w:ascii="Arial" w:cs="Arial" w:eastAsia="Arial" w:hAnsi="Arial"/>
                <w:sz w:val="18"/>
                <w:szCs w:val="18"/>
                <w:color w:val="auto"/>
              </w:rPr>
              <w:t>Pre tax</w:t>
            </w:r>
          </w:p>
        </w:tc>
        <w:tc>
          <w:tcPr>
            <w:tcW w:w="4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rPr>
              <w:t>Tax</w:t>
            </w: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After tax</w:t>
            </w:r>
          </w:p>
        </w:tc>
        <w:tc>
          <w:tcPr>
            <w:tcW w:w="140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Shares</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Per Share</w:t>
            </w:r>
          </w:p>
        </w:tc>
      </w:tr>
      <w:tr>
        <w:trPr>
          <w:trHeight w:val="203"/>
        </w:trPr>
        <w:tc>
          <w:tcPr>
            <w:tcW w:w="37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Year ended December 31, 2010</w:t>
            </w: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Amounts</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Effect</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Effect</w:t>
            </w:r>
          </w:p>
        </w:tc>
        <w:tc>
          <w:tcPr>
            <w:tcW w:w="14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3760" w:type="dxa"/>
            <w:vAlign w:val="bottom"/>
          </w:tcPr>
          <w:p>
            <w:pPr>
              <w:spacing w:after="0" w:line="195" w:lineRule="exact"/>
              <w:rPr>
                <w:sz w:val="20"/>
                <w:szCs w:val="20"/>
                <w:color w:val="auto"/>
              </w:rPr>
            </w:pPr>
            <w:r>
              <w:rPr>
                <w:rFonts w:ascii="Arial" w:cs="Arial" w:eastAsia="Arial" w:hAnsi="Arial"/>
                <w:sz w:val="18"/>
                <w:szCs w:val="18"/>
                <w:color w:val="auto"/>
              </w:rPr>
              <w:t>Restructuring and other, net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3,747</w:t>
            </w:r>
          </w:p>
        </w:tc>
        <w:tc>
          <w:tcPr>
            <w:tcW w:w="4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line="195" w:lineRule="exact"/>
              <w:rPr>
                <w:sz w:val="20"/>
                <w:szCs w:val="20"/>
                <w:color w:val="auto"/>
              </w:rPr>
            </w:pPr>
            <w:r>
              <w:rPr>
                <w:rFonts w:ascii="Arial" w:cs="Arial" w:eastAsia="Arial" w:hAnsi="Arial"/>
                <w:sz w:val="18"/>
                <w:szCs w:val="18"/>
                <w:color w:val="auto"/>
              </w:rPr>
              <w:t>1,113</w:t>
            </w:r>
          </w:p>
        </w:tc>
        <w:tc>
          <w:tcPr>
            <w:tcW w:w="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2,634</w:t>
            </w:r>
          </w:p>
        </w:tc>
        <w:tc>
          <w:tcPr>
            <w:tcW w:w="14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31,072</w:t>
            </w: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0.08</w:t>
            </w: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Gain on sale of building</w:t>
            </w:r>
          </w:p>
        </w:tc>
        <w:tc>
          <w:tcPr>
            <w:tcW w:w="660" w:type="dxa"/>
            <w:vAlign w:val="bottom"/>
          </w:tcPr>
          <w:p>
            <w:pPr>
              <w:spacing w:after="0"/>
              <w:rPr>
                <w:sz w:val="17"/>
                <w:szCs w:val="17"/>
                <w:color w:val="auto"/>
              </w:rPr>
            </w:pP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9,400</w:t>
            </w:r>
          </w:p>
        </w:tc>
        <w:tc>
          <w:tcPr>
            <w:tcW w:w="42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2,792</w:t>
            </w:r>
          </w:p>
        </w:tc>
        <w:tc>
          <w:tcPr>
            <w:tcW w:w="380" w:type="dxa"/>
            <w:vAlign w:val="bottom"/>
          </w:tcPr>
          <w:p>
            <w:pPr>
              <w:spacing w:after="0"/>
              <w:rPr>
                <w:sz w:val="17"/>
                <w:szCs w:val="17"/>
                <w:color w:val="auto"/>
              </w:rPr>
            </w:pPr>
          </w:p>
        </w:tc>
        <w:tc>
          <w:tcPr>
            <w:tcW w:w="11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6,608</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31,072</w:t>
            </w:r>
          </w:p>
        </w:tc>
        <w:tc>
          <w:tcPr>
            <w:tcW w:w="3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0.21</w:t>
            </w: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660" w:type="dxa"/>
            <w:vAlign w:val="bottom"/>
          </w:tcPr>
          <w:p>
            <w:pPr>
              <w:spacing w:after="0"/>
              <w:rPr>
                <w:sz w:val="17"/>
                <w:szCs w:val="17"/>
                <w:color w:val="auto"/>
              </w:rPr>
            </w:pPr>
          </w:p>
        </w:tc>
        <w:tc>
          <w:tcPr>
            <w:tcW w:w="11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5,010</w:t>
            </w:r>
          </w:p>
        </w:tc>
        <w:tc>
          <w:tcPr>
            <w:tcW w:w="420" w:type="dxa"/>
            <w:vAlign w:val="bottom"/>
          </w:tcPr>
          <w:p>
            <w:pPr>
              <w:spacing w:after="0"/>
              <w:rPr>
                <w:sz w:val="17"/>
                <w:szCs w:val="17"/>
                <w:color w:val="auto"/>
              </w:rPr>
            </w:pPr>
          </w:p>
        </w:tc>
        <w:tc>
          <w:tcPr>
            <w:tcW w:w="10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1,488</w:t>
            </w:r>
          </w:p>
        </w:tc>
        <w:tc>
          <w:tcPr>
            <w:tcW w:w="380" w:type="dxa"/>
            <w:vAlign w:val="bottom"/>
          </w:tcPr>
          <w:p>
            <w:pPr>
              <w:spacing w:after="0"/>
              <w:rPr>
                <w:sz w:val="17"/>
                <w:szCs w:val="17"/>
                <w:color w:val="auto"/>
              </w:rPr>
            </w:pPr>
          </w:p>
        </w:tc>
        <w:tc>
          <w:tcPr>
            <w:tcW w:w="11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3,522</w:t>
            </w:r>
          </w:p>
        </w:tc>
        <w:tc>
          <w:tcPr>
            <w:tcW w:w="1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31,072</w:t>
            </w:r>
          </w:p>
        </w:tc>
        <w:tc>
          <w:tcPr>
            <w:tcW w:w="32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0.11</w:t>
            </w:r>
          </w:p>
        </w:tc>
      </w:tr>
      <w:tr>
        <w:trPr>
          <w:trHeight w:val="210"/>
        </w:trPr>
        <w:tc>
          <w:tcPr>
            <w:tcW w:w="37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unfavorable discrete tax adjustments</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6,641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6,641</w:t>
            </w:r>
          </w:p>
        </w:tc>
        <w:tc>
          <w:tcPr>
            <w:tcW w:w="14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31,072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0.21</w:t>
            </w: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7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right w:val="single" w:sz="8" w:color="auto"/>
            </w:tcBorders>
          </w:tcPr>
          <w:p>
            <w:pPr>
              <w:jc w:val="right"/>
              <w:ind w:right="151"/>
              <w:spacing w:after="0"/>
              <w:rPr>
                <w:sz w:val="20"/>
                <w:szCs w:val="20"/>
                <w:color w:val="auto"/>
              </w:rPr>
            </w:pPr>
            <w:r>
              <w:rPr>
                <w:rFonts w:ascii="Arial" w:cs="Arial" w:eastAsia="Arial" w:hAnsi="Arial"/>
                <w:sz w:val="16"/>
                <w:szCs w:val="16"/>
                <w:color w:val="auto"/>
              </w:rPr>
              <w:t>December 31, 2012</w:t>
            </w:r>
          </w:p>
        </w:tc>
        <w:tc>
          <w:tcPr>
            <w:tcW w:w="16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right w:val="single" w:sz="8" w:color="auto"/>
            </w:tcBorders>
          </w:tcPr>
          <w:p>
            <w:pPr>
              <w:jc w:val="right"/>
              <w:ind w:right="171"/>
              <w:spacing w:after="0"/>
              <w:rPr>
                <w:sz w:val="20"/>
                <w:szCs w:val="20"/>
                <w:color w:val="auto"/>
              </w:rPr>
            </w:pPr>
            <w:r>
              <w:rPr>
                <w:rFonts w:ascii="Arial" w:cs="Arial" w:eastAsia="Arial" w:hAnsi="Arial"/>
                <w:sz w:val="16"/>
                <w:szCs w:val="16"/>
                <w:color w:val="auto"/>
              </w:rPr>
              <w:t>December 31, 2011</w:t>
            </w:r>
          </w:p>
        </w:tc>
      </w:tr>
      <w:tr>
        <w:trPr>
          <w:trHeight w:val="196"/>
        </w:trPr>
        <w:tc>
          <w:tcPr>
            <w:tcW w:w="76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Notes and loans 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right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586</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right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424</w:t>
            </w:r>
          </w:p>
        </w:tc>
      </w:tr>
      <w:tr>
        <w:trPr>
          <w:trHeight w:val="196"/>
        </w:trPr>
        <w:tc>
          <w:tcPr>
            <w:tcW w:w="76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83,276</w:t>
            </w: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1,263</w:t>
            </w:r>
          </w:p>
        </w:tc>
      </w:tr>
      <w:tr>
        <w:trPr>
          <w:trHeight w:val="196"/>
        </w:trPr>
        <w:tc>
          <w:tcPr>
            <w:tcW w:w="76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235,877</w:t>
            </w: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373,125</w:t>
            </w:r>
          </w:p>
        </w:tc>
      </w:tr>
      <w:tr>
        <w:trPr>
          <w:trHeight w:val="196"/>
        </w:trPr>
        <w:tc>
          <w:tcPr>
            <w:tcW w:w="76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Total debt</w:t>
            </w: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319,739</w:t>
            </w: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rPr>
              <w:t>374,812</w:t>
            </w:r>
          </w:p>
        </w:tc>
      </w:tr>
      <w:tr>
        <w:trPr>
          <w:trHeight w:val="196"/>
        </w:trPr>
        <w:tc>
          <w:tcPr>
            <w:tcW w:w="76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190,718</w:t>
            </w: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right"/>
              <w:ind w:right="71"/>
              <w:spacing w:after="0" w:line="196" w:lineRule="exact"/>
              <w:rPr>
                <w:sz w:val="20"/>
                <w:szCs w:val="20"/>
                <w:color w:val="auto"/>
              </w:rPr>
            </w:pPr>
            <w:r>
              <w:rPr>
                <w:rFonts w:ascii="Arial" w:cs="Arial" w:eastAsia="Arial" w:hAnsi="Arial"/>
                <w:sz w:val="18"/>
                <w:szCs w:val="18"/>
                <w:color w:val="auto"/>
              </w:rPr>
              <w:t>118,909</w:t>
            </w:r>
          </w:p>
        </w:tc>
      </w:tr>
      <w:tr>
        <w:trPr>
          <w:trHeight w:val="196"/>
        </w:trPr>
        <w:tc>
          <w:tcPr>
            <w:tcW w:w="764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40" w:type="dxa"/>
            <w:vAlign w:val="bottom"/>
            <w:tcBorders>
              <w:bottom w:val="single" w:sz="8" w:color="auto"/>
              <w:right w:val="single" w:sz="8" w:color="auto"/>
            </w:tcBorders>
          </w:tcPr>
          <w:p>
            <w:pPr>
              <w:jc w:val="right"/>
              <w:ind w:right="51"/>
              <w:spacing w:after="0" w:line="196" w:lineRule="exact"/>
              <w:rPr>
                <w:sz w:val="20"/>
                <w:szCs w:val="20"/>
                <w:color w:val="auto"/>
              </w:rPr>
            </w:pPr>
            <w:r>
              <w:rPr>
                <w:rFonts w:ascii="Arial" w:cs="Arial" w:eastAsia="Arial" w:hAnsi="Arial"/>
                <w:sz w:val="18"/>
                <w:szCs w:val="18"/>
                <w:b w:val="1"/>
                <w:bCs w:val="1"/>
                <w:color w:val="auto"/>
              </w:rPr>
              <w:t>129,021</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right w:val="single" w:sz="8" w:color="auto"/>
            </w:tcBorders>
          </w:tcPr>
          <w:p>
            <w:pPr>
              <w:jc w:val="right"/>
              <w:ind w:right="71"/>
              <w:spacing w:after="0" w:line="196" w:lineRule="exact"/>
              <w:rPr>
                <w:sz w:val="20"/>
                <w:szCs w:val="20"/>
                <w:color w:val="auto"/>
              </w:rPr>
            </w:pPr>
            <w:r>
              <w:rPr>
                <w:rFonts w:ascii="Arial" w:cs="Arial" w:eastAsia="Arial" w:hAnsi="Arial"/>
                <w:sz w:val="18"/>
                <w:szCs w:val="18"/>
                <w:b w:val="1"/>
                <w:bCs w:val="1"/>
                <w:color w:val="auto"/>
              </w:rPr>
              <w:t>255,903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158" w:lineRule="exact"/>
        <w:rPr>
          <w:sz w:val="20"/>
          <w:szCs w:val="20"/>
          <w:color w:val="auto"/>
        </w:rPr>
      </w:pPr>
    </w:p>
    <w:p>
      <w:pPr>
        <w:ind w:right="260" w:firstLine="360"/>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0"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$626.2 million. The potential loss in fair value resulting from a hypothetical 10% adverse change in quoted foreign currency exchange rates amounts to $62.6 million. Furthermore, related to foreign currency transactions, we have exposure to various nonfunctional currency balances totaling $180.4 million. This amount includes, on an absolute basis, exposures to assets and liabilities held in currencies other than our local entity’s functional currency. On a net basis, we had $88.0 million of foreign currency liabilities as of December 31, 2012. As currency rates change, these nonfunctional currency balances are revalued, and the corresponding adjustment is recorded in the income statement. A hypothetical change of 10% in currency rates could result in an adjustment to the income statement of approximately $8.8 million. Actual results may differ.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635" w:right="219" w:bottom="1440" w:gutter="0" w:footer="0" w:header="0"/>
        </w:sectPr>
      </w:pPr>
    </w:p>
    <w:bookmarkStart w:id="40" w:name="page41"/>
    <w:bookmarkEnd w:id="40"/>
    <w:p>
      <w:pPr>
        <w:ind w:left="360"/>
        <w:spacing w:after="0"/>
        <w:rPr>
          <w:sz w:val="20"/>
          <w:szCs w:val="20"/>
          <w:color w:val="auto"/>
        </w:rPr>
      </w:pPr>
      <w:r>
        <w:rPr>
          <w:rFonts w:ascii="Arial" w:cs="Arial" w:eastAsia="Arial" w:hAnsi="Arial"/>
          <w:sz w:val="18"/>
          <w:szCs w:val="18"/>
          <w:color w:val="auto"/>
        </w:rPr>
        <w:t>On December 31, 2012, we had the following variable rate debt:</w:t>
      </w:r>
    </w:p>
    <w:p>
      <w:pPr>
        <w:spacing w:after="0" w:line="14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-125095</wp:posOffset>
            </wp:positionV>
            <wp:extent cx="5797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95"/>
        </w:trPr>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1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181"/>
        </w:trPr>
        <w:tc>
          <w:tcPr>
            <w:tcW w:w="684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1.30%</w:t>
            </w:r>
          </w:p>
        </w:tc>
        <w:tc>
          <w:tcPr>
            <w:tcW w:w="1120" w:type="dxa"/>
            <w:vAlign w:val="bottom"/>
          </w:tcPr>
          <w:p>
            <w:pPr>
              <w:jc w:val="right"/>
              <w:ind w:right="450"/>
              <w:spacing w:after="0" w:line="181"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1" w:lineRule="exact"/>
              <w:rPr>
                <w:sz w:val="20"/>
                <w:szCs w:val="20"/>
                <w:color w:val="auto"/>
              </w:rPr>
            </w:pPr>
            <w:r>
              <w:rPr>
                <w:rFonts w:ascii="Arial" w:cs="Arial" w:eastAsia="Arial" w:hAnsi="Arial"/>
                <w:sz w:val="18"/>
                <w:szCs w:val="18"/>
                <w:color w:val="auto"/>
              </w:rPr>
              <w:t>586</w:t>
            </w:r>
          </w:p>
        </w:tc>
      </w:tr>
      <w:tr>
        <w:trPr>
          <w:trHeight w:val="225"/>
        </w:trPr>
        <w:tc>
          <w:tcPr>
            <w:tcW w:w="68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$105.0 million fixed rate</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portion, at an end of period interest rate of 2.47% in 2012, due in 2015</w:t>
            </w:r>
          </w:p>
        </w:tc>
        <w:tc>
          <w:tcPr>
            <w:tcW w:w="1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27,000</w:t>
            </w:r>
          </w:p>
        </w:tc>
      </w:tr>
      <w:tr>
        <w:trPr>
          <w:trHeight w:val="391"/>
        </w:trPr>
        <w:tc>
          <w:tcPr>
            <w:tcW w:w="684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United States, at an average end of period rate of 3.02% in 2012, due in varying</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8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amounts through 2014</w:t>
            </w:r>
          </w:p>
        </w:tc>
        <w:tc>
          <w:tcPr>
            <w:tcW w:w="1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8,750</w:t>
            </w:r>
          </w:p>
        </w:tc>
      </w:tr>
      <w:tr>
        <w:trPr>
          <w:trHeight w:val="399"/>
        </w:trPr>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36,336</w:t>
            </w:r>
          </w:p>
        </w:tc>
      </w:tr>
    </w:tbl>
    <w:p>
      <w:pPr>
        <w:spacing w:after="0" w:line="121"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Assuming borrowings were outstanding for an entire year, an increase/decrease of one percentage point in weighted average interest rates would increase/decrease interest expense by $0.1 million. To manage interest rate risk, we may periodically enter into interest rate swap agreements to effectively fix the interest rates on variable debt to a specific rate for a period of time.</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638"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INDEX TO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w:t>
            </w:r>
          </w:p>
        </w:tc>
        <w:tc>
          <w:tcPr>
            <w:tcW w:w="2900" w:type="dxa"/>
            <w:vAlign w:val="bottom"/>
          </w:tcPr>
          <w:p>
            <w:pPr>
              <w:spacing w:after="0"/>
              <w:rPr>
                <w:sz w:val="24"/>
                <w:szCs w:val="24"/>
                <w:color w:val="auto"/>
              </w:rPr>
            </w:pPr>
          </w:p>
        </w:tc>
      </w:tr>
      <w:tr>
        <w:trPr>
          <w:trHeight w:val="217"/>
        </w:trPr>
        <w:tc>
          <w:tcPr>
            <w:tcW w:w="8520" w:type="dxa"/>
            <w:vAlign w:val="bottom"/>
          </w:tcPr>
          <w:p>
            <w:pPr>
              <w:ind w:left="500"/>
              <w:spacing w:after="0"/>
              <w:rPr>
                <w:sz w:val="20"/>
                <w:szCs w:val="20"/>
                <w:color w:val="auto"/>
              </w:rPr>
            </w:pPr>
            <w:r>
              <w:rPr>
                <w:rFonts w:ascii="Arial" w:cs="Arial" w:eastAsia="Arial" w:hAnsi="Arial"/>
                <w:sz w:val="18"/>
                <w:szCs w:val="18"/>
                <w:color w:val="auto"/>
              </w:rPr>
              <w:t>December 31, 2012, 2011, and 2010</w:t>
            </w:r>
          </w:p>
        </w:tc>
        <w:tc>
          <w:tcPr>
            <w:tcW w:w="2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w:t>
            </w:r>
          </w:p>
        </w:tc>
        <w:tc>
          <w:tcPr>
            <w:tcW w:w="2900" w:type="dxa"/>
            <w:vAlign w:val="bottom"/>
          </w:tcPr>
          <w:p>
            <w:pPr>
              <w:spacing w:after="0"/>
              <w:rPr>
                <w:sz w:val="24"/>
                <w:szCs w:val="24"/>
                <w:color w:val="auto"/>
              </w:rPr>
            </w:pPr>
          </w:p>
        </w:tc>
      </w:tr>
      <w:tr>
        <w:trPr>
          <w:trHeight w:val="217"/>
        </w:trPr>
        <w:tc>
          <w:tcPr>
            <w:tcW w:w="8520" w:type="dxa"/>
            <w:vAlign w:val="bottom"/>
          </w:tcPr>
          <w:p>
            <w:pPr>
              <w:ind w:left="500"/>
              <w:spacing w:after="0"/>
              <w:rPr>
                <w:sz w:val="20"/>
                <w:szCs w:val="20"/>
                <w:color w:val="auto"/>
              </w:rPr>
            </w:pPr>
            <w:r>
              <w:rPr>
                <w:rFonts w:ascii="Arial" w:cs="Arial" w:eastAsia="Arial" w:hAnsi="Arial"/>
                <w:sz w:val="18"/>
                <w:szCs w:val="18"/>
                <w:color w:val="auto"/>
              </w:rPr>
              <w:t>December 31, 2012, 2011, and 2010</w:t>
            </w:r>
          </w:p>
        </w:tc>
        <w:tc>
          <w:tcPr>
            <w:tcW w:w="2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520" w:type="dxa"/>
            <w:vAlign w:val="bottom"/>
          </w:tcPr>
          <w:p>
            <w:pPr>
              <w:spacing w:after="0"/>
              <w:rPr>
                <w:sz w:val="20"/>
                <w:szCs w:val="20"/>
                <w:color w:val="auto"/>
              </w:rPr>
            </w:pPr>
            <w:r>
              <w:rPr>
                <w:rFonts w:ascii="Arial" w:cs="Arial" w:eastAsia="Arial" w:hAnsi="Arial"/>
                <w:sz w:val="18"/>
                <w:szCs w:val="18"/>
                <w:color w:val="auto"/>
              </w:rPr>
              <w:t>Consolidated Balance Sheets as of December 31, 2012 and 2011</w:t>
            </w:r>
          </w:p>
        </w:tc>
        <w:tc>
          <w:tcPr>
            <w:tcW w:w="2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85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w:t>
            </w:r>
          </w:p>
        </w:tc>
        <w:tc>
          <w:tcPr>
            <w:tcW w:w="2900" w:type="dxa"/>
            <w:vAlign w:val="bottom"/>
          </w:tcPr>
          <w:p>
            <w:pPr>
              <w:spacing w:after="0"/>
              <w:rPr>
                <w:sz w:val="24"/>
                <w:szCs w:val="24"/>
                <w:color w:val="auto"/>
              </w:rPr>
            </w:pPr>
          </w:p>
        </w:tc>
      </w:tr>
      <w:tr>
        <w:trPr>
          <w:trHeight w:val="217"/>
        </w:trPr>
        <w:tc>
          <w:tcPr>
            <w:tcW w:w="8520" w:type="dxa"/>
            <w:vAlign w:val="bottom"/>
          </w:tcPr>
          <w:p>
            <w:pPr>
              <w:ind w:left="500"/>
              <w:spacing w:after="0"/>
              <w:rPr>
                <w:sz w:val="20"/>
                <w:szCs w:val="20"/>
                <w:color w:val="auto"/>
              </w:rPr>
            </w:pPr>
            <w:r>
              <w:rPr>
                <w:rFonts w:ascii="Arial" w:cs="Arial" w:eastAsia="Arial" w:hAnsi="Arial"/>
                <w:sz w:val="18"/>
                <w:szCs w:val="18"/>
                <w:color w:val="auto"/>
              </w:rPr>
              <w:t>December 31, 2012, 2011, and 2010</w:t>
            </w:r>
          </w:p>
        </w:tc>
        <w:tc>
          <w:tcPr>
            <w:tcW w:w="2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5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94"/>
        </w:trPr>
        <w:tc>
          <w:tcPr>
            <w:tcW w:w="8520" w:type="dxa"/>
            <w:vAlign w:val="bottom"/>
          </w:tcPr>
          <w:p>
            <w:pPr>
              <w:ind w:left="5620"/>
              <w:spacing w:after="0"/>
              <w:rPr>
                <w:sz w:val="20"/>
                <w:szCs w:val="20"/>
                <w:color w:val="auto"/>
              </w:rPr>
            </w:pPr>
            <w:r>
              <w:rPr>
                <w:rFonts w:ascii="Arial" w:cs="Arial" w:eastAsia="Arial" w:hAnsi="Arial"/>
                <w:sz w:val="18"/>
                <w:szCs w:val="18"/>
                <w:color w:val="auto"/>
              </w:rPr>
              <w:t>42</w:t>
            </w:r>
          </w:p>
        </w:tc>
        <w:tc>
          <w:tcPr>
            <w:tcW w:w="2900" w:type="dxa"/>
            <w:vAlign w:val="bottom"/>
          </w:tcPr>
          <w:p>
            <w:pPr>
              <w:spacing w:after="0"/>
              <w:rPr>
                <w:sz w:val="24"/>
                <w:szCs w:val="24"/>
                <w:color w:val="auto"/>
              </w:rPr>
            </w:pPr>
          </w:p>
        </w:tc>
      </w:tr>
      <w:tr>
        <w:trPr>
          <w:trHeight w:val="196"/>
        </w:trPr>
        <w:tc>
          <w:tcPr>
            <w:tcW w:w="85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42" w:name="page43"/>
    <w:bookmarkEnd w:id="42"/>
    <w:p>
      <w:pPr>
        <w:ind w:right="3200" w:firstLine="3221"/>
        <w:spacing w:after="0" w:line="43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Albany International Corp.:</w:t>
      </w:r>
    </w:p>
    <w:p>
      <w:pPr>
        <w:spacing w:after="0" w:line="1" w:lineRule="exact"/>
        <w:rPr>
          <w:sz w:val="20"/>
          <w:szCs w:val="20"/>
          <w:color w:val="auto"/>
        </w:rPr>
      </w:pPr>
    </w:p>
    <w:p>
      <w:pPr>
        <w:ind w:firstLine="360"/>
        <w:spacing w:after="0" w:line="235" w:lineRule="auto"/>
        <w:rPr>
          <w:sz w:val="20"/>
          <w:szCs w:val="20"/>
          <w:color w:val="auto"/>
        </w:rPr>
      </w:pPr>
      <w:r>
        <w:rPr>
          <w:rFonts w:ascii="Arial" w:cs="Arial" w:eastAsia="Arial" w:hAnsi="Arial"/>
          <w:sz w:val="18"/>
          <w:szCs w:val="18"/>
          <w:color w:val="auto"/>
        </w:rPr>
        <w:t xml:space="preserve">In our opinion, the consolidated financial statements listed in the accompanying index, present fairly, in all material respects, the financial position of Albany International Corp. and its subsidiaries at December 31, 2012 and 2011, and the results of their operations, comprehensive income, and their cash flows for each of the three years in the period ended December 31, 2012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0" w:lineRule="exact"/>
        <w:rPr>
          <w:sz w:val="20"/>
          <w:szCs w:val="20"/>
          <w:color w:val="auto"/>
        </w:rPr>
      </w:pPr>
    </w:p>
    <w:p>
      <w:pPr>
        <w:ind w:right="200" w:firstLine="36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4"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Albany,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Albany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rPr>
              <w:t>For the years ended December 31,</w:t>
            </w:r>
          </w:p>
        </w:tc>
        <w:tc>
          <w:tcPr>
            <w:tcW w:w="18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2"/>
        </w:trPr>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r>
      <w:tr>
        <w:trPr>
          <w:trHeight w:val="239"/>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w:t>
            </w:r>
          </w:p>
        </w:tc>
        <w:tc>
          <w:tcPr>
            <w:tcW w:w="1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66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$760,941</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$787,287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$742,887</w:t>
            </w:r>
          </w:p>
        </w:tc>
      </w:tr>
      <w:tr>
        <w:trPr>
          <w:trHeight w:val="225"/>
        </w:trPr>
        <w:tc>
          <w:tcPr>
            <w:tcW w:w="66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455,545</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473,121</w:t>
            </w:r>
          </w:p>
        </w:tc>
        <w:tc>
          <w:tcPr>
            <w:tcW w:w="1220" w:type="dxa"/>
            <w:vAlign w:val="bottom"/>
          </w:tcPr>
          <w:p>
            <w:pPr>
              <w:jc w:val="right"/>
              <w:spacing w:after="0"/>
              <w:rPr>
                <w:sz w:val="20"/>
                <w:szCs w:val="20"/>
                <w:color w:val="auto"/>
              </w:rPr>
            </w:pPr>
            <w:r>
              <w:rPr>
                <w:rFonts w:ascii="Arial" w:cs="Arial" w:eastAsia="Arial" w:hAnsi="Arial"/>
                <w:sz w:val="18"/>
                <w:szCs w:val="18"/>
                <w:color w:val="auto"/>
              </w:rPr>
              <w:t>460,914</w:t>
            </w:r>
          </w:p>
        </w:tc>
        <w:tc>
          <w:tcPr>
            <w:tcW w:w="20" w:type="dxa"/>
            <w:vAlign w:val="bottom"/>
          </w:tcPr>
          <w:p>
            <w:pPr>
              <w:spacing w:after="0"/>
              <w:rPr>
                <w:sz w:val="19"/>
                <w:szCs w:val="19"/>
                <w:color w:val="auto"/>
              </w:rPr>
            </w:pPr>
          </w:p>
        </w:tc>
      </w:tr>
      <w:tr>
        <w:trPr>
          <w:trHeight w:val="232"/>
        </w:trPr>
        <w:tc>
          <w:tcPr>
            <w:tcW w:w="6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0"/>
                <w:szCs w:val="20"/>
                <w:color w:val="auto"/>
              </w:rPr>
            </w:pPr>
          </w:p>
        </w:tc>
        <w:tc>
          <w:tcPr>
            <w:tcW w:w="18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305,396</w:t>
            </w:r>
          </w:p>
        </w:tc>
        <w:tc>
          <w:tcPr>
            <w:tcW w:w="17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314,166</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281,973</w:t>
            </w:r>
          </w:p>
        </w:tc>
        <w:tc>
          <w:tcPr>
            <w:tcW w:w="20" w:type="dxa"/>
            <w:vAlign w:val="bottom"/>
          </w:tcPr>
          <w:p>
            <w:pPr>
              <w:spacing w:after="0"/>
              <w:rPr>
                <w:sz w:val="20"/>
                <w:szCs w:val="20"/>
                <w:color w:val="auto"/>
              </w:rPr>
            </w:pPr>
          </w:p>
        </w:tc>
      </w:tr>
      <w:tr>
        <w:trPr>
          <w:trHeight w:val="346"/>
        </w:trPr>
        <w:tc>
          <w:tcPr>
            <w:tcW w:w="6660" w:type="dxa"/>
            <w:vAlign w:val="bottom"/>
            <w:gridSpan w:val="2"/>
          </w:tcPr>
          <w:p>
            <w:pPr>
              <w:spacing w:after="0"/>
              <w:rPr>
                <w:sz w:val="20"/>
                <w:szCs w:val="20"/>
                <w:color w:val="auto"/>
              </w:rPr>
            </w:pPr>
            <w:r>
              <w:rPr>
                <w:rFonts w:ascii="Arial" w:cs="Arial" w:eastAsia="Arial" w:hAnsi="Arial"/>
                <w:sz w:val="18"/>
                <w:szCs w:val="18"/>
                <w:color w:val="auto"/>
              </w:rPr>
              <w:t>Selling and general expenses</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169,774</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174,395</w:t>
            </w:r>
          </w:p>
        </w:tc>
        <w:tc>
          <w:tcPr>
            <w:tcW w:w="1220" w:type="dxa"/>
            <w:vAlign w:val="bottom"/>
          </w:tcPr>
          <w:p>
            <w:pPr>
              <w:jc w:val="right"/>
              <w:spacing w:after="0"/>
              <w:rPr>
                <w:sz w:val="20"/>
                <w:szCs w:val="20"/>
                <w:color w:val="auto"/>
              </w:rPr>
            </w:pPr>
            <w:r>
              <w:rPr>
                <w:rFonts w:ascii="Arial" w:cs="Arial" w:eastAsia="Arial" w:hAnsi="Arial"/>
                <w:sz w:val="18"/>
                <w:szCs w:val="18"/>
                <w:color w:val="auto"/>
              </w:rPr>
              <w:t>160,126</w:t>
            </w:r>
          </w:p>
        </w:tc>
        <w:tc>
          <w:tcPr>
            <w:tcW w:w="20" w:type="dxa"/>
            <w:vAlign w:val="bottom"/>
          </w:tcPr>
          <w:p>
            <w:pPr>
              <w:spacing w:after="0"/>
              <w:rPr>
                <w:sz w:val="24"/>
                <w:szCs w:val="24"/>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52,962</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55,846</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53,391</w:t>
            </w: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and other</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7,061</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9,317</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3,747</w:t>
            </w:r>
          </w:p>
        </w:tc>
        <w:tc>
          <w:tcPr>
            <w:tcW w:w="20" w:type="dxa"/>
            <w:vAlign w:val="bottom"/>
          </w:tcPr>
          <w:p>
            <w:pPr>
              <w:spacing w:after="0"/>
              <w:rPr>
                <w:sz w:val="17"/>
                <w:szCs w:val="17"/>
                <w:color w:val="auto"/>
              </w:rPr>
            </w:pPr>
          </w:p>
        </w:tc>
      </w:tr>
      <w:tr>
        <w:trPr>
          <w:trHeight w:val="225"/>
        </w:trPr>
        <w:tc>
          <w:tcPr>
            <w:tcW w:w="6660" w:type="dxa"/>
            <w:vAlign w:val="bottom"/>
            <w:gridSpan w:val="2"/>
          </w:tcPr>
          <w:p>
            <w:pPr>
              <w:spacing w:after="0"/>
              <w:rPr>
                <w:sz w:val="20"/>
                <w:szCs w:val="20"/>
                <w:color w:val="auto"/>
              </w:rPr>
            </w:pPr>
            <w:r>
              <w:rPr>
                <w:rFonts w:ascii="Arial" w:cs="Arial" w:eastAsia="Arial" w:hAnsi="Arial"/>
                <w:sz w:val="18"/>
                <w:szCs w:val="18"/>
                <w:color w:val="auto"/>
              </w:rPr>
              <w:t>Pension settlement expense</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119,735</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2"/>
        </w:trPr>
        <w:tc>
          <w:tcPr>
            <w:tcW w:w="6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(loss)/income</w:t>
            </w:r>
          </w:p>
        </w:tc>
        <w:tc>
          <w:tcPr>
            <w:tcW w:w="340" w:type="dxa"/>
            <w:vAlign w:val="bottom"/>
          </w:tcPr>
          <w:p>
            <w:pPr>
              <w:spacing w:after="0"/>
              <w:rPr>
                <w:sz w:val="20"/>
                <w:szCs w:val="20"/>
                <w:color w:val="auto"/>
              </w:rPr>
            </w:pPr>
          </w:p>
        </w:tc>
        <w:tc>
          <w:tcPr>
            <w:tcW w:w="18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(44,136)</w:t>
            </w:r>
          </w:p>
        </w:tc>
        <w:tc>
          <w:tcPr>
            <w:tcW w:w="17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74,608</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64,709</w:t>
            </w:r>
          </w:p>
        </w:tc>
        <w:tc>
          <w:tcPr>
            <w:tcW w:w="20" w:type="dxa"/>
            <w:vAlign w:val="bottom"/>
          </w:tcPr>
          <w:p>
            <w:pPr>
              <w:spacing w:after="0"/>
              <w:rPr>
                <w:sz w:val="20"/>
                <w:szCs w:val="20"/>
                <w:color w:val="auto"/>
              </w:rPr>
            </w:pPr>
          </w:p>
        </w:tc>
      </w:tr>
      <w:tr>
        <w:trPr>
          <w:trHeight w:val="346"/>
        </w:trPr>
        <w:tc>
          <w:tcPr>
            <w:tcW w:w="66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(1,517)</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(2,027)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18,118</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20,148</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18,405</w:t>
            </w:r>
          </w:p>
        </w:tc>
      </w:tr>
      <w:tr>
        <w:trPr>
          <w:trHeight w:val="225"/>
        </w:trPr>
        <w:tc>
          <w:tcPr>
            <w:tcW w:w="6660" w:type="dxa"/>
            <w:vAlign w:val="bottom"/>
            <w:gridSpan w:val="2"/>
          </w:tcPr>
          <w:p>
            <w:pPr>
              <w:spacing w:after="0"/>
              <w:rPr>
                <w:sz w:val="20"/>
                <w:szCs w:val="20"/>
                <w:color w:val="auto"/>
              </w:rPr>
            </w:pPr>
            <w:r>
              <w:rPr>
                <w:rFonts w:ascii="Arial" w:cs="Arial" w:eastAsia="Arial" w:hAnsi="Arial"/>
                <w:sz w:val="18"/>
                <w:szCs w:val="18"/>
                <w:color w:val="auto"/>
              </w:rPr>
              <w:t>Other expense/(income), net</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7,629</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2,639</w:t>
            </w:r>
          </w:p>
        </w:tc>
        <w:tc>
          <w:tcPr>
            <w:tcW w:w="1220" w:type="dxa"/>
            <w:vAlign w:val="bottom"/>
          </w:tcPr>
          <w:p>
            <w:pPr>
              <w:jc w:val="right"/>
              <w:spacing w:after="0"/>
              <w:rPr>
                <w:sz w:val="20"/>
                <w:szCs w:val="20"/>
                <w:color w:val="auto"/>
              </w:rPr>
            </w:pPr>
            <w:r>
              <w:rPr>
                <w:rFonts w:ascii="Arial" w:cs="Arial" w:eastAsia="Arial" w:hAnsi="Arial"/>
                <w:sz w:val="18"/>
                <w:szCs w:val="18"/>
                <w:color w:val="auto"/>
              </w:rPr>
              <w:t>(976)</w:t>
            </w:r>
          </w:p>
        </w:tc>
        <w:tc>
          <w:tcPr>
            <w:tcW w:w="20" w:type="dxa"/>
            <w:vAlign w:val="bottom"/>
          </w:tcPr>
          <w:p>
            <w:pPr>
              <w:spacing w:after="0"/>
              <w:rPr>
                <w:sz w:val="19"/>
                <w:szCs w:val="19"/>
                <w:color w:val="auto"/>
              </w:rPr>
            </w:pPr>
          </w:p>
        </w:tc>
      </w:tr>
      <w:tr>
        <w:trPr>
          <w:trHeight w:val="232"/>
        </w:trPr>
        <w:tc>
          <w:tcPr>
            <w:tcW w:w="6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(Loss)/income before income taxes</w:t>
            </w:r>
          </w:p>
        </w:tc>
        <w:tc>
          <w:tcPr>
            <w:tcW w:w="340" w:type="dxa"/>
            <w:vAlign w:val="bottom"/>
          </w:tcPr>
          <w:p>
            <w:pPr>
              <w:spacing w:after="0"/>
              <w:rPr>
                <w:sz w:val="20"/>
                <w:szCs w:val="20"/>
                <w:color w:val="auto"/>
              </w:rPr>
            </w:pPr>
          </w:p>
        </w:tc>
        <w:tc>
          <w:tcPr>
            <w:tcW w:w="18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(68,366)</w:t>
            </w:r>
          </w:p>
        </w:tc>
        <w:tc>
          <w:tcPr>
            <w:tcW w:w="17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53,848</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48,445</w:t>
            </w:r>
          </w:p>
        </w:tc>
        <w:tc>
          <w:tcPr>
            <w:tcW w:w="20" w:type="dxa"/>
            <w:vAlign w:val="bottom"/>
          </w:tcPr>
          <w:p>
            <w:pPr>
              <w:spacing w:after="0"/>
              <w:rPr>
                <w:sz w:val="20"/>
                <w:szCs w:val="20"/>
                <w:color w:val="auto"/>
              </w:rPr>
            </w:pPr>
          </w:p>
        </w:tc>
      </w:tr>
      <w:tr>
        <w:trPr>
          <w:trHeight w:val="369"/>
        </w:trPr>
        <w:tc>
          <w:tcPr>
            <w:tcW w:w="6660" w:type="dxa"/>
            <w:vAlign w:val="bottom"/>
            <w:gridSpan w:val="2"/>
          </w:tcPr>
          <w:p>
            <w:pPr>
              <w:spacing w:after="0"/>
              <w:rPr>
                <w:sz w:val="20"/>
                <w:szCs w:val="20"/>
                <w:color w:val="auto"/>
              </w:rPr>
            </w:pPr>
            <w:r>
              <w:rPr>
                <w:rFonts w:ascii="Arial" w:cs="Arial" w:eastAsia="Arial" w:hAnsi="Arial"/>
                <w:sz w:val="18"/>
                <w:szCs w:val="18"/>
                <w:color w:val="auto"/>
              </w:rPr>
              <w:t>Income tax (benefit)/expense</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(27,523)</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32,582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21,022</w:t>
            </w:r>
          </w:p>
        </w:tc>
      </w:tr>
      <w:tr>
        <w:trPr>
          <w:trHeight w:val="196"/>
        </w:trPr>
        <w:tc>
          <w:tcPr>
            <w:tcW w:w="6320" w:type="dxa"/>
            <w:vAlign w:val="bottom"/>
            <w:tcBorders>
              <w:top w:val="single" w:sz="8" w:color="auto"/>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(Loss)/income from continuing operations</w:t>
            </w:r>
          </w:p>
        </w:tc>
        <w:tc>
          <w:tcPr>
            <w:tcW w:w="34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(40,843)</w:t>
            </w:r>
          </w:p>
        </w:tc>
        <w:tc>
          <w:tcPr>
            <w:tcW w:w="170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21,266</w:t>
            </w:r>
          </w:p>
        </w:tc>
        <w:tc>
          <w:tcPr>
            <w:tcW w:w="12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27,423</w:t>
            </w:r>
          </w:p>
        </w:tc>
      </w:tr>
      <w:tr>
        <w:trPr>
          <w:trHeight w:val="578"/>
        </w:trPr>
        <w:tc>
          <w:tcPr>
            <w:tcW w:w="6660" w:type="dxa"/>
            <w:vAlign w:val="bottom"/>
            <w:gridSpan w:val="2"/>
          </w:tcPr>
          <w:p>
            <w:pPr>
              <w:spacing w:after="0"/>
              <w:rPr>
                <w:sz w:val="20"/>
                <w:szCs w:val="20"/>
                <w:color w:val="auto"/>
              </w:rPr>
            </w:pPr>
            <w:r>
              <w:rPr>
                <w:rFonts w:ascii="Arial" w:cs="Arial" w:eastAsia="Arial" w:hAnsi="Arial"/>
                <w:sz w:val="18"/>
                <w:szCs w:val="18"/>
                <w:color w:val="auto"/>
              </w:rPr>
              <w:t>Income from operations of discontinued businesses</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4,776</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24,101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16,073</w:t>
            </w: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discontinued businesses</w:t>
            </w:r>
          </w:p>
        </w:tc>
        <w:tc>
          <w:tcPr>
            <w:tcW w:w="184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92,296</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5"/>
        </w:trPr>
        <w:tc>
          <w:tcPr>
            <w:tcW w:w="6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25,252</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10,429</w:t>
            </w:r>
          </w:p>
        </w:tc>
        <w:tc>
          <w:tcPr>
            <w:tcW w:w="1220" w:type="dxa"/>
            <w:vAlign w:val="bottom"/>
          </w:tcPr>
          <w:p>
            <w:pPr>
              <w:jc w:val="right"/>
              <w:spacing w:after="0"/>
              <w:rPr>
                <w:sz w:val="20"/>
                <w:szCs w:val="20"/>
                <w:color w:val="auto"/>
              </w:rPr>
            </w:pPr>
            <w:r>
              <w:rPr>
                <w:rFonts w:ascii="Arial" w:cs="Arial" w:eastAsia="Arial" w:hAnsi="Arial"/>
                <w:sz w:val="18"/>
                <w:szCs w:val="18"/>
                <w:color w:val="auto"/>
              </w:rPr>
              <w:t>5,860</w:t>
            </w:r>
          </w:p>
        </w:tc>
        <w:tc>
          <w:tcPr>
            <w:tcW w:w="20" w:type="dxa"/>
            <w:vAlign w:val="bottom"/>
          </w:tcPr>
          <w:p>
            <w:pPr>
              <w:spacing w:after="0"/>
              <w:rPr>
                <w:sz w:val="19"/>
                <w:szCs w:val="19"/>
                <w:color w:val="auto"/>
              </w:rPr>
            </w:pPr>
          </w:p>
        </w:tc>
      </w:tr>
      <w:tr>
        <w:trPr>
          <w:trHeight w:val="196"/>
        </w:trPr>
        <w:tc>
          <w:tcPr>
            <w:tcW w:w="6320" w:type="dxa"/>
            <w:vAlign w:val="bottom"/>
            <w:tcBorders>
              <w:top w:val="single" w:sz="8" w:color="auto"/>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Income from discontinued operations</w:t>
            </w:r>
          </w:p>
        </w:tc>
        <w:tc>
          <w:tcPr>
            <w:tcW w:w="34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71,820</w:t>
            </w:r>
          </w:p>
        </w:tc>
        <w:tc>
          <w:tcPr>
            <w:tcW w:w="170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13,672</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10,213</w:t>
            </w:r>
          </w:p>
        </w:tc>
        <w:tc>
          <w:tcPr>
            <w:tcW w:w="20" w:type="dxa"/>
            <w:vAlign w:val="bottom"/>
          </w:tcPr>
          <w:p>
            <w:pPr>
              <w:spacing w:after="0"/>
              <w:rPr>
                <w:sz w:val="17"/>
                <w:szCs w:val="17"/>
                <w:color w:val="auto"/>
              </w:rPr>
            </w:pPr>
          </w:p>
        </w:tc>
      </w:tr>
      <w:tr>
        <w:trPr>
          <w:trHeight w:val="399"/>
        </w:trPr>
        <w:tc>
          <w:tcPr>
            <w:tcW w:w="6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$30,977</w:t>
            </w: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$34,938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$37,636</w:t>
            </w:r>
          </w:p>
        </w:tc>
        <w:tc>
          <w:tcPr>
            <w:tcW w:w="20" w:type="dxa"/>
            <w:vAlign w:val="bottom"/>
          </w:tcPr>
          <w:p>
            <w:pPr>
              <w:spacing w:after="0"/>
              <w:rPr>
                <w:sz w:val="24"/>
                <w:szCs w:val="24"/>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 Basic</w:t>
      </w:r>
    </w:p>
    <w:p>
      <w:pPr>
        <w:ind w:left="180"/>
        <w:spacing w:after="0"/>
        <w:rPr>
          <w:sz w:val="20"/>
          <w:szCs w:val="20"/>
          <w:color w:val="auto"/>
        </w:rPr>
      </w:pPr>
      <w:r>
        <w:rPr>
          <w:rFonts w:ascii="Arial" w:cs="Arial" w:eastAsia="Arial" w:hAnsi="Arial"/>
          <w:sz w:val="17"/>
          <w:szCs w:val="17"/>
          <w:color w:val="auto"/>
        </w:rPr>
        <w:t>(Loss)/income from continuing operations</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0049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0049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04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4004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jc w:val="right"/>
              <w:ind w:right="530"/>
              <w:spacing w:after="0"/>
              <w:rPr>
                <w:sz w:val="20"/>
                <w:szCs w:val="20"/>
                <w:color w:val="auto"/>
              </w:rPr>
            </w:pPr>
            <w:r>
              <w:rPr>
                <w:rFonts w:ascii="Arial" w:cs="Arial" w:eastAsia="Arial" w:hAnsi="Arial"/>
                <w:sz w:val="18"/>
                <w:szCs w:val="18"/>
                <w:b w:val="1"/>
                <w:bCs w:val="1"/>
                <w:color w:val="auto"/>
              </w:rPr>
              <w:t>($1.30)</w:t>
            </w: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$0.68</w:t>
            </w:r>
          </w:p>
        </w:tc>
        <w:tc>
          <w:tcPr>
            <w:tcW w:w="108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25"/>
        </w:trPr>
        <w:tc>
          <w:tcPr>
            <w:tcW w:w="1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2.29</w:t>
            </w:r>
          </w:p>
        </w:tc>
        <w:tc>
          <w:tcPr>
            <w:tcW w:w="17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0.44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196"/>
        </w:trPr>
        <w:tc>
          <w:tcPr>
            <w:tcW w:w="19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$0.99</w:t>
            </w:r>
          </w:p>
        </w:tc>
        <w:tc>
          <w:tcPr>
            <w:tcW w:w="17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$1.12</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940" w:space="720"/>
            <w:col w:w="4760"/>
          </w:cols>
          <w:pgMar w:left="240" w:top="104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9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($1.30)</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320" w:type="dxa"/>
            <w:vAlign w:val="bottom"/>
          </w:tcPr>
          <w:p>
            <w:pPr>
              <w:ind w:left="180"/>
              <w:spacing w:after="0" w:line="181" w:lineRule="exact"/>
              <w:rPr>
                <w:sz w:val="20"/>
                <w:szCs w:val="20"/>
                <w:color w:val="auto"/>
              </w:rPr>
            </w:pPr>
            <w:r>
              <w:rPr>
                <w:rFonts w:ascii="Arial" w:cs="Arial" w:eastAsia="Arial" w:hAnsi="Arial"/>
                <w:sz w:val="18"/>
                <w:szCs w:val="18"/>
                <w:color w:val="auto"/>
              </w:rPr>
              <w:t>(Loss)/income from continuing operations</w:t>
            </w:r>
          </w:p>
        </w:tc>
        <w:tc>
          <w:tcPr>
            <w:tcW w:w="34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700" w:type="dxa"/>
            <w:vAlign w:val="bottom"/>
          </w:tcPr>
          <w:p>
            <w:pPr>
              <w:jc w:val="right"/>
              <w:ind w:right="530"/>
              <w:spacing w:after="0" w:line="181" w:lineRule="exact"/>
              <w:rPr>
                <w:sz w:val="20"/>
                <w:szCs w:val="20"/>
                <w:color w:val="auto"/>
              </w:rPr>
            </w:pPr>
            <w:r>
              <w:rPr>
                <w:rFonts w:ascii="Arial" w:cs="Arial" w:eastAsia="Arial" w:hAnsi="Arial"/>
                <w:sz w:val="18"/>
                <w:szCs w:val="18"/>
                <w:color w:val="auto"/>
              </w:rPr>
              <w:t>$0.67</w:t>
            </w: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5"/>
        </w:trPr>
        <w:tc>
          <w:tcPr>
            <w:tcW w:w="6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9"/>
                <w:szCs w:val="19"/>
                <w:color w:val="auto"/>
              </w:rPr>
            </w:pPr>
          </w:p>
        </w:tc>
        <w:tc>
          <w:tcPr>
            <w:tcW w:w="1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2.27</w:t>
            </w:r>
          </w:p>
        </w:tc>
        <w:tc>
          <w:tcPr>
            <w:tcW w:w="17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0.44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7"/>
                <w:szCs w:val="17"/>
                <w:color w:val="auto"/>
              </w:rPr>
            </w:pPr>
          </w:p>
        </w:tc>
        <w:tc>
          <w:tcPr>
            <w:tcW w:w="19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$0.97</w:t>
            </w:r>
          </w:p>
        </w:tc>
        <w:tc>
          <w:tcPr>
            <w:tcW w:w="17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$1.11</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$0.55</w:t>
            </w:r>
          </w:p>
        </w:tc>
        <w:tc>
          <w:tcPr>
            <w:tcW w:w="17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$0.51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Due to a loss from continuing operations, year ended 2012 diluted loss per share is equal to the basic per share calculation.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t>Albany International Corp.</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Consolidated Statements of Comprehensive Income</w:t>
            </w:r>
          </w:p>
        </w:tc>
        <w:tc>
          <w:tcPr>
            <w:tcW w:w="196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For the years ended December 31,</w:t>
            </w:r>
          </w:p>
        </w:tc>
        <w:tc>
          <w:tcPr>
            <w:tcW w:w="19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2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960" w:type="dxa"/>
            <w:vAlign w:val="bottom"/>
            <w:vMerge w:val="continue"/>
          </w:tcPr>
          <w:p>
            <w:pPr>
              <w:spacing w:after="0"/>
              <w:rPr>
                <w:sz w:val="17"/>
                <w:szCs w:val="17"/>
                <w:color w:val="auto"/>
              </w:rPr>
            </w:pPr>
          </w:p>
        </w:tc>
        <w:tc>
          <w:tcPr>
            <w:tcW w:w="2040" w:type="dxa"/>
            <w:vAlign w:val="bottom"/>
          </w:tcPr>
          <w:p>
            <w:pPr>
              <w:jc w:val="right"/>
              <w:ind w:right="590"/>
              <w:spacing w:after="0" w:line="203" w:lineRule="exact"/>
              <w:rPr>
                <w:sz w:val="20"/>
                <w:szCs w:val="20"/>
                <w:color w:val="auto"/>
              </w:rPr>
            </w:pPr>
            <w:r>
              <w:rPr>
                <w:rFonts w:ascii="Arial" w:cs="Arial" w:eastAsia="Arial" w:hAnsi="Arial"/>
                <w:sz w:val="18"/>
                <w:szCs w:val="18"/>
                <w:color w:val="auto"/>
              </w:rPr>
              <w:t>2011</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Net income</w:t>
            </w:r>
          </w:p>
        </w:tc>
        <w:tc>
          <w:tcPr>
            <w:tcW w:w="1960" w:type="dxa"/>
            <w:vAlign w:val="bottom"/>
            <w:tcBorders>
              <w:top w:val="single" w:sz="8" w:color="auto"/>
            </w:tcBorders>
          </w:tcPr>
          <w:p>
            <w:pPr>
              <w:jc w:val="right"/>
              <w:ind w:right="610"/>
              <w:spacing w:after="0" w:line="195" w:lineRule="exact"/>
              <w:rPr>
                <w:sz w:val="20"/>
                <w:szCs w:val="20"/>
                <w:color w:val="auto"/>
              </w:rPr>
            </w:pPr>
            <w:r>
              <w:rPr>
                <w:rFonts w:ascii="Arial" w:cs="Arial" w:eastAsia="Arial" w:hAnsi="Arial"/>
                <w:sz w:val="18"/>
                <w:szCs w:val="18"/>
                <w:b w:val="1"/>
                <w:bCs w:val="1"/>
                <w:color w:val="auto"/>
              </w:rPr>
              <w:t>$30,977</w:t>
            </w:r>
          </w:p>
        </w:tc>
        <w:tc>
          <w:tcPr>
            <w:tcW w:w="2040" w:type="dxa"/>
            <w:vAlign w:val="bottom"/>
            <w:tcBorders>
              <w:top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$34,938</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$37,636</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9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11,865</w:t>
            </w:r>
          </w:p>
        </w:tc>
        <w:tc>
          <w:tcPr>
            <w:tcW w:w="2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40" w:type="dxa"/>
            <w:vAlign w:val="bottom"/>
          </w:tcPr>
          <w:p>
            <w:pPr>
              <w:ind w:left="320"/>
              <w:spacing w:after="0" w:line="181" w:lineRule="exact"/>
              <w:rPr>
                <w:sz w:val="20"/>
                <w:szCs w:val="20"/>
                <w:color w:val="auto"/>
              </w:rPr>
            </w:pPr>
            <w:r>
              <w:rPr>
                <w:rFonts w:ascii="Arial" w:cs="Arial" w:eastAsia="Arial" w:hAnsi="Arial"/>
                <w:sz w:val="18"/>
                <w:szCs w:val="18"/>
                <w:color w:val="auto"/>
              </w:rPr>
              <w:t>Foreign currency translation adjustments</w:t>
            </w:r>
          </w:p>
        </w:tc>
        <w:tc>
          <w:tcPr>
            <w:tcW w:w="1960" w:type="dxa"/>
            <w:vAlign w:val="bottom"/>
            <w:vMerge w:val="continue"/>
          </w:tcPr>
          <w:p>
            <w:pPr>
              <w:spacing w:after="0"/>
              <w:rPr>
                <w:sz w:val="15"/>
                <w:szCs w:val="15"/>
                <w:color w:val="auto"/>
              </w:rPr>
            </w:pPr>
          </w:p>
        </w:tc>
        <w:tc>
          <w:tcPr>
            <w:tcW w:w="2040" w:type="dxa"/>
            <w:vAlign w:val="bottom"/>
          </w:tcPr>
          <w:p>
            <w:pPr>
              <w:jc w:val="right"/>
              <w:ind w:right="590"/>
              <w:spacing w:after="0" w:line="181" w:lineRule="exact"/>
              <w:rPr>
                <w:sz w:val="20"/>
                <w:szCs w:val="20"/>
                <w:color w:val="auto"/>
              </w:rPr>
            </w:pPr>
            <w:r>
              <w:rPr>
                <w:rFonts w:ascii="Arial" w:cs="Arial" w:eastAsia="Arial" w:hAnsi="Arial"/>
                <w:sz w:val="18"/>
                <w:szCs w:val="18"/>
                <w:color w:val="auto"/>
              </w:rPr>
              <w:t>(13,070)</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(10,208)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20"/>
              <w:spacing w:after="0" w:line="202" w:lineRule="exact"/>
              <w:rPr>
                <w:sz w:val="20"/>
                <w:szCs w:val="20"/>
                <w:color w:val="auto"/>
              </w:rPr>
            </w:pPr>
            <w:r>
              <w:rPr>
                <w:rFonts w:ascii="Arial" w:cs="Arial" w:eastAsia="Arial" w:hAnsi="Arial"/>
                <w:sz w:val="18"/>
                <w:szCs w:val="18"/>
                <w:color w:val="auto"/>
              </w:rPr>
              <w:t>Pension settlement</w:t>
            </w:r>
          </w:p>
        </w:tc>
        <w:tc>
          <w:tcPr>
            <w:tcW w:w="196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118,350</w:t>
            </w:r>
          </w:p>
        </w:tc>
        <w:tc>
          <w:tcPr>
            <w:tcW w:w="20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327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Pension and postretirement plan remeasurement</w:t>
            </w:r>
          </w:p>
        </w:tc>
        <w:tc>
          <w:tcPr>
            <w:tcW w:w="1960" w:type="dxa"/>
            <w:vAlign w:val="bottom"/>
          </w:tcPr>
          <w:p>
            <w:pPr>
              <w:jc w:val="right"/>
              <w:ind w:right="610"/>
              <w:spacing w:after="0"/>
              <w:rPr>
                <w:sz w:val="20"/>
                <w:szCs w:val="20"/>
                <w:color w:val="auto"/>
              </w:rPr>
            </w:pPr>
            <w:r>
              <w:rPr>
                <w:rFonts w:ascii="Arial" w:cs="Arial" w:eastAsia="Arial" w:hAnsi="Arial"/>
                <w:sz w:val="18"/>
                <w:szCs w:val="18"/>
                <w:b w:val="1"/>
                <w:bCs w:val="1"/>
                <w:color w:val="auto"/>
              </w:rPr>
              <w:t>(48,233)</w:t>
            </w:r>
          </w:p>
        </w:tc>
        <w:tc>
          <w:tcPr>
            <w:tcW w:w="2040" w:type="dxa"/>
            <w:vAlign w:val="bottom"/>
          </w:tcPr>
          <w:p>
            <w:pPr>
              <w:jc w:val="right"/>
              <w:ind w:right="590"/>
              <w:spacing w:after="0"/>
              <w:rPr>
                <w:sz w:val="20"/>
                <w:szCs w:val="20"/>
                <w:color w:val="auto"/>
              </w:rPr>
            </w:pPr>
            <w:r>
              <w:rPr>
                <w:rFonts w:ascii="Arial" w:cs="Arial" w:eastAsia="Arial" w:hAnsi="Arial"/>
                <w:sz w:val="18"/>
                <w:szCs w:val="18"/>
                <w:color w:val="auto"/>
              </w:rPr>
              <w:t>(28,375)</w:t>
            </w:r>
          </w:p>
        </w:tc>
        <w:tc>
          <w:tcPr>
            <w:tcW w:w="1360" w:type="dxa"/>
            <w:vAlign w:val="bottom"/>
          </w:tcPr>
          <w:p>
            <w:pPr>
              <w:jc w:val="right"/>
              <w:spacing w:after="0"/>
              <w:rPr>
                <w:sz w:val="20"/>
                <w:szCs w:val="20"/>
                <w:color w:val="auto"/>
              </w:rPr>
            </w:pPr>
            <w:r>
              <w:rPr>
                <w:rFonts w:ascii="Arial" w:cs="Arial" w:eastAsia="Arial" w:hAnsi="Arial"/>
                <w:sz w:val="18"/>
                <w:szCs w:val="18"/>
                <w:color w:val="auto"/>
              </w:rPr>
              <w:t>(19,645)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2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9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79</w:t>
            </w:r>
          </w:p>
        </w:tc>
        <w:tc>
          <w:tcPr>
            <w:tcW w:w="2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40" w:type="dxa"/>
            <w:vAlign w:val="bottom"/>
          </w:tcPr>
          <w:p>
            <w:pPr>
              <w:ind w:left="480"/>
              <w:spacing w:after="0" w:line="181" w:lineRule="exact"/>
              <w:rPr>
                <w:sz w:val="20"/>
                <w:szCs w:val="20"/>
                <w:color w:val="auto"/>
              </w:rPr>
            </w:pPr>
            <w:r>
              <w:rPr>
                <w:rFonts w:ascii="Arial" w:cs="Arial" w:eastAsia="Arial" w:hAnsi="Arial"/>
                <w:sz w:val="18"/>
                <w:szCs w:val="18"/>
                <w:color w:val="auto"/>
              </w:rPr>
              <w:t>Transition obligation</w:t>
            </w:r>
          </w:p>
        </w:tc>
        <w:tc>
          <w:tcPr>
            <w:tcW w:w="1960" w:type="dxa"/>
            <w:vAlign w:val="bottom"/>
            <w:vMerge w:val="continue"/>
          </w:tcPr>
          <w:p>
            <w:pPr>
              <w:spacing w:after="0"/>
              <w:rPr>
                <w:sz w:val="15"/>
                <w:szCs w:val="15"/>
                <w:color w:val="auto"/>
              </w:rPr>
            </w:pPr>
          </w:p>
        </w:tc>
        <w:tc>
          <w:tcPr>
            <w:tcW w:w="2040" w:type="dxa"/>
            <w:vAlign w:val="bottom"/>
          </w:tcPr>
          <w:p>
            <w:pPr>
              <w:jc w:val="right"/>
              <w:ind w:right="590"/>
              <w:spacing w:after="0" w:line="181" w:lineRule="exact"/>
              <w:rPr>
                <w:sz w:val="20"/>
                <w:szCs w:val="20"/>
                <w:color w:val="auto"/>
              </w:rPr>
            </w:pPr>
            <w:r>
              <w:rPr>
                <w:rFonts w:ascii="Arial" w:cs="Arial" w:eastAsia="Arial" w:hAnsi="Arial"/>
                <w:sz w:val="18"/>
                <w:szCs w:val="18"/>
                <w:color w:val="auto"/>
              </w:rPr>
              <w:t>83</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480"/>
              <w:spacing w:after="0" w:line="202" w:lineRule="exact"/>
              <w:rPr>
                <w:sz w:val="20"/>
                <w:szCs w:val="20"/>
                <w:color w:val="auto"/>
              </w:rPr>
            </w:pPr>
            <w:r>
              <w:rPr>
                <w:rFonts w:ascii="Arial" w:cs="Arial" w:eastAsia="Arial" w:hAnsi="Arial"/>
                <w:sz w:val="18"/>
                <w:szCs w:val="18"/>
                <w:color w:val="auto"/>
              </w:rPr>
              <w:t>Prior service cost/(credit)</w:t>
            </w:r>
          </w:p>
        </w:tc>
        <w:tc>
          <w:tcPr>
            <w:tcW w:w="196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(3,631)</w:t>
            </w:r>
          </w:p>
        </w:tc>
        <w:tc>
          <w:tcPr>
            <w:tcW w:w="20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(3,629)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480"/>
              <w:spacing w:after="0" w:line="202" w:lineRule="exact"/>
              <w:rPr>
                <w:sz w:val="20"/>
                <w:szCs w:val="20"/>
                <w:color w:val="auto"/>
              </w:rPr>
            </w:pPr>
            <w:r>
              <w:rPr>
                <w:rFonts w:ascii="Arial" w:cs="Arial" w:eastAsia="Arial" w:hAnsi="Arial"/>
                <w:sz w:val="18"/>
                <w:szCs w:val="18"/>
                <w:color w:val="auto"/>
              </w:rPr>
              <w:t>Net actuarial loss</w:t>
            </w:r>
          </w:p>
        </w:tc>
        <w:tc>
          <w:tcPr>
            <w:tcW w:w="196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7,438</w:t>
            </w:r>
          </w:p>
        </w:tc>
        <w:tc>
          <w:tcPr>
            <w:tcW w:w="20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8,694</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Derivative valuation adjustment</w:t>
            </w:r>
          </w:p>
        </w:tc>
        <w:tc>
          <w:tcPr>
            <w:tcW w:w="1960" w:type="dxa"/>
            <w:vAlign w:val="bottom"/>
          </w:tcPr>
          <w:p>
            <w:pPr>
              <w:jc w:val="right"/>
              <w:ind w:right="610"/>
              <w:spacing w:after="0"/>
              <w:rPr>
                <w:sz w:val="20"/>
                <w:szCs w:val="20"/>
                <w:color w:val="auto"/>
              </w:rPr>
            </w:pPr>
            <w:r>
              <w:rPr>
                <w:rFonts w:ascii="Arial" w:cs="Arial" w:eastAsia="Arial" w:hAnsi="Arial"/>
                <w:sz w:val="18"/>
                <w:szCs w:val="18"/>
                <w:b w:val="1"/>
                <w:bCs w:val="1"/>
                <w:color w:val="auto"/>
              </w:rPr>
              <w:t>(467)</w:t>
            </w:r>
          </w:p>
        </w:tc>
        <w:tc>
          <w:tcPr>
            <w:tcW w:w="2040" w:type="dxa"/>
            <w:vAlign w:val="bottom"/>
          </w:tcPr>
          <w:p>
            <w:pPr>
              <w:jc w:val="right"/>
              <w:ind w:right="590"/>
              <w:spacing w:after="0"/>
              <w:rPr>
                <w:sz w:val="20"/>
                <w:szCs w:val="20"/>
                <w:color w:val="auto"/>
              </w:rPr>
            </w:pPr>
            <w:r>
              <w:rPr>
                <w:rFonts w:ascii="Arial" w:cs="Arial" w:eastAsia="Arial" w:hAnsi="Arial"/>
                <w:sz w:val="18"/>
                <w:szCs w:val="18"/>
                <w:color w:val="auto"/>
              </w:rPr>
              <w:t>(3,799)</w:t>
            </w:r>
          </w:p>
        </w:tc>
        <w:tc>
          <w:tcPr>
            <w:tcW w:w="136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391"/>
        </w:trPr>
        <w:tc>
          <w:tcPr>
            <w:tcW w:w="6060" w:type="dxa"/>
            <w:vAlign w:val="bottom"/>
            <w:gridSpan w:val="2"/>
          </w:tcPr>
          <w:p>
            <w:pPr>
              <w:spacing w:after="0"/>
              <w:rPr>
                <w:sz w:val="20"/>
                <w:szCs w:val="20"/>
                <w:color w:val="auto"/>
              </w:rPr>
            </w:pPr>
            <w:r>
              <w:rPr>
                <w:rFonts w:ascii="Arial" w:cs="Arial" w:eastAsia="Arial" w:hAnsi="Arial"/>
                <w:sz w:val="18"/>
                <w:szCs w:val="18"/>
                <w:color w:val="auto"/>
              </w:rPr>
              <w:t>Income taxes related to items of other comprehensive (loss)/income:</w:t>
            </w:r>
          </w:p>
        </w:tc>
        <w:tc>
          <w:tcPr>
            <w:tcW w:w="19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(39,146)</w:t>
            </w: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40" w:type="dxa"/>
            <w:vAlign w:val="bottom"/>
          </w:tcPr>
          <w:p>
            <w:pPr>
              <w:ind w:left="320"/>
              <w:spacing w:after="0" w:line="181" w:lineRule="exact"/>
              <w:rPr>
                <w:sz w:val="20"/>
                <w:szCs w:val="20"/>
                <w:color w:val="auto"/>
              </w:rPr>
            </w:pPr>
            <w:r>
              <w:rPr>
                <w:rFonts w:ascii="Arial" w:cs="Arial" w:eastAsia="Arial" w:hAnsi="Arial"/>
                <w:sz w:val="18"/>
                <w:szCs w:val="18"/>
                <w:color w:val="auto"/>
              </w:rPr>
              <w:t>Pension settlement</w:t>
            </w:r>
          </w:p>
        </w:tc>
        <w:tc>
          <w:tcPr>
            <w:tcW w:w="1960" w:type="dxa"/>
            <w:vAlign w:val="bottom"/>
            <w:vMerge w:val="continue"/>
          </w:tcPr>
          <w:p>
            <w:pPr>
              <w:spacing w:after="0"/>
              <w:rPr>
                <w:sz w:val="15"/>
                <w:szCs w:val="15"/>
                <w:color w:val="auto"/>
              </w:rPr>
            </w:pPr>
          </w:p>
        </w:tc>
        <w:tc>
          <w:tcPr>
            <w:tcW w:w="2040" w:type="dxa"/>
            <w:vAlign w:val="bottom"/>
          </w:tcPr>
          <w:p>
            <w:pPr>
              <w:jc w:val="right"/>
              <w:ind w:right="590"/>
              <w:spacing w:after="0" w:line="181" w:lineRule="exact"/>
              <w:rPr>
                <w:sz w:val="20"/>
                <w:szCs w:val="20"/>
                <w:color w:val="auto"/>
              </w:rPr>
            </w:pPr>
            <w:r>
              <w:rPr>
                <w:rFonts w:ascii="Arial" w:cs="Arial" w:eastAsia="Arial" w:hAnsi="Arial"/>
                <w:sz w:val="18"/>
                <w:szCs w:val="18"/>
                <w:color w:val="auto"/>
              </w:rPr>
              <w:t>(72)</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20"/>
              <w:spacing w:after="0" w:line="202" w:lineRule="exact"/>
              <w:rPr>
                <w:sz w:val="20"/>
                <w:szCs w:val="20"/>
                <w:color w:val="auto"/>
              </w:rPr>
            </w:pPr>
            <w:r>
              <w:rPr>
                <w:rFonts w:ascii="Arial" w:cs="Arial" w:eastAsia="Arial" w:hAnsi="Arial"/>
                <w:sz w:val="18"/>
                <w:szCs w:val="18"/>
                <w:color w:val="auto"/>
              </w:rPr>
              <w:t>Pension and postretirement plan remeasurement</w:t>
            </w:r>
          </w:p>
        </w:tc>
        <w:tc>
          <w:tcPr>
            <w:tcW w:w="196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14,711</w:t>
            </w:r>
          </w:p>
        </w:tc>
        <w:tc>
          <w:tcPr>
            <w:tcW w:w="20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6,382</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2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96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(1,360)</w:t>
            </w:r>
          </w:p>
        </w:tc>
        <w:tc>
          <w:tcPr>
            <w:tcW w:w="20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(1,159)</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Derivative valuation adjustment</w:t>
            </w:r>
          </w:p>
        </w:tc>
        <w:tc>
          <w:tcPr>
            <w:tcW w:w="1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182</w:t>
            </w:r>
          </w:p>
        </w:tc>
        <w:tc>
          <w:tcPr>
            <w:tcW w:w="2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1,481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bottom w:val="single" w:sz="8" w:color="auto"/>
            </w:tcBorders>
          </w:tcPr>
          <w:p>
            <w:pPr>
              <w:ind w:left="320"/>
              <w:spacing w:after="0" w:line="196" w:lineRule="exact"/>
              <w:rPr>
                <w:sz w:val="20"/>
                <w:szCs w:val="20"/>
                <w:color w:val="auto"/>
              </w:rPr>
            </w:pPr>
            <w:r>
              <w:rPr>
                <w:rFonts w:ascii="Arial" w:cs="Arial" w:eastAsia="Arial" w:hAnsi="Arial"/>
                <w:sz w:val="18"/>
                <w:szCs w:val="18"/>
                <w:color w:val="auto"/>
              </w:rPr>
              <w:t>Other comprehensive income/(loss), after tax</w:t>
            </w:r>
          </w:p>
        </w:tc>
        <w:tc>
          <w:tcPr>
            <w:tcW w:w="19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59,788</w:t>
            </w:r>
          </w:p>
        </w:tc>
        <w:tc>
          <w:tcPr>
            <w:tcW w:w="20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(33,137)</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Comprehensive income</w:t>
            </w:r>
          </w:p>
        </w:tc>
        <w:tc>
          <w:tcPr>
            <w:tcW w:w="19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$90,765</w:t>
            </w:r>
          </w:p>
        </w:tc>
        <w:tc>
          <w:tcPr>
            <w:tcW w:w="20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$1,801</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Albany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(in thousands, except share and per share data)</w:t>
            </w:r>
          </w:p>
        </w:tc>
        <w:tc>
          <w:tcPr>
            <w:tcW w:w="252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2012</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240" w:type="dxa"/>
            <w:vAlign w:val="bottom"/>
          </w:tcPr>
          <w:p>
            <w:pPr>
              <w:spacing w:after="0"/>
              <w:rPr>
                <w:sz w:val="20"/>
                <w:szCs w:val="20"/>
                <w:color w:val="auto"/>
              </w:rPr>
            </w:pPr>
            <w:r>
              <w:rPr>
                <w:rFonts w:ascii="Arial" w:cs="Arial" w:eastAsia="Arial" w:hAnsi="Arial"/>
                <w:sz w:val="16"/>
                <w:szCs w:val="16"/>
                <w:color w:val="auto"/>
              </w:rPr>
              <w:t>Current assets:</w:t>
            </w:r>
          </w:p>
        </w:tc>
        <w:tc>
          <w:tcPr>
            <w:tcW w:w="25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$190,718</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40" w:type="dxa"/>
            <w:vAlign w:val="bottom"/>
          </w:tcPr>
          <w:p>
            <w:pPr>
              <w:spacing w:after="0" w:line="169" w:lineRule="exact"/>
              <w:rPr>
                <w:sz w:val="20"/>
                <w:szCs w:val="20"/>
                <w:color w:val="auto"/>
              </w:rPr>
            </w:pPr>
            <w:r>
              <w:rPr>
                <w:rFonts w:ascii="Arial" w:cs="Arial" w:eastAsia="Arial" w:hAnsi="Arial"/>
                <w:sz w:val="16"/>
                <w:szCs w:val="16"/>
                <w:color w:val="auto"/>
              </w:rPr>
              <w:t>Cash and cash equivalents</w:t>
            </w:r>
          </w:p>
        </w:tc>
        <w:tc>
          <w:tcPr>
            <w:tcW w:w="2520" w:type="dxa"/>
            <w:vAlign w:val="bottom"/>
            <w:vMerge w:val="continue"/>
          </w:tcPr>
          <w:p>
            <w:pPr>
              <w:spacing w:after="0"/>
              <w:rPr>
                <w:sz w:val="14"/>
                <w:szCs w:val="14"/>
                <w:color w:val="auto"/>
              </w:rPr>
            </w:pPr>
          </w:p>
        </w:tc>
        <w:tc>
          <w:tcPr>
            <w:tcW w:w="1660" w:type="dxa"/>
            <w:vAlign w:val="bottom"/>
          </w:tcPr>
          <w:p>
            <w:pPr>
              <w:jc w:val="right"/>
              <w:spacing w:after="0" w:line="169" w:lineRule="exact"/>
              <w:rPr>
                <w:sz w:val="20"/>
                <w:szCs w:val="20"/>
                <w:color w:val="auto"/>
              </w:rPr>
            </w:pPr>
            <w:r>
              <w:rPr>
                <w:rFonts w:ascii="Arial" w:cs="Arial" w:eastAsia="Arial" w:hAnsi="Arial"/>
                <w:sz w:val="16"/>
                <w:szCs w:val="16"/>
                <w:color w:val="auto"/>
              </w:rPr>
              <w:t>$118,909</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Accounts receivable, less allowance for doubtful accounts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171,535</w:t>
            </w:r>
          </w:p>
        </w:tc>
        <w:tc>
          <w:tcPr>
            <w:tcW w:w="1660" w:type="dxa"/>
            <w:vAlign w:val="bottom"/>
          </w:tcPr>
          <w:p>
            <w:pPr>
              <w:jc w:val="right"/>
              <w:spacing w:after="0"/>
              <w:rPr>
                <w:sz w:val="20"/>
                <w:szCs w:val="20"/>
                <w:color w:val="auto"/>
              </w:rPr>
            </w:pPr>
            <w:r>
              <w:rPr>
                <w:rFonts w:ascii="Arial" w:cs="Arial" w:eastAsia="Arial" w:hAnsi="Arial"/>
                <w:sz w:val="16"/>
                <w:szCs w:val="16"/>
                <w:color w:val="auto"/>
              </w:rPr>
              <w:t>147,511</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Inventories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119,183</w:t>
            </w:r>
          </w:p>
        </w:tc>
        <w:tc>
          <w:tcPr>
            <w:tcW w:w="1660" w:type="dxa"/>
            <w:vAlign w:val="bottom"/>
          </w:tcPr>
          <w:p>
            <w:pPr>
              <w:jc w:val="right"/>
              <w:spacing w:after="0"/>
              <w:rPr>
                <w:sz w:val="20"/>
                <w:szCs w:val="20"/>
                <w:color w:val="auto"/>
              </w:rPr>
            </w:pPr>
            <w:r>
              <w:rPr>
                <w:rFonts w:ascii="Arial" w:cs="Arial" w:eastAsia="Arial" w:hAnsi="Arial"/>
                <w:sz w:val="16"/>
                <w:szCs w:val="16"/>
                <w:color w:val="auto"/>
              </w:rPr>
              <w:t>129,803</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Income taxes receivable and deferred</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20,594</w:t>
            </w:r>
          </w:p>
        </w:tc>
        <w:tc>
          <w:tcPr>
            <w:tcW w:w="1660" w:type="dxa"/>
            <w:vAlign w:val="bottom"/>
          </w:tcPr>
          <w:p>
            <w:pPr>
              <w:jc w:val="right"/>
              <w:spacing w:after="0"/>
              <w:rPr>
                <w:sz w:val="20"/>
                <w:szCs w:val="20"/>
                <w:color w:val="auto"/>
              </w:rPr>
            </w:pPr>
            <w:r>
              <w:rPr>
                <w:rFonts w:ascii="Arial" w:cs="Arial" w:eastAsia="Arial" w:hAnsi="Arial"/>
                <w:sz w:val="16"/>
                <w:szCs w:val="16"/>
                <w:color w:val="auto"/>
              </w:rPr>
              <w:t>30,010</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10,435</w:t>
            </w:r>
          </w:p>
        </w:tc>
        <w:tc>
          <w:tcPr>
            <w:tcW w:w="1660" w:type="dxa"/>
            <w:vAlign w:val="bottom"/>
          </w:tcPr>
          <w:p>
            <w:pPr>
              <w:jc w:val="right"/>
              <w:spacing w:after="0"/>
              <w:rPr>
                <w:sz w:val="20"/>
                <w:szCs w:val="20"/>
                <w:color w:val="auto"/>
              </w:rPr>
            </w:pPr>
            <w:r>
              <w:rPr>
                <w:rFonts w:ascii="Arial" w:cs="Arial" w:eastAsia="Arial" w:hAnsi="Arial"/>
                <w:sz w:val="16"/>
                <w:szCs w:val="16"/>
                <w:color w:val="auto"/>
              </w:rPr>
              <w:t>13,349</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assets of discontinued operations</w:t>
            </w:r>
          </w:p>
        </w:tc>
        <w:tc>
          <w:tcPr>
            <w:tcW w:w="2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67,351</w:t>
            </w:r>
          </w:p>
        </w:tc>
        <w:tc>
          <w:tcPr>
            <w:tcW w:w="0" w:type="dxa"/>
            <w:vAlign w:val="bottom"/>
          </w:tcPr>
          <w:p>
            <w:pPr>
              <w:spacing w:after="0"/>
              <w:rPr>
                <w:sz w:val="1"/>
                <w:szCs w:val="1"/>
                <w:color w:val="auto"/>
              </w:rPr>
            </w:pPr>
          </w:p>
        </w:tc>
      </w:tr>
      <w:tr>
        <w:trPr>
          <w:trHeight w:val="208"/>
        </w:trPr>
        <w:tc>
          <w:tcPr>
            <w:tcW w:w="72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512,465</w:t>
            </w:r>
          </w:p>
        </w:tc>
        <w:tc>
          <w:tcPr>
            <w:tcW w:w="1660" w:type="dxa"/>
            <w:vAlign w:val="bottom"/>
          </w:tcPr>
          <w:p>
            <w:pPr>
              <w:jc w:val="right"/>
              <w:spacing w:after="0"/>
              <w:rPr>
                <w:sz w:val="20"/>
                <w:szCs w:val="20"/>
                <w:color w:val="auto"/>
              </w:rPr>
            </w:pPr>
            <w:r>
              <w:rPr>
                <w:rFonts w:ascii="Arial" w:cs="Arial" w:eastAsia="Arial" w:hAnsi="Arial"/>
                <w:sz w:val="16"/>
                <w:szCs w:val="16"/>
                <w:color w:val="auto"/>
              </w:rPr>
              <w:t>506,933</w:t>
            </w:r>
          </w:p>
        </w:tc>
        <w:tc>
          <w:tcPr>
            <w:tcW w:w="0" w:type="dxa"/>
            <w:vAlign w:val="bottom"/>
          </w:tcPr>
          <w:p>
            <w:pPr>
              <w:spacing w:after="0"/>
              <w:rPr>
                <w:sz w:val="1"/>
                <w:szCs w:val="1"/>
                <w:color w:val="auto"/>
              </w:rPr>
            </w:pPr>
          </w:p>
        </w:tc>
      </w:tr>
      <w:tr>
        <w:trPr>
          <w:trHeight w:val="348"/>
        </w:trPr>
        <w:tc>
          <w:tcPr>
            <w:tcW w:w="7240" w:type="dxa"/>
            <w:vAlign w:val="bottom"/>
          </w:tcPr>
          <w:p>
            <w:pPr>
              <w:spacing w:after="0"/>
              <w:rPr>
                <w:sz w:val="20"/>
                <w:szCs w:val="20"/>
                <w:color w:val="auto"/>
              </w:rPr>
            </w:pPr>
            <w:r>
              <w:rPr>
                <w:rFonts w:ascii="Arial" w:cs="Arial" w:eastAsia="Arial" w:hAnsi="Arial"/>
                <w:sz w:val="16"/>
                <w:szCs w:val="16"/>
                <w:color w:val="auto"/>
              </w:rPr>
              <w:t>Property, plant and equipment, at cost, net</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420,154</w:t>
            </w:r>
          </w:p>
        </w:tc>
        <w:tc>
          <w:tcPr>
            <w:tcW w:w="1660" w:type="dxa"/>
            <w:vAlign w:val="bottom"/>
          </w:tcPr>
          <w:p>
            <w:pPr>
              <w:jc w:val="right"/>
              <w:spacing w:after="0"/>
              <w:rPr>
                <w:sz w:val="20"/>
                <w:szCs w:val="20"/>
                <w:color w:val="auto"/>
              </w:rPr>
            </w:pPr>
            <w:r>
              <w:rPr>
                <w:rFonts w:ascii="Arial" w:cs="Arial" w:eastAsia="Arial" w:hAnsi="Arial"/>
                <w:sz w:val="16"/>
                <w:szCs w:val="16"/>
                <w:color w:val="auto"/>
              </w:rPr>
              <w:t>438,953</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Intangibles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848</w:t>
            </w:r>
          </w:p>
        </w:tc>
        <w:tc>
          <w:tcPr>
            <w:tcW w:w="1660" w:type="dxa"/>
            <w:vAlign w:val="bottom"/>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Goodwill</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76,522</w:t>
            </w:r>
          </w:p>
        </w:tc>
        <w:tc>
          <w:tcPr>
            <w:tcW w:w="1660" w:type="dxa"/>
            <w:vAlign w:val="bottom"/>
          </w:tcPr>
          <w:p>
            <w:pPr>
              <w:jc w:val="right"/>
              <w:spacing w:after="0"/>
              <w:rPr>
                <w:sz w:val="20"/>
                <w:szCs w:val="20"/>
                <w:color w:val="auto"/>
              </w:rPr>
            </w:pPr>
            <w:r>
              <w:rPr>
                <w:rFonts w:ascii="Arial" w:cs="Arial" w:eastAsia="Arial" w:hAnsi="Arial"/>
                <w:sz w:val="16"/>
                <w:szCs w:val="16"/>
                <w:color w:val="auto"/>
              </w:rPr>
              <w:t>75,469</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Deferred taxes and taxes receivable</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123,886</w:t>
            </w:r>
          </w:p>
        </w:tc>
        <w:tc>
          <w:tcPr>
            <w:tcW w:w="1660" w:type="dxa"/>
            <w:vAlign w:val="bottom"/>
          </w:tcPr>
          <w:p>
            <w:pPr>
              <w:jc w:val="right"/>
              <w:spacing w:after="0"/>
              <w:rPr>
                <w:sz w:val="20"/>
                <w:szCs w:val="20"/>
                <w:color w:val="auto"/>
              </w:rPr>
            </w:pPr>
            <w:r>
              <w:rPr>
                <w:rFonts w:ascii="Arial" w:cs="Arial" w:eastAsia="Arial" w:hAnsi="Arial"/>
                <w:sz w:val="16"/>
                <w:szCs w:val="16"/>
                <w:color w:val="auto"/>
              </w:rPr>
              <w:t>134,644</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Other assets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22,822</w:t>
            </w:r>
          </w:p>
        </w:tc>
        <w:tc>
          <w:tcPr>
            <w:tcW w:w="1660" w:type="dxa"/>
            <w:vAlign w:val="bottom"/>
          </w:tcPr>
          <w:p>
            <w:pPr>
              <w:jc w:val="right"/>
              <w:spacing w:after="0"/>
              <w:rPr>
                <w:sz w:val="20"/>
                <w:szCs w:val="20"/>
                <w:color w:val="auto"/>
              </w:rPr>
            </w:pPr>
            <w:r>
              <w:rPr>
                <w:rFonts w:ascii="Arial" w:cs="Arial" w:eastAsia="Arial" w:hAnsi="Arial"/>
                <w:sz w:val="16"/>
                <w:szCs w:val="16"/>
                <w:color w:val="auto"/>
              </w:rPr>
              <w:t>23,383</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Noncurrent assets of discontinued operations</w:t>
            </w:r>
          </w:p>
        </w:tc>
        <w:tc>
          <w:tcPr>
            <w:tcW w:w="2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50,467</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Total assets</w:t>
            </w:r>
          </w:p>
        </w:tc>
        <w:tc>
          <w:tcPr>
            <w:tcW w:w="25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$1,156,697</w:t>
            </w: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$1,230,928</w:t>
            </w:r>
          </w:p>
        </w:tc>
        <w:tc>
          <w:tcPr>
            <w:tcW w:w="0" w:type="dxa"/>
            <w:vAlign w:val="bottom"/>
          </w:tcPr>
          <w:p>
            <w:pPr>
              <w:spacing w:after="0"/>
              <w:rPr>
                <w:sz w:val="1"/>
                <w:szCs w:val="1"/>
                <w:color w:val="auto"/>
              </w:rPr>
            </w:pPr>
          </w:p>
        </w:tc>
      </w:tr>
      <w:tr>
        <w:trPr>
          <w:trHeight w:val="406"/>
        </w:trPr>
        <w:tc>
          <w:tcPr>
            <w:tcW w:w="72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40" w:type="dxa"/>
            <w:vAlign w:val="bottom"/>
          </w:tcPr>
          <w:p>
            <w:pPr>
              <w:spacing w:after="0"/>
              <w:rPr>
                <w:sz w:val="20"/>
                <w:szCs w:val="20"/>
                <w:color w:val="auto"/>
              </w:rPr>
            </w:pPr>
            <w:r>
              <w:rPr>
                <w:rFonts w:ascii="Arial" w:cs="Arial" w:eastAsia="Arial" w:hAnsi="Arial"/>
                <w:sz w:val="16"/>
                <w:szCs w:val="16"/>
                <w:color w:val="auto"/>
              </w:rPr>
              <w:t>Current liabilities:</w:t>
            </w:r>
          </w:p>
        </w:tc>
        <w:tc>
          <w:tcPr>
            <w:tcW w:w="25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$586</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240" w:type="dxa"/>
            <w:vAlign w:val="bottom"/>
          </w:tcPr>
          <w:p>
            <w:pPr>
              <w:spacing w:after="0" w:line="169" w:lineRule="exact"/>
              <w:rPr>
                <w:sz w:val="20"/>
                <w:szCs w:val="20"/>
                <w:color w:val="auto"/>
              </w:rPr>
            </w:pPr>
            <w:r>
              <w:rPr>
                <w:rFonts w:ascii="Arial" w:cs="Arial" w:eastAsia="Arial" w:hAnsi="Arial"/>
                <w:sz w:val="16"/>
                <w:szCs w:val="16"/>
                <w:color w:val="auto"/>
              </w:rPr>
              <w:t>Notes and loans payable</w:t>
            </w:r>
          </w:p>
        </w:tc>
        <w:tc>
          <w:tcPr>
            <w:tcW w:w="2520" w:type="dxa"/>
            <w:vAlign w:val="bottom"/>
            <w:vMerge w:val="continue"/>
          </w:tcPr>
          <w:p>
            <w:pPr>
              <w:spacing w:after="0"/>
              <w:rPr>
                <w:sz w:val="14"/>
                <w:szCs w:val="14"/>
                <w:color w:val="auto"/>
              </w:rPr>
            </w:pPr>
          </w:p>
        </w:tc>
        <w:tc>
          <w:tcPr>
            <w:tcW w:w="1660" w:type="dxa"/>
            <w:vAlign w:val="bottom"/>
          </w:tcPr>
          <w:p>
            <w:pPr>
              <w:jc w:val="right"/>
              <w:spacing w:after="0" w:line="169" w:lineRule="exact"/>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Accounts payable</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35,117</w:t>
            </w:r>
          </w:p>
        </w:tc>
        <w:tc>
          <w:tcPr>
            <w:tcW w:w="1660" w:type="dxa"/>
            <w:vAlign w:val="bottom"/>
          </w:tcPr>
          <w:p>
            <w:pPr>
              <w:jc w:val="right"/>
              <w:spacing w:after="0"/>
              <w:rPr>
                <w:sz w:val="20"/>
                <w:szCs w:val="20"/>
                <w:color w:val="auto"/>
              </w:rPr>
            </w:pPr>
            <w:r>
              <w:rPr>
                <w:rFonts w:ascii="Arial" w:cs="Arial" w:eastAsia="Arial" w:hAnsi="Arial"/>
                <w:sz w:val="16"/>
                <w:szCs w:val="16"/>
                <w:color w:val="auto"/>
              </w:rPr>
              <w:t>32,708</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Accrued liabilities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103,257</w:t>
            </w:r>
          </w:p>
        </w:tc>
        <w:tc>
          <w:tcPr>
            <w:tcW w:w="1660" w:type="dxa"/>
            <w:vAlign w:val="bottom"/>
          </w:tcPr>
          <w:p>
            <w:pPr>
              <w:jc w:val="right"/>
              <w:spacing w:after="0"/>
              <w:rPr>
                <w:sz w:val="20"/>
                <w:szCs w:val="20"/>
                <w:color w:val="auto"/>
              </w:rPr>
            </w:pPr>
            <w:r>
              <w:rPr>
                <w:rFonts w:ascii="Arial" w:cs="Arial" w:eastAsia="Arial" w:hAnsi="Arial"/>
                <w:sz w:val="16"/>
                <w:szCs w:val="16"/>
                <w:color w:val="auto"/>
              </w:rPr>
              <w:t>105,104</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83,276</w:t>
            </w:r>
          </w:p>
        </w:tc>
        <w:tc>
          <w:tcPr>
            <w:tcW w:w="1660" w:type="dxa"/>
            <w:vAlign w:val="bottom"/>
          </w:tcPr>
          <w:p>
            <w:pPr>
              <w:jc w:val="right"/>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Income taxes payable and deferred</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13,552</w:t>
            </w:r>
          </w:p>
        </w:tc>
        <w:tc>
          <w:tcPr>
            <w:tcW w:w="1660" w:type="dxa"/>
            <w:vAlign w:val="bottom"/>
          </w:tcPr>
          <w:p>
            <w:pPr>
              <w:jc w:val="right"/>
              <w:spacing w:after="0"/>
              <w:rPr>
                <w:sz w:val="20"/>
                <w:szCs w:val="20"/>
                <w:color w:val="auto"/>
              </w:rPr>
            </w:pPr>
            <w:r>
              <w:rPr>
                <w:rFonts w:ascii="Arial" w:cs="Arial" w:eastAsia="Arial" w:hAnsi="Arial"/>
                <w:sz w:val="16"/>
                <w:szCs w:val="16"/>
                <w:color w:val="auto"/>
              </w:rPr>
              <w:t>8,766</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liabilities of discontinued operations</w:t>
            </w:r>
          </w:p>
        </w:tc>
        <w:tc>
          <w:tcPr>
            <w:tcW w:w="2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22,446</w:t>
            </w:r>
          </w:p>
        </w:tc>
        <w:tc>
          <w:tcPr>
            <w:tcW w:w="0" w:type="dxa"/>
            <w:vAlign w:val="bottom"/>
          </w:tcPr>
          <w:p>
            <w:pPr>
              <w:spacing w:after="0"/>
              <w:rPr>
                <w:sz w:val="1"/>
                <w:szCs w:val="1"/>
                <w:color w:val="auto"/>
              </w:rPr>
            </w:pPr>
          </w:p>
        </w:tc>
      </w:tr>
      <w:tr>
        <w:trPr>
          <w:trHeight w:val="208"/>
        </w:trPr>
        <w:tc>
          <w:tcPr>
            <w:tcW w:w="72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235,788</w:t>
            </w:r>
          </w:p>
        </w:tc>
        <w:tc>
          <w:tcPr>
            <w:tcW w:w="1660" w:type="dxa"/>
            <w:vAlign w:val="bottom"/>
          </w:tcPr>
          <w:p>
            <w:pPr>
              <w:jc w:val="right"/>
              <w:spacing w:after="0"/>
              <w:rPr>
                <w:sz w:val="20"/>
                <w:szCs w:val="20"/>
                <w:color w:val="auto"/>
              </w:rPr>
            </w:pPr>
            <w:r>
              <w:rPr>
                <w:rFonts w:ascii="Arial" w:cs="Arial" w:eastAsia="Arial" w:hAnsi="Arial"/>
                <w:sz w:val="16"/>
                <w:szCs w:val="16"/>
                <w:color w:val="auto"/>
              </w:rPr>
              <w:t>170,711</w:t>
            </w:r>
          </w:p>
        </w:tc>
        <w:tc>
          <w:tcPr>
            <w:tcW w:w="0" w:type="dxa"/>
            <w:vAlign w:val="bottom"/>
          </w:tcPr>
          <w:p>
            <w:pPr>
              <w:spacing w:after="0"/>
              <w:rPr>
                <w:sz w:val="1"/>
                <w:szCs w:val="1"/>
                <w:color w:val="auto"/>
              </w:rPr>
            </w:pPr>
          </w:p>
        </w:tc>
      </w:tr>
      <w:tr>
        <w:trPr>
          <w:trHeight w:val="348"/>
        </w:trPr>
        <w:tc>
          <w:tcPr>
            <w:tcW w:w="7240" w:type="dxa"/>
            <w:vAlign w:val="bottom"/>
          </w:tcPr>
          <w:p>
            <w:pPr>
              <w:spacing w:after="0"/>
              <w:rPr>
                <w:sz w:val="20"/>
                <w:szCs w:val="20"/>
                <w:color w:val="auto"/>
              </w:rPr>
            </w:pPr>
            <w:r>
              <w:rPr>
                <w:rFonts w:ascii="Arial" w:cs="Arial" w:eastAsia="Arial" w:hAnsi="Arial"/>
                <w:sz w:val="16"/>
                <w:szCs w:val="16"/>
                <w:color w:val="auto"/>
              </w:rPr>
              <w:t>Long-term debt</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235,877</w:t>
            </w:r>
          </w:p>
        </w:tc>
        <w:tc>
          <w:tcPr>
            <w:tcW w:w="1660" w:type="dxa"/>
            <w:vAlign w:val="bottom"/>
          </w:tcPr>
          <w:p>
            <w:pPr>
              <w:jc w:val="right"/>
              <w:spacing w:after="0"/>
              <w:rPr>
                <w:sz w:val="20"/>
                <w:szCs w:val="20"/>
                <w:color w:val="auto"/>
              </w:rPr>
            </w:pPr>
            <w:r>
              <w:rPr>
                <w:rFonts w:ascii="Arial" w:cs="Arial" w:eastAsia="Arial" w:hAnsi="Arial"/>
                <w:sz w:val="16"/>
                <w:szCs w:val="16"/>
                <w:color w:val="auto"/>
              </w:rPr>
              <w:t>373,125</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136,012</w:t>
            </w:r>
          </w:p>
        </w:tc>
        <w:tc>
          <w:tcPr>
            <w:tcW w:w="1660" w:type="dxa"/>
            <w:vAlign w:val="bottom"/>
          </w:tcPr>
          <w:p>
            <w:pPr>
              <w:jc w:val="right"/>
              <w:spacing w:after="0"/>
              <w:rPr>
                <w:sz w:val="20"/>
                <w:szCs w:val="20"/>
                <w:color w:val="auto"/>
              </w:rPr>
            </w:pPr>
            <w:r>
              <w:rPr>
                <w:rFonts w:ascii="Arial" w:cs="Arial" w:eastAsia="Arial" w:hAnsi="Arial"/>
                <w:sz w:val="16"/>
                <w:szCs w:val="16"/>
                <w:color w:val="auto"/>
              </w:rPr>
              <w:t>185,596</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Deferred taxes and other credits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55,509</w:t>
            </w:r>
          </w:p>
        </w:tc>
        <w:tc>
          <w:tcPr>
            <w:tcW w:w="1660" w:type="dxa"/>
            <w:vAlign w:val="bottom"/>
          </w:tcPr>
          <w:p>
            <w:pPr>
              <w:jc w:val="right"/>
              <w:spacing w:after="0"/>
              <w:rPr>
                <w:sz w:val="20"/>
                <w:szCs w:val="20"/>
                <w:color w:val="auto"/>
              </w:rPr>
            </w:pPr>
            <w:r>
              <w:rPr>
                <w:rFonts w:ascii="Arial" w:cs="Arial" w:eastAsia="Arial" w:hAnsi="Arial"/>
                <w:sz w:val="16"/>
                <w:szCs w:val="16"/>
                <w:color w:val="auto"/>
              </w:rPr>
              <w:t>71,529</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Noncurrent liabilities of discontinued operations</w:t>
            </w:r>
          </w:p>
        </w:tc>
        <w:tc>
          <w:tcPr>
            <w:tcW w:w="2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14,117</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Total liabilities</w:t>
            </w:r>
          </w:p>
        </w:tc>
        <w:tc>
          <w:tcPr>
            <w:tcW w:w="25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663,186</w:t>
            </w: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815,078</w:t>
            </w:r>
          </w:p>
        </w:tc>
        <w:tc>
          <w:tcPr>
            <w:tcW w:w="0" w:type="dxa"/>
            <w:vAlign w:val="bottom"/>
          </w:tcPr>
          <w:p>
            <w:pPr>
              <w:spacing w:after="0"/>
              <w:rPr>
                <w:sz w:val="1"/>
                <w:szCs w:val="1"/>
                <w:color w:val="auto"/>
              </w:rPr>
            </w:pPr>
          </w:p>
        </w:tc>
      </w:tr>
      <w:tr>
        <w:trPr>
          <w:trHeight w:val="393"/>
        </w:trPr>
        <w:tc>
          <w:tcPr>
            <w:tcW w:w="724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0"/>
        </w:trPr>
        <w:tc>
          <w:tcPr>
            <w:tcW w:w="72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5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200"/>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2520" w:type="dxa"/>
            <w:vAlign w:val="bottom"/>
            <w:vMerge w:val="continue"/>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240" w:type="dxa"/>
            <w:vAlign w:val="bottom"/>
          </w:tcPr>
          <w:p>
            <w:pPr>
              <w:ind w:left="200"/>
              <w:spacing w:after="0"/>
              <w:rPr>
                <w:sz w:val="20"/>
                <w:szCs w:val="20"/>
                <w:color w:val="auto"/>
              </w:rPr>
            </w:pPr>
            <w:r>
              <w:rPr>
                <w:rFonts w:ascii="Arial" w:cs="Arial" w:eastAsia="Arial" w:hAnsi="Arial"/>
                <w:sz w:val="16"/>
                <w:szCs w:val="16"/>
                <w:color w:val="auto"/>
              </w:rPr>
              <w:t>Class A Common Stock, par value $.001 per share; authorized 100,000,000 shares;</w:t>
            </w:r>
          </w:p>
        </w:tc>
        <w:tc>
          <w:tcPr>
            <w:tcW w:w="25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37</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380"/>
              <w:spacing w:after="0"/>
              <w:rPr>
                <w:sz w:val="20"/>
                <w:szCs w:val="20"/>
                <w:color w:val="auto"/>
              </w:rPr>
            </w:pPr>
            <w:r>
              <w:rPr>
                <w:rFonts w:ascii="Arial" w:cs="Arial" w:eastAsia="Arial" w:hAnsi="Arial"/>
                <w:sz w:val="16"/>
                <w:szCs w:val="16"/>
                <w:color w:val="auto"/>
              </w:rPr>
              <w:t>issued 36,642,204 in 2012 and 36,540,842 in 2011</w:t>
            </w:r>
          </w:p>
        </w:tc>
        <w:tc>
          <w:tcPr>
            <w:tcW w:w="2520" w:type="dxa"/>
            <w:vAlign w:val="bottom"/>
            <w:vMerge w:val="continue"/>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7240" w:type="dxa"/>
            <w:vAlign w:val="bottom"/>
          </w:tcPr>
          <w:p>
            <w:pPr>
              <w:ind w:left="200"/>
              <w:spacing w:after="0"/>
              <w:rPr>
                <w:sz w:val="20"/>
                <w:szCs w:val="20"/>
                <w:color w:val="auto"/>
              </w:rPr>
            </w:pPr>
            <w:r>
              <w:rPr>
                <w:rFonts w:ascii="Arial" w:cs="Arial" w:eastAsia="Arial" w:hAnsi="Arial"/>
                <w:sz w:val="16"/>
                <w:szCs w:val="16"/>
                <w:color w:val="auto"/>
              </w:rPr>
              <w:t>Class B Common Stock, par value $.001 per share; authorized 25,000,000 shares;</w:t>
            </w:r>
          </w:p>
        </w:tc>
        <w:tc>
          <w:tcPr>
            <w:tcW w:w="25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3</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40" w:type="dxa"/>
            <w:vAlign w:val="bottom"/>
          </w:tcPr>
          <w:p>
            <w:pPr>
              <w:ind w:left="380"/>
              <w:spacing w:after="0" w:line="169" w:lineRule="exact"/>
              <w:rPr>
                <w:sz w:val="20"/>
                <w:szCs w:val="20"/>
                <w:color w:val="auto"/>
              </w:rPr>
            </w:pPr>
            <w:r>
              <w:rPr>
                <w:rFonts w:ascii="Arial" w:cs="Arial" w:eastAsia="Arial" w:hAnsi="Arial"/>
                <w:sz w:val="16"/>
                <w:szCs w:val="16"/>
                <w:color w:val="auto"/>
              </w:rPr>
              <w:t>issued and outstanding 3,236,098 in 2012 and 2011</w:t>
            </w:r>
          </w:p>
        </w:tc>
        <w:tc>
          <w:tcPr>
            <w:tcW w:w="2520" w:type="dxa"/>
            <w:vAlign w:val="bottom"/>
            <w:vMerge w:val="continue"/>
          </w:tcPr>
          <w:p>
            <w:pPr>
              <w:spacing w:after="0"/>
              <w:rPr>
                <w:sz w:val="14"/>
                <w:szCs w:val="14"/>
                <w:color w:val="auto"/>
              </w:rPr>
            </w:pPr>
          </w:p>
        </w:tc>
        <w:tc>
          <w:tcPr>
            <w:tcW w:w="1660" w:type="dxa"/>
            <w:vAlign w:val="bottom"/>
          </w:tcPr>
          <w:p>
            <w:pPr>
              <w:jc w:val="right"/>
              <w:spacing w:after="0" w:line="169"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395,381</w:t>
            </w:r>
          </w:p>
        </w:tc>
        <w:tc>
          <w:tcPr>
            <w:tcW w:w="1660" w:type="dxa"/>
            <w:vAlign w:val="bottom"/>
          </w:tcPr>
          <w:p>
            <w:pPr>
              <w:jc w:val="right"/>
              <w:spacing w:after="0"/>
              <w:rPr>
                <w:sz w:val="20"/>
                <w:szCs w:val="20"/>
                <w:color w:val="auto"/>
              </w:rPr>
            </w:pPr>
            <w:r>
              <w:rPr>
                <w:rFonts w:ascii="Arial" w:cs="Arial" w:eastAsia="Arial" w:hAnsi="Arial"/>
                <w:sz w:val="16"/>
                <w:szCs w:val="16"/>
                <w:color w:val="auto"/>
              </w:rPr>
              <w:t>391,495</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6"/>
                <w:szCs w:val="16"/>
                <w:color w:val="auto"/>
              </w:rPr>
              <w:t>Retained earnings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435,775</w:t>
            </w:r>
          </w:p>
        </w:tc>
        <w:tc>
          <w:tcPr>
            <w:tcW w:w="1660" w:type="dxa"/>
            <w:vAlign w:val="bottom"/>
          </w:tcPr>
          <w:p>
            <w:pPr>
              <w:jc w:val="right"/>
              <w:spacing w:after="0"/>
              <w:rPr>
                <w:sz w:val="20"/>
                <w:szCs w:val="20"/>
                <w:color w:val="auto"/>
              </w:rPr>
            </w:pPr>
            <w:r>
              <w:rPr>
                <w:rFonts w:ascii="Arial" w:cs="Arial" w:eastAsia="Arial" w:hAnsi="Arial"/>
                <w:sz w:val="16"/>
                <w:szCs w:val="16"/>
                <w:color w:val="auto"/>
              </w:rPr>
              <w:t>422,044</w:t>
            </w:r>
          </w:p>
        </w:tc>
        <w:tc>
          <w:tcPr>
            <w:tcW w:w="0" w:type="dxa"/>
            <w:vAlign w:val="bottom"/>
          </w:tcPr>
          <w:p>
            <w:pPr>
              <w:spacing w:after="0"/>
              <w:rPr>
                <w:sz w:val="1"/>
                <w:szCs w:val="1"/>
                <w:color w:val="auto"/>
              </w:rPr>
            </w:pPr>
          </w:p>
        </w:tc>
      </w:tr>
      <w:tr>
        <w:trPr>
          <w:trHeight w:val="197"/>
        </w:trPr>
        <w:tc>
          <w:tcPr>
            <w:tcW w:w="7240" w:type="dxa"/>
            <w:vAlign w:val="bottom"/>
          </w:tcPr>
          <w:p>
            <w:pPr>
              <w:spacing w:after="0"/>
              <w:rPr>
                <w:sz w:val="20"/>
                <w:szCs w:val="20"/>
                <w:color w:val="auto"/>
              </w:rPr>
            </w:pPr>
            <w:r>
              <w:rPr>
                <w:rFonts w:ascii="Arial" w:cs="Arial" w:eastAsia="Arial" w:hAnsi="Arial"/>
                <w:sz w:val="16"/>
                <w:szCs w:val="16"/>
                <w:color w:val="auto"/>
              </w:rPr>
              <w:t>Accumulated items of other comprehensive income/(loss):</w:t>
            </w:r>
          </w:p>
        </w:tc>
        <w:tc>
          <w:tcPr>
            <w:tcW w:w="25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(7,659)</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240" w:type="dxa"/>
            <w:vAlign w:val="bottom"/>
          </w:tcPr>
          <w:p>
            <w:pPr>
              <w:ind w:left="180"/>
              <w:spacing w:after="0" w:line="169" w:lineRule="exact"/>
              <w:rPr>
                <w:sz w:val="20"/>
                <w:szCs w:val="20"/>
                <w:color w:val="auto"/>
              </w:rPr>
            </w:pPr>
            <w:r>
              <w:rPr>
                <w:rFonts w:ascii="Arial" w:cs="Arial" w:eastAsia="Arial" w:hAnsi="Arial"/>
                <w:sz w:val="16"/>
                <w:szCs w:val="16"/>
                <w:color w:val="auto"/>
              </w:rPr>
              <w:t>Translation adjustments</w:t>
            </w:r>
          </w:p>
        </w:tc>
        <w:tc>
          <w:tcPr>
            <w:tcW w:w="2520" w:type="dxa"/>
            <w:vAlign w:val="bottom"/>
            <w:vMerge w:val="continue"/>
          </w:tcPr>
          <w:p>
            <w:pPr>
              <w:spacing w:after="0"/>
              <w:rPr>
                <w:sz w:val="14"/>
                <w:szCs w:val="14"/>
                <w:color w:val="auto"/>
              </w:rPr>
            </w:pPr>
          </w:p>
        </w:tc>
        <w:tc>
          <w:tcPr>
            <w:tcW w:w="1660" w:type="dxa"/>
            <w:vAlign w:val="bottom"/>
          </w:tcPr>
          <w:p>
            <w:pPr>
              <w:jc w:val="right"/>
              <w:spacing w:after="0" w:line="169" w:lineRule="exact"/>
              <w:rPr>
                <w:sz w:val="20"/>
                <w:szCs w:val="20"/>
                <w:color w:val="auto"/>
              </w:rPr>
            </w:pPr>
            <w:r>
              <w:rPr>
                <w:rFonts w:ascii="Arial" w:cs="Arial" w:eastAsia="Arial" w:hAnsi="Arial"/>
                <w:sz w:val="16"/>
                <w:szCs w:val="16"/>
                <w:color w:val="auto"/>
              </w:rPr>
              <w:t>(19,111)</w:t>
            </w:r>
          </w:p>
        </w:tc>
        <w:tc>
          <w:tcPr>
            <w:tcW w:w="0" w:type="dxa"/>
            <w:vAlign w:val="bottom"/>
          </w:tcPr>
          <w:p>
            <w:pPr>
              <w:spacing w:after="0"/>
              <w:rPr>
                <w:sz w:val="1"/>
                <w:szCs w:val="1"/>
                <w:color w:val="auto"/>
              </w:rPr>
            </w:pPr>
          </w:p>
        </w:tc>
      </w:tr>
      <w:tr>
        <w:trPr>
          <w:trHeight w:val="189"/>
        </w:trPr>
        <w:tc>
          <w:tcPr>
            <w:tcW w:w="7240" w:type="dxa"/>
            <w:vAlign w:val="bottom"/>
          </w:tcPr>
          <w:p>
            <w:pPr>
              <w:ind w:left="180"/>
              <w:spacing w:after="0"/>
              <w:rPr>
                <w:sz w:val="20"/>
                <w:szCs w:val="20"/>
                <w:color w:val="auto"/>
              </w:rPr>
            </w:pPr>
            <w:r>
              <w:rPr>
                <w:rFonts w:ascii="Arial" w:cs="Arial" w:eastAsia="Arial" w:hAnsi="Arial"/>
                <w:sz w:val="16"/>
                <w:szCs w:val="16"/>
                <w:color w:val="auto"/>
              </w:rPr>
              <w:t>Pension and postretirement liability adjustments</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(69,484)</w:t>
            </w:r>
          </w:p>
        </w:tc>
        <w:tc>
          <w:tcPr>
            <w:tcW w:w="1660" w:type="dxa"/>
            <w:vAlign w:val="bottom"/>
          </w:tcPr>
          <w:p>
            <w:pPr>
              <w:jc w:val="right"/>
              <w:spacing w:after="0"/>
              <w:rPr>
                <w:sz w:val="20"/>
                <w:szCs w:val="20"/>
                <w:color w:val="auto"/>
              </w:rPr>
            </w:pPr>
            <w:r>
              <w:rPr>
                <w:rFonts w:ascii="Arial" w:cs="Arial" w:eastAsia="Arial" w:hAnsi="Arial"/>
                <w:sz w:val="16"/>
                <w:szCs w:val="16"/>
                <w:color w:val="auto"/>
              </w:rPr>
              <w:t>(118,104)</w:t>
            </w:r>
          </w:p>
        </w:tc>
        <w:tc>
          <w:tcPr>
            <w:tcW w:w="0" w:type="dxa"/>
            <w:vAlign w:val="bottom"/>
          </w:tcPr>
          <w:p>
            <w:pPr>
              <w:spacing w:after="0"/>
              <w:rPr>
                <w:sz w:val="1"/>
                <w:szCs w:val="1"/>
                <w:color w:val="auto"/>
              </w:rPr>
            </w:pPr>
          </w:p>
        </w:tc>
      </w:tr>
      <w:tr>
        <w:trPr>
          <w:trHeight w:val="209"/>
        </w:trPr>
        <w:tc>
          <w:tcPr>
            <w:tcW w:w="7240" w:type="dxa"/>
            <w:vAlign w:val="bottom"/>
          </w:tcPr>
          <w:p>
            <w:pPr>
              <w:ind w:left="180"/>
              <w:spacing w:after="0"/>
              <w:rPr>
                <w:sz w:val="20"/>
                <w:szCs w:val="20"/>
                <w:color w:val="auto"/>
              </w:rPr>
            </w:pPr>
            <w:r>
              <w:rPr>
                <w:rFonts w:ascii="Arial" w:cs="Arial" w:eastAsia="Arial" w:hAnsi="Arial"/>
                <w:sz w:val="16"/>
                <w:szCs w:val="16"/>
                <w:color w:val="auto"/>
              </w:rPr>
              <w:t>Derivative valuation adjustment</w:t>
            </w:r>
          </w:p>
        </w:tc>
        <w:tc>
          <w:tcPr>
            <w:tcW w:w="2520" w:type="dxa"/>
            <w:vAlign w:val="bottom"/>
          </w:tcPr>
          <w:p>
            <w:pPr>
              <w:jc w:val="right"/>
              <w:ind w:right="759"/>
              <w:spacing w:after="0"/>
              <w:rPr>
                <w:sz w:val="20"/>
                <w:szCs w:val="20"/>
                <w:color w:val="auto"/>
              </w:rPr>
            </w:pPr>
            <w:r>
              <w:rPr>
                <w:rFonts w:ascii="Arial" w:cs="Arial" w:eastAsia="Arial" w:hAnsi="Arial"/>
                <w:sz w:val="16"/>
                <w:szCs w:val="16"/>
                <w:b w:val="1"/>
                <w:bCs w:val="1"/>
                <w:color w:val="auto"/>
              </w:rPr>
              <w:t>(2,878)</w:t>
            </w:r>
          </w:p>
        </w:tc>
        <w:tc>
          <w:tcPr>
            <w:tcW w:w="1660" w:type="dxa"/>
            <w:vAlign w:val="bottom"/>
          </w:tcPr>
          <w:p>
            <w:pPr>
              <w:jc w:val="right"/>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Treasury stock (Class A), at cost; 8,467,873 shares in 2012 and 8,479,487 shares in</w:t>
            </w:r>
          </w:p>
        </w:tc>
        <w:tc>
          <w:tcPr>
            <w:tcW w:w="252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(257,664)</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2011</w:t>
            </w:r>
          </w:p>
        </w:tc>
        <w:tc>
          <w:tcPr>
            <w:tcW w:w="252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(257,920)</w:t>
            </w:r>
          </w:p>
        </w:tc>
        <w:tc>
          <w:tcPr>
            <w:tcW w:w="0" w:type="dxa"/>
            <w:vAlign w:val="bottom"/>
          </w:tcPr>
          <w:p>
            <w:pPr>
              <w:spacing w:after="0"/>
              <w:rPr>
                <w:sz w:val="1"/>
                <w:szCs w:val="1"/>
                <w:color w:val="auto"/>
              </w:rPr>
            </w:pPr>
          </w:p>
        </w:tc>
      </w:tr>
      <w:tr>
        <w:trPr>
          <w:trHeight w:val="183"/>
        </w:trPr>
        <w:tc>
          <w:tcPr>
            <w:tcW w:w="724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Total shareholders' equity</w:t>
            </w:r>
          </w:p>
        </w:tc>
        <w:tc>
          <w:tcPr>
            <w:tcW w:w="25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493,511</w:t>
            </w: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415,850</w:t>
            </w:r>
          </w:p>
        </w:tc>
        <w:tc>
          <w:tcPr>
            <w:tcW w:w="0" w:type="dxa"/>
            <w:vAlign w:val="bottom"/>
          </w:tcPr>
          <w:p>
            <w:pPr>
              <w:spacing w:after="0"/>
              <w:rPr>
                <w:sz w:val="1"/>
                <w:szCs w:val="1"/>
                <w:color w:val="auto"/>
              </w:rPr>
            </w:pPr>
          </w:p>
        </w:tc>
      </w:tr>
      <w:tr>
        <w:trPr>
          <w:trHeight w:val="190"/>
        </w:trPr>
        <w:tc>
          <w:tcPr>
            <w:tcW w:w="724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2520" w:type="dxa"/>
            <w:vAlign w:val="bottom"/>
            <w:tcBorders>
              <w:bottom w:val="single" w:sz="8" w:color="auto"/>
            </w:tcBorders>
          </w:tcPr>
          <w:p>
            <w:pPr>
              <w:jc w:val="right"/>
              <w:ind w:right="759"/>
              <w:spacing w:after="0" w:line="183" w:lineRule="exact"/>
              <w:rPr>
                <w:sz w:val="20"/>
                <w:szCs w:val="20"/>
                <w:color w:val="auto"/>
              </w:rPr>
            </w:pPr>
            <w:r>
              <w:rPr>
                <w:rFonts w:ascii="Arial" w:cs="Arial" w:eastAsia="Arial" w:hAnsi="Arial"/>
                <w:sz w:val="16"/>
                <w:szCs w:val="16"/>
                <w:b w:val="1"/>
                <w:bCs w:val="1"/>
                <w:color w:val="auto"/>
              </w:rPr>
              <w:t>$1,156,697</w:t>
            </w:r>
          </w:p>
        </w:tc>
        <w:tc>
          <w:tcPr>
            <w:tcW w:w="1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$1,230,928</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1" w:right="23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Albany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For the years ended December 31,</w:t>
            </w:r>
          </w:p>
        </w:tc>
        <w:tc>
          <w:tcPr>
            <w:tcW w:w="212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16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5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(in thousands)</w:t>
            </w:r>
          </w:p>
        </w:tc>
        <w:tc>
          <w:tcPr>
            <w:tcW w:w="212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tcPr>
          <w:p>
            <w:pPr>
              <w:jc w:val="right"/>
              <w:ind w:right="408"/>
              <w:spacing w:after="0" w:line="157" w:lineRule="exact"/>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339"/>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Operating Activities</w:t>
            </w:r>
          </w:p>
        </w:tc>
        <w:tc>
          <w:tcPr>
            <w:tcW w:w="2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$30,977</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$34,938</w:t>
            </w:r>
          </w:p>
        </w:tc>
        <w:tc>
          <w:tcPr>
            <w:tcW w:w="1080" w:type="dxa"/>
            <w:vAlign w:val="bottom"/>
          </w:tcPr>
          <w:p>
            <w:pPr>
              <w:jc w:val="right"/>
              <w:spacing w:after="0"/>
              <w:rPr>
                <w:sz w:val="20"/>
                <w:szCs w:val="20"/>
                <w:color w:val="auto"/>
              </w:rPr>
            </w:pPr>
            <w:r>
              <w:rPr>
                <w:rFonts w:ascii="Arial" w:cs="Arial" w:eastAsia="Arial" w:hAnsi="Arial"/>
                <w:sz w:val="14"/>
                <w:szCs w:val="14"/>
                <w:color w:val="auto"/>
              </w:rPr>
              <w:t>$37,636</w:t>
            </w:r>
          </w:p>
        </w:tc>
        <w:tc>
          <w:tcPr>
            <w:tcW w:w="0" w:type="dxa"/>
            <w:vAlign w:val="bottom"/>
          </w:tcPr>
          <w:p>
            <w:pPr>
              <w:spacing w:after="0"/>
              <w:rPr>
                <w:sz w:val="1"/>
                <w:szCs w:val="1"/>
                <w:color w:val="auto"/>
              </w:rPr>
            </w:pPr>
          </w:p>
        </w:tc>
      </w:tr>
      <w:tr>
        <w:trPr>
          <w:trHeight w:val="314"/>
        </w:trPr>
        <w:tc>
          <w:tcPr>
            <w:tcW w:w="6540" w:type="dxa"/>
            <w:vAlign w:val="bottom"/>
            <w:gridSpan w:val="2"/>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1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56,769</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60"/>
              <w:spacing w:after="0" w:line="144" w:lineRule="exact"/>
              <w:rPr>
                <w:sz w:val="20"/>
                <w:szCs w:val="20"/>
                <w:color w:val="auto"/>
              </w:rPr>
            </w:pPr>
            <w:r>
              <w:rPr>
                <w:rFonts w:ascii="Arial" w:cs="Arial" w:eastAsia="Arial" w:hAnsi="Arial"/>
                <w:sz w:val="14"/>
                <w:szCs w:val="14"/>
                <w:color w:val="auto"/>
              </w:rPr>
              <w:t>Depreciation</w:t>
            </w:r>
          </w:p>
        </w:tc>
        <w:tc>
          <w:tcPr>
            <w:tcW w:w="2120" w:type="dxa"/>
            <w:vAlign w:val="bottom"/>
            <w:vMerge w:val="continue"/>
          </w:tcPr>
          <w:p>
            <w:pPr>
              <w:spacing w:after="0"/>
              <w:rPr>
                <w:sz w:val="12"/>
                <w:szCs w:val="12"/>
                <w:color w:val="auto"/>
              </w:rPr>
            </w:pPr>
          </w:p>
        </w:tc>
        <w:tc>
          <w:tcPr>
            <w:tcW w:w="1680" w:type="dxa"/>
            <w:vAlign w:val="bottom"/>
          </w:tcPr>
          <w:p>
            <w:pPr>
              <w:jc w:val="right"/>
              <w:ind w:right="408"/>
              <w:spacing w:after="0" w:line="144" w:lineRule="exact"/>
              <w:rPr>
                <w:sz w:val="20"/>
                <w:szCs w:val="20"/>
                <w:color w:val="auto"/>
              </w:rPr>
            </w:pPr>
            <w:r>
              <w:rPr>
                <w:rFonts w:ascii="Arial" w:cs="Arial" w:eastAsia="Arial" w:hAnsi="Arial"/>
                <w:sz w:val="14"/>
                <w:szCs w:val="14"/>
                <w:color w:val="auto"/>
              </w:rPr>
              <w:t>57,502</w:t>
            </w: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54,447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Amortization</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6,466</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8,883</w:t>
            </w:r>
          </w:p>
        </w:tc>
        <w:tc>
          <w:tcPr>
            <w:tcW w:w="1080" w:type="dxa"/>
            <w:vAlign w:val="bottom"/>
          </w:tcPr>
          <w:p>
            <w:pPr>
              <w:jc w:val="right"/>
              <w:spacing w:after="0"/>
              <w:rPr>
                <w:sz w:val="20"/>
                <w:szCs w:val="20"/>
                <w:color w:val="auto"/>
              </w:rPr>
            </w:pPr>
            <w:r>
              <w:rPr>
                <w:rFonts w:ascii="Arial" w:cs="Arial" w:eastAsia="Arial" w:hAnsi="Arial"/>
                <w:sz w:val="14"/>
                <w:szCs w:val="14"/>
                <w:color w:val="auto"/>
              </w:rPr>
              <w:t>8,549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Noncash interest expense</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1,027</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753</w:t>
            </w:r>
          </w:p>
        </w:tc>
        <w:tc>
          <w:tcPr>
            <w:tcW w:w="108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Change in long-term liabilities, deferred taxes and other credits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(123,887)</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237</w:t>
            </w:r>
          </w:p>
        </w:tc>
        <w:tc>
          <w:tcPr>
            <w:tcW w:w="1080" w:type="dxa"/>
            <w:vAlign w:val="bottom"/>
          </w:tcPr>
          <w:p>
            <w:pPr>
              <w:jc w:val="right"/>
              <w:spacing w:after="0"/>
              <w:rPr>
                <w:sz w:val="20"/>
                <w:szCs w:val="20"/>
                <w:color w:val="auto"/>
              </w:rPr>
            </w:pPr>
            <w:r>
              <w:rPr>
                <w:rFonts w:ascii="Arial" w:cs="Arial" w:eastAsia="Arial" w:hAnsi="Arial"/>
                <w:sz w:val="14"/>
                <w:szCs w:val="14"/>
                <w:color w:val="auto"/>
              </w:rPr>
              <w:t>13,125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Provision for write-off of property, plant and equipment</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427</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2,345</w:t>
            </w:r>
          </w:p>
        </w:tc>
        <w:tc>
          <w:tcPr>
            <w:tcW w:w="1080" w:type="dxa"/>
            <w:vAlign w:val="bottom"/>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Write-off of pension liability adjustment</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118,350</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(Gain) on disposition of assets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(92,457)</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(1,022)</w:t>
            </w:r>
          </w:p>
        </w:tc>
        <w:tc>
          <w:tcPr>
            <w:tcW w:w="1080" w:type="dxa"/>
            <w:vAlign w:val="bottom"/>
          </w:tcPr>
          <w:p>
            <w:pPr>
              <w:jc w:val="right"/>
              <w:spacing w:after="0"/>
              <w:rPr>
                <w:sz w:val="20"/>
                <w:szCs w:val="20"/>
                <w:color w:val="auto"/>
              </w:rPr>
            </w:pPr>
            <w:r>
              <w:rPr>
                <w:rFonts w:ascii="Arial" w:cs="Arial" w:eastAsia="Arial" w:hAnsi="Arial"/>
                <w:sz w:val="14"/>
                <w:szCs w:val="14"/>
                <w:color w:val="auto"/>
              </w:rPr>
              <w:t>(9,404)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Excess tax benefit of options exercised</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(40)</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(93)</w:t>
            </w:r>
          </w:p>
        </w:tc>
        <w:tc>
          <w:tcPr>
            <w:tcW w:w="108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2,790</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2,812</w:t>
            </w:r>
          </w:p>
        </w:tc>
        <w:tc>
          <w:tcPr>
            <w:tcW w:w="1080" w:type="dxa"/>
            <w:vAlign w:val="bottom"/>
          </w:tcPr>
          <w:p>
            <w:pPr>
              <w:jc w:val="right"/>
              <w:spacing w:after="0"/>
              <w:rPr>
                <w:sz w:val="20"/>
                <w:szCs w:val="20"/>
                <w:color w:val="auto"/>
              </w:rPr>
            </w:pPr>
            <w:r>
              <w:rPr>
                <w:rFonts w:ascii="Arial" w:cs="Arial" w:eastAsia="Arial" w:hAnsi="Arial"/>
                <w:sz w:val="14"/>
                <w:szCs w:val="14"/>
                <w:color w:val="auto"/>
              </w:rPr>
              <w:t>4,896</w:t>
            </w:r>
          </w:p>
        </w:tc>
        <w:tc>
          <w:tcPr>
            <w:tcW w:w="0" w:type="dxa"/>
            <w:vAlign w:val="bottom"/>
          </w:tcPr>
          <w:p>
            <w:pPr>
              <w:spacing w:after="0"/>
              <w:rPr>
                <w:sz w:val="1"/>
                <w:szCs w:val="1"/>
                <w:color w:val="auto"/>
              </w:rPr>
            </w:pPr>
          </w:p>
        </w:tc>
      </w:tr>
      <w:tr>
        <w:trPr>
          <w:trHeight w:val="162"/>
        </w:trPr>
        <w:tc>
          <w:tcPr>
            <w:tcW w:w="65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 net of business acquisitions and divestitures:</w:t>
            </w:r>
          </w:p>
        </w:tc>
        <w:tc>
          <w:tcPr>
            <w:tcW w:w="21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(4,990)</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60"/>
              <w:spacing w:after="0" w:line="144" w:lineRule="exact"/>
              <w:rPr>
                <w:sz w:val="20"/>
                <w:szCs w:val="20"/>
                <w:color w:val="auto"/>
              </w:rPr>
            </w:pPr>
            <w:r>
              <w:rPr>
                <w:rFonts w:ascii="Arial" w:cs="Arial" w:eastAsia="Arial" w:hAnsi="Arial"/>
                <w:sz w:val="14"/>
                <w:szCs w:val="14"/>
                <w:color w:val="auto"/>
              </w:rPr>
              <w:t>Accounts receivable</w:t>
            </w:r>
          </w:p>
        </w:tc>
        <w:tc>
          <w:tcPr>
            <w:tcW w:w="2120" w:type="dxa"/>
            <w:vAlign w:val="bottom"/>
            <w:vMerge w:val="continue"/>
          </w:tcPr>
          <w:p>
            <w:pPr>
              <w:spacing w:after="0"/>
              <w:rPr>
                <w:sz w:val="12"/>
                <w:szCs w:val="12"/>
                <w:color w:val="auto"/>
              </w:rPr>
            </w:pPr>
          </w:p>
        </w:tc>
        <w:tc>
          <w:tcPr>
            <w:tcW w:w="1680" w:type="dxa"/>
            <w:vAlign w:val="bottom"/>
          </w:tcPr>
          <w:p>
            <w:pPr>
              <w:jc w:val="right"/>
              <w:ind w:right="408"/>
              <w:spacing w:after="0" w:line="144" w:lineRule="exact"/>
              <w:rPr>
                <w:sz w:val="20"/>
                <w:szCs w:val="20"/>
                <w:color w:val="auto"/>
              </w:rPr>
            </w:pPr>
            <w:r>
              <w:rPr>
                <w:rFonts w:ascii="Arial" w:cs="Arial" w:eastAsia="Arial" w:hAnsi="Arial"/>
                <w:sz w:val="14"/>
                <w:szCs w:val="14"/>
                <w:color w:val="auto"/>
              </w:rPr>
              <w:t>(12,082)</w:t>
            </w: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Inventories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11,565</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7,105</w:t>
            </w:r>
          </w:p>
        </w:tc>
        <w:tc>
          <w:tcPr>
            <w:tcW w:w="1080" w:type="dxa"/>
            <w:vAlign w:val="bottom"/>
          </w:tcPr>
          <w:p>
            <w:pPr>
              <w:jc w:val="right"/>
              <w:spacing w:after="0"/>
              <w:rPr>
                <w:sz w:val="20"/>
                <w:szCs w:val="20"/>
                <w:color w:val="auto"/>
              </w:rPr>
            </w:pPr>
            <w:r>
              <w:rPr>
                <w:rFonts w:ascii="Arial" w:cs="Arial" w:eastAsia="Arial" w:hAnsi="Arial"/>
                <w:sz w:val="14"/>
                <w:szCs w:val="14"/>
                <w:color w:val="auto"/>
              </w:rPr>
              <w:t>16,639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592</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314</w:t>
            </w:r>
          </w:p>
        </w:tc>
        <w:tc>
          <w:tcPr>
            <w:tcW w:w="108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Income taxes prepaid and receivable</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9,472</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(3,747)</w:t>
            </w:r>
          </w:p>
        </w:tc>
        <w:tc>
          <w:tcPr>
            <w:tcW w:w="1080" w:type="dxa"/>
            <w:vAlign w:val="bottom"/>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3,298</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(1,677)</w:t>
            </w:r>
          </w:p>
        </w:tc>
        <w:tc>
          <w:tcPr>
            <w:tcW w:w="1080" w:type="dxa"/>
            <w:vAlign w:val="bottom"/>
          </w:tcPr>
          <w:p>
            <w:pPr>
              <w:jc w:val="right"/>
              <w:spacing w:after="0"/>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Accrued liabilities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7,616</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6,124</w:t>
            </w:r>
          </w:p>
        </w:tc>
        <w:tc>
          <w:tcPr>
            <w:tcW w:w="1080" w:type="dxa"/>
            <w:vAlign w:val="bottom"/>
          </w:tcPr>
          <w:p>
            <w:pPr>
              <w:jc w:val="right"/>
              <w:spacing w:after="0"/>
              <w:rPr>
                <w:sz w:val="20"/>
                <w:szCs w:val="20"/>
                <w:color w:val="auto"/>
              </w:rPr>
            </w:pPr>
            <w:r>
              <w:rPr>
                <w:rFonts w:ascii="Arial" w:cs="Arial" w:eastAsia="Arial" w:hAnsi="Arial"/>
                <w:sz w:val="14"/>
                <w:szCs w:val="14"/>
                <w:color w:val="auto"/>
              </w:rPr>
              <w:t>(16,776)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Income taxes payable</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7,308</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2,422</w:t>
            </w:r>
          </w:p>
        </w:tc>
        <w:tc>
          <w:tcPr>
            <w:tcW w:w="1080" w:type="dxa"/>
            <w:vAlign w:val="bottom"/>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 net</w:t>
            </w:r>
          </w:p>
        </w:tc>
        <w:tc>
          <w:tcPr>
            <w:tcW w:w="2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(776)</w:t>
            </w: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455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2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34,507</w:t>
            </w:r>
          </w:p>
        </w:tc>
        <w:tc>
          <w:tcPr>
            <w:tcW w:w="16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105,269</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99,572</w:t>
            </w:r>
          </w:p>
        </w:tc>
        <w:tc>
          <w:tcPr>
            <w:tcW w:w="0" w:type="dxa"/>
            <w:vAlign w:val="bottom"/>
          </w:tcPr>
          <w:p>
            <w:pPr>
              <w:spacing w:after="0"/>
              <w:rPr>
                <w:sz w:val="1"/>
                <w:szCs w:val="1"/>
                <w:color w:val="auto"/>
              </w:rPr>
            </w:pPr>
          </w:p>
        </w:tc>
      </w:tr>
      <w:tr>
        <w:trPr>
          <w:trHeight w:val="363"/>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21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(37,046)</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60"/>
              <w:spacing w:after="0" w:line="144" w:lineRule="exact"/>
              <w:rPr>
                <w:sz w:val="20"/>
                <w:szCs w:val="20"/>
                <w:color w:val="auto"/>
              </w:rPr>
            </w:pPr>
            <w:r>
              <w:rPr>
                <w:rFonts w:ascii="Arial" w:cs="Arial" w:eastAsia="Arial" w:hAnsi="Arial"/>
                <w:sz w:val="14"/>
                <w:szCs w:val="14"/>
                <w:color w:val="auto"/>
              </w:rPr>
              <w:t>Purchases of property, plant and equipment</w:t>
            </w:r>
          </w:p>
        </w:tc>
        <w:tc>
          <w:tcPr>
            <w:tcW w:w="2120" w:type="dxa"/>
            <w:vAlign w:val="bottom"/>
            <w:vMerge w:val="continue"/>
          </w:tcPr>
          <w:p>
            <w:pPr>
              <w:spacing w:after="0"/>
              <w:rPr>
                <w:sz w:val="12"/>
                <w:szCs w:val="12"/>
                <w:color w:val="auto"/>
              </w:rPr>
            </w:pPr>
          </w:p>
        </w:tc>
        <w:tc>
          <w:tcPr>
            <w:tcW w:w="1680" w:type="dxa"/>
            <w:vAlign w:val="bottom"/>
          </w:tcPr>
          <w:p>
            <w:pPr>
              <w:jc w:val="right"/>
              <w:ind w:right="408"/>
              <w:spacing w:after="0" w:line="144" w:lineRule="exact"/>
              <w:rPr>
                <w:sz w:val="20"/>
                <w:szCs w:val="20"/>
                <w:color w:val="auto"/>
              </w:rPr>
            </w:pPr>
            <w:r>
              <w:rPr>
                <w:rFonts w:ascii="Arial" w:cs="Arial" w:eastAsia="Arial" w:hAnsi="Arial"/>
                <w:sz w:val="14"/>
                <w:szCs w:val="14"/>
                <w:color w:val="auto"/>
              </w:rPr>
              <w:t>(24,988)</w:t>
            </w: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(27,334)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Purchased software</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(161)</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(3,692)</w:t>
            </w:r>
          </w:p>
        </w:tc>
        <w:tc>
          <w:tcPr>
            <w:tcW w:w="1080" w:type="dxa"/>
            <w:vAlign w:val="bottom"/>
          </w:tcPr>
          <w:p>
            <w:pPr>
              <w:jc w:val="right"/>
              <w:spacing w:after="0"/>
              <w:rPr>
                <w:sz w:val="20"/>
                <w:szCs w:val="20"/>
                <w:color w:val="auto"/>
              </w:rPr>
            </w:pPr>
            <w:r>
              <w:rPr>
                <w:rFonts w:ascii="Arial" w:cs="Arial" w:eastAsia="Arial" w:hAnsi="Arial"/>
                <w:sz w:val="14"/>
                <w:szCs w:val="14"/>
                <w:color w:val="auto"/>
              </w:rPr>
              <w:t>(4,257)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Proceeds from sale of assets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2,860</w:t>
            </w:r>
          </w:p>
        </w:tc>
        <w:tc>
          <w:tcPr>
            <w:tcW w:w="1080" w:type="dxa"/>
            <w:vAlign w:val="bottom"/>
          </w:tcPr>
          <w:p>
            <w:pPr>
              <w:jc w:val="right"/>
              <w:spacing w:after="0"/>
              <w:rPr>
                <w:sz w:val="20"/>
                <w:szCs w:val="20"/>
                <w:color w:val="auto"/>
              </w:rPr>
            </w:pPr>
            <w:r>
              <w:rPr>
                <w:rFonts w:ascii="Arial" w:cs="Arial" w:eastAsia="Arial" w:hAnsi="Arial"/>
                <w:sz w:val="14"/>
                <w:szCs w:val="14"/>
                <w:color w:val="auto"/>
              </w:rPr>
              <w:t>12,256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Proceeds from sale of discontinued operations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150,654</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Cash received from life insurance policy terminations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49,302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Acquisitions, net of cash acquired</w:t>
            </w:r>
          </w:p>
        </w:tc>
        <w:tc>
          <w:tcPr>
            <w:tcW w:w="2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Net cash provided by/(used in) investing activities</w:t>
            </w:r>
          </w:p>
        </w:tc>
        <w:tc>
          <w:tcPr>
            <w:tcW w:w="2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113,447</w:t>
            </w:r>
          </w:p>
        </w:tc>
        <w:tc>
          <w:tcPr>
            <w:tcW w:w="16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(25,820)</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1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46,028</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20" w:type="dxa"/>
            <w:vAlign w:val="bottom"/>
          </w:tcPr>
          <w:p>
            <w:pPr>
              <w:ind w:left="160"/>
              <w:spacing w:after="0" w:line="144" w:lineRule="exact"/>
              <w:rPr>
                <w:sz w:val="20"/>
                <w:szCs w:val="20"/>
                <w:color w:val="auto"/>
              </w:rPr>
            </w:pPr>
            <w:r>
              <w:rPr>
                <w:rFonts w:ascii="Arial" w:cs="Arial" w:eastAsia="Arial" w:hAnsi="Arial"/>
                <w:sz w:val="14"/>
                <w:szCs w:val="14"/>
                <w:color w:val="auto"/>
              </w:rPr>
              <w:t>Proceeds from borrowings</w:t>
            </w:r>
          </w:p>
        </w:tc>
        <w:tc>
          <w:tcPr>
            <w:tcW w:w="2120" w:type="dxa"/>
            <w:vAlign w:val="bottom"/>
            <w:vMerge w:val="continue"/>
          </w:tcPr>
          <w:p>
            <w:pPr>
              <w:spacing w:after="0"/>
              <w:rPr>
                <w:sz w:val="12"/>
                <w:szCs w:val="12"/>
                <w:color w:val="auto"/>
              </w:rPr>
            </w:pPr>
          </w:p>
        </w:tc>
        <w:tc>
          <w:tcPr>
            <w:tcW w:w="1680" w:type="dxa"/>
            <w:vAlign w:val="bottom"/>
          </w:tcPr>
          <w:p>
            <w:pPr>
              <w:jc w:val="right"/>
              <w:ind w:right="408"/>
              <w:spacing w:after="0" w:line="144" w:lineRule="exact"/>
              <w:rPr>
                <w:sz w:val="20"/>
                <w:szCs w:val="20"/>
                <w:color w:val="auto"/>
              </w:rPr>
            </w:pPr>
            <w:r>
              <w:rPr>
                <w:rFonts w:ascii="Arial" w:cs="Arial" w:eastAsia="Arial" w:hAnsi="Arial"/>
                <w:sz w:val="14"/>
                <w:szCs w:val="14"/>
                <w:color w:val="auto"/>
              </w:rPr>
              <w:t>14,386</w:t>
            </w:r>
          </w:p>
        </w:tc>
        <w:tc>
          <w:tcPr>
            <w:tcW w:w="1080" w:type="dxa"/>
            <w:vAlign w:val="bottom"/>
          </w:tcPr>
          <w:p>
            <w:pPr>
              <w:jc w:val="right"/>
              <w:spacing w:after="0" w:line="144" w:lineRule="exact"/>
              <w:rPr>
                <w:sz w:val="20"/>
                <w:szCs w:val="20"/>
                <w:color w:val="auto"/>
              </w:rPr>
            </w:pPr>
            <w:r>
              <w:rPr>
                <w:rFonts w:ascii="Arial" w:cs="Arial" w:eastAsia="Arial" w:hAnsi="Arial"/>
                <w:sz w:val="14"/>
                <w:szCs w:val="14"/>
                <w:color w:val="auto"/>
              </w:rPr>
              <w:t>17,712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Principal payments on debt</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(102,128)</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(65,575)</w:t>
            </w:r>
          </w:p>
        </w:tc>
        <w:tc>
          <w:tcPr>
            <w:tcW w:w="1080" w:type="dxa"/>
            <w:vAlign w:val="bottom"/>
          </w:tcPr>
          <w:p>
            <w:pPr>
              <w:jc w:val="right"/>
              <w:spacing w:after="0"/>
              <w:rPr>
                <w:sz w:val="20"/>
                <w:szCs w:val="20"/>
                <w:color w:val="auto"/>
              </w:rPr>
            </w:pPr>
            <w:r>
              <w:rPr>
                <w:rFonts w:ascii="Arial" w:cs="Arial" w:eastAsia="Arial" w:hAnsi="Arial"/>
                <w:sz w:val="14"/>
                <w:szCs w:val="14"/>
                <w:color w:val="auto"/>
              </w:rPr>
              <w:t>(92,448)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Proceeds from options exercised</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1,311</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789</w:t>
            </w:r>
          </w:p>
        </w:tc>
        <w:tc>
          <w:tcPr>
            <w:tcW w:w="108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Excess tax benefit of options exercised</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40</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93</w:t>
            </w:r>
          </w:p>
        </w:tc>
        <w:tc>
          <w:tcPr>
            <w:tcW w:w="108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ind w:left="160"/>
              <w:spacing w:after="0"/>
              <w:rPr>
                <w:sz w:val="20"/>
                <w:szCs w:val="20"/>
                <w:color w:val="auto"/>
              </w:rPr>
            </w:pPr>
            <w:r>
              <w:rPr>
                <w:rFonts w:ascii="Arial" w:cs="Arial" w:eastAsia="Arial" w:hAnsi="Arial"/>
                <w:sz w:val="14"/>
                <w:szCs w:val="14"/>
                <w:color w:val="auto"/>
              </w:rPr>
              <w:t>Debt issuance costs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(4,471)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Dividends paid</w:t>
            </w:r>
          </w:p>
        </w:tc>
        <w:tc>
          <w:tcPr>
            <w:tcW w:w="2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(21,315)</w:t>
            </w: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(15,616)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Net cash (used in)/provided by financing activities</w:t>
            </w:r>
          </w:p>
        </w:tc>
        <w:tc>
          <w:tcPr>
            <w:tcW w:w="2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(76,064)</w:t>
            </w:r>
          </w:p>
        </w:tc>
        <w:tc>
          <w:tcPr>
            <w:tcW w:w="16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(65,923)</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(93,517)</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2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(81)</w:t>
            </w:r>
          </w:p>
        </w:tc>
        <w:tc>
          <w:tcPr>
            <w:tcW w:w="16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(3,373)</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(9,285)</w:t>
            </w:r>
          </w:p>
        </w:tc>
        <w:tc>
          <w:tcPr>
            <w:tcW w:w="0" w:type="dxa"/>
            <w:vAlign w:val="bottom"/>
          </w:tcPr>
          <w:p>
            <w:pPr>
              <w:spacing w:after="0"/>
              <w:rPr>
                <w:sz w:val="1"/>
                <w:szCs w:val="1"/>
                <w:color w:val="auto"/>
              </w:rPr>
            </w:pPr>
          </w:p>
        </w:tc>
      </w:tr>
      <w:tr>
        <w:trPr>
          <w:trHeight w:val="142"/>
        </w:trPr>
        <w:tc>
          <w:tcPr>
            <w:tcW w:w="6540" w:type="dxa"/>
            <w:vAlign w:val="bottom"/>
            <w:gridSpan w:val="2"/>
          </w:tcPr>
          <w:p>
            <w:pPr>
              <w:spacing w:after="0" w:line="143" w:lineRule="exact"/>
              <w:rPr>
                <w:sz w:val="20"/>
                <w:szCs w:val="20"/>
                <w:color w:val="auto"/>
              </w:rPr>
            </w:pPr>
            <w:r>
              <w:rPr>
                <w:rFonts w:ascii="Arial" w:cs="Arial" w:eastAsia="Arial" w:hAnsi="Arial"/>
                <w:sz w:val="14"/>
                <w:szCs w:val="14"/>
                <w:color w:val="auto"/>
              </w:rPr>
              <w:t>Increase in cash and cash equivalents</w:t>
            </w:r>
          </w:p>
        </w:tc>
        <w:tc>
          <w:tcPr>
            <w:tcW w:w="2120" w:type="dxa"/>
            <w:vAlign w:val="bottom"/>
          </w:tcPr>
          <w:p>
            <w:pPr>
              <w:jc w:val="right"/>
              <w:ind w:right="508"/>
              <w:spacing w:after="0" w:line="143" w:lineRule="exact"/>
              <w:rPr>
                <w:sz w:val="20"/>
                <w:szCs w:val="20"/>
                <w:color w:val="auto"/>
              </w:rPr>
            </w:pPr>
            <w:r>
              <w:rPr>
                <w:rFonts w:ascii="Arial" w:cs="Arial" w:eastAsia="Arial" w:hAnsi="Arial"/>
                <w:sz w:val="14"/>
                <w:szCs w:val="14"/>
                <w:b w:val="1"/>
                <w:bCs w:val="1"/>
                <w:color w:val="auto"/>
              </w:rPr>
              <w:t>71,809</w:t>
            </w:r>
          </w:p>
        </w:tc>
        <w:tc>
          <w:tcPr>
            <w:tcW w:w="1680" w:type="dxa"/>
            <w:vAlign w:val="bottom"/>
          </w:tcPr>
          <w:p>
            <w:pPr>
              <w:jc w:val="right"/>
              <w:ind w:right="408"/>
              <w:spacing w:after="0" w:line="143" w:lineRule="exact"/>
              <w:rPr>
                <w:sz w:val="20"/>
                <w:szCs w:val="20"/>
                <w:color w:val="auto"/>
              </w:rPr>
            </w:pPr>
            <w:r>
              <w:rPr>
                <w:rFonts w:ascii="Arial" w:cs="Arial" w:eastAsia="Arial" w:hAnsi="Arial"/>
                <w:sz w:val="14"/>
                <w:szCs w:val="14"/>
                <w:color w:val="auto"/>
              </w:rPr>
              <w:t>10,153</w:t>
            </w:r>
          </w:p>
        </w:tc>
        <w:tc>
          <w:tcPr>
            <w:tcW w:w="1080" w:type="dxa"/>
            <w:vAlign w:val="bottom"/>
          </w:tcPr>
          <w:p>
            <w:pPr>
              <w:jc w:val="right"/>
              <w:spacing w:after="0" w:line="143" w:lineRule="exact"/>
              <w:rPr>
                <w:sz w:val="20"/>
                <w:szCs w:val="20"/>
                <w:color w:val="auto"/>
              </w:rPr>
            </w:pPr>
            <w:r>
              <w:rPr>
                <w:rFonts w:ascii="Arial" w:cs="Arial" w:eastAsia="Arial" w:hAnsi="Arial"/>
                <w:sz w:val="14"/>
                <w:szCs w:val="14"/>
                <w:color w:val="auto"/>
              </w:rPr>
              <w:t>24,835</w:t>
            </w:r>
          </w:p>
        </w:tc>
        <w:tc>
          <w:tcPr>
            <w:tcW w:w="0" w:type="dxa"/>
            <w:vAlign w:val="bottom"/>
          </w:tcPr>
          <w:p>
            <w:pPr>
              <w:spacing w:after="0"/>
              <w:rPr>
                <w:sz w:val="1"/>
                <w:szCs w:val="1"/>
                <w:color w:val="auto"/>
              </w:rPr>
            </w:pPr>
          </w:p>
        </w:tc>
      </w:tr>
      <w:tr>
        <w:trPr>
          <w:trHeight w:val="162"/>
        </w:trPr>
        <w:tc>
          <w:tcPr>
            <w:tcW w:w="6540" w:type="dxa"/>
            <w:vAlign w:val="bottom"/>
            <w:gridSpan w:val="2"/>
          </w:tcPr>
          <w:p>
            <w:pPr>
              <w:spacing w:after="0"/>
              <w:rPr>
                <w:sz w:val="20"/>
                <w:szCs w:val="20"/>
                <w:color w:val="auto"/>
              </w:rPr>
            </w:pPr>
            <w:r>
              <w:rPr>
                <w:rFonts w:ascii="Arial" w:cs="Arial" w:eastAsia="Arial" w:hAnsi="Arial"/>
                <w:sz w:val="14"/>
                <w:szCs w:val="14"/>
                <w:color w:val="auto"/>
              </w:rPr>
              <w:t>Change in cash balances of discontinued operations</w:t>
            </w:r>
          </w:p>
        </w:tc>
        <w:tc>
          <w:tcPr>
            <w:tcW w:w="212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408"/>
              <w:spacing w:after="0"/>
              <w:rPr>
                <w:sz w:val="20"/>
                <w:szCs w:val="20"/>
                <w:color w:val="auto"/>
              </w:rPr>
            </w:pPr>
            <w:r>
              <w:rPr>
                <w:rFonts w:ascii="Arial" w:cs="Arial" w:eastAsia="Arial" w:hAnsi="Arial"/>
                <w:sz w:val="14"/>
                <w:szCs w:val="14"/>
                <w:color w:val="auto"/>
              </w:rPr>
              <w:t>(9,169)</w:t>
            </w:r>
          </w:p>
        </w:tc>
        <w:tc>
          <w:tcPr>
            <w:tcW w:w="1080" w:type="dxa"/>
            <w:vAlign w:val="bottom"/>
          </w:tcPr>
          <w:p>
            <w:pPr>
              <w:jc w:val="right"/>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75"/>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year</w:t>
            </w:r>
          </w:p>
        </w:tc>
        <w:tc>
          <w:tcPr>
            <w:tcW w:w="2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118,909</w:t>
            </w: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117,925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94,139</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2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$190,718</w:t>
            </w:r>
          </w:p>
        </w:tc>
        <w:tc>
          <w:tcPr>
            <w:tcW w:w="16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$118,909</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0" w:lineRule="exact"/>
        <w:rPr>
          <w:sz w:val="20"/>
          <w:szCs w:val="20"/>
          <w:color w:val="auto"/>
        </w:rPr>
      </w:pPr>
    </w:p>
    <w:p>
      <w:pPr>
        <w:jc w:val="both"/>
        <w:ind w:right="20" w:firstLine="360"/>
        <w:spacing w:after="0"/>
        <w:rPr>
          <w:sz w:val="20"/>
          <w:szCs w:val="20"/>
          <w:color w:val="auto"/>
        </w:rPr>
      </w:pPr>
      <w:r>
        <w:rPr>
          <w:rFonts w:ascii="Arial" w:cs="Arial" w:eastAsia="Arial" w:hAnsi="Arial"/>
          <w:sz w:val="18"/>
          <w:szCs w:val="18"/>
          <w:color w:val="auto"/>
        </w:rPr>
        <w:t>The consolidated financial statements include the accounts of Albany International Corp. and its subsidiaries (the Company, we, us, or our) after elimination of intercompany transactions. We have a 50% interest in an entity in Russia. The consolidated financial statements include our original investment in the entity, plus our share of undistributed earnings or losses, in the account “Other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180"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are used in accounting for, among other things, allowances for doubtful accounts, rebates and sales allowances, inventory allowances, pension benefits, goodwill and intangible assets, contingencies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 of any revisions are reflected in the consolidated financial statements in the period they are determined to be necessary.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0" w:lineRule="exact"/>
        <w:rPr>
          <w:sz w:val="20"/>
          <w:szCs w:val="20"/>
          <w:color w:val="auto"/>
        </w:rPr>
      </w:pPr>
    </w:p>
    <w:p>
      <w:pPr>
        <w:ind w:right="120" w:firstLine="360"/>
        <w:spacing w:after="0" w:line="238" w:lineRule="auto"/>
        <w:rPr>
          <w:sz w:val="20"/>
          <w:szCs w:val="20"/>
          <w:color w:val="auto"/>
        </w:rPr>
      </w:pPr>
      <w:r>
        <w:rPr>
          <w:rFonts w:ascii="Arial" w:cs="Arial" w:eastAsia="Arial" w:hAnsi="Arial"/>
          <w:sz w:val="18"/>
          <w:szCs w:val="18"/>
          <w:color w:val="auto"/>
        </w:rPr>
        <w:t>We record sales when persuasive evidence of an arrangement exists, delivery has occurred, title has been transferred, the selling price is fixed, and collectability is reasonably assured. We include in revenue any amounts invoiced for shipping and handling. The timing of revenue recognition is dependent upon the contractual arrangement with customers. These arrangements, which may include provisions for transfer of title and guarantees of workmanship, are specific to each customer. Some of these contracts provide for a transfer of title upon delivery, or upon reaching a specific date, while other contracts provide for title transfer to occur upon consumption of the product.</w:t>
      </w:r>
    </w:p>
    <w:p>
      <w:pPr>
        <w:spacing w:after="0" w:line="149"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Engineered Composites segment. We use the percentage of completion (actual cost to estimated cost) method for accounting for these projects. That method requires significant judgment and estimation, which could be considerably different if the underlying circumstances were to change. When adjustments in estimated contract revenues or costs are required, any changes from prior estimates are included in earnings in the current period.</w:t>
      </w:r>
    </w:p>
    <w:p>
      <w:pPr>
        <w:spacing w:after="0" w:line="148" w:lineRule="exact"/>
        <w:rPr>
          <w:sz w:val="20"/>
          <w:szCs w:val="20"/>
          <w:color w:val="auto"/>
        </w:rPr>
      </w:pPr>
    </w:p>
    <w:p>
      <w:pPr>
        <w:ind w:right="40" w:firstLine="360"/>
        <w:spacing w:after="0" w:line="237" w:lineRule="auto"/>
        <w:rPr>
          <w:sz w:val="20"/>
          <w:szCs w:val="20"/>
          <w:color w:val="auto"/>
        </w:rPr>
      </w:pPr>
      <w:r>
        <w:rPr>
          <w:rFonts w:ascii="Arial" w:cs="Arial" w:eastAsia="Arial" w:hAnsi="Arial"/>
          <w:sz w:val="18"/>
          <w:szCs w:val="18"/>
          <w:color w:val="auto"/>
        </w:rPr>
        <w:t>The Engineered Composites segment also has long-term aerospace contracts under which there are two phases: a phase during which the production part is designed and tested, and a phase of supplying production parts. Certain costs are capitalized during the first phase, such as costs for engineering, equipment, and inventory, where recovery is probable. Revenue will be recognized during the second phase using a percentage of completion method. Accumulated capitalized costs are written off when those costs are determined to be unrecoverable. Depending on the type of contract, we determine our percentage of completion using either the cost to cost method, or the units of delivery method.</w:t>
      </w:r>
    </w:p>
    <w:p>
      <w:pPr>
        <w:spacing w:after="0" w:line="151" w:lineRule="exact"/>
        <w:rPr>
          <w:sz w:val="20"/>
          <w:szCs w:val="20"/>
          <w:color w:val="auto"/>
        </w:rPr>
      </w:pPr>
    </w:p>
    <w:p>
      <w:pPr>
        <w:ind w:right="200" w:firstLine="360"/>
        <w:spacing w:after="0"/>
        <w:rPr>
          <w:sz w:val="20"/>
          <w:szCs w:val="20"/>
          <w:color w:val="auto"/>
        </w:rPr>
      </w:pPr>
      <w:r>
        <w:rPr>
          <w:rFonts w:ascii="Arial" w:cs="Arial" w:eastAsia="Arial" w:hAnsi="Arial"/>
          <w:sz w:val="18"/>
          <w:szCs w:val="18"/>
          <w:color w:val="auto"/>
        </w:rPr>
        <w:t>We limit the concentration of credit risk in receivables by closely monitoring credit and collection policies. We record allowances for sales returns as a deduction in the computation of net sales. Such provisions are recorded on the basis of written communication with customers and/or historical experience. Any value added taxes that are imposed on sales transactions are excluded from net sales.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80" w:lineRule="exact"/>
        <w:rPr>
          <w:sz w:val="20"/>
          <w:szCs w:val="20"/>
          <w:color w:val="auto"/>
        </w:rPr>
      </w:pPr>
    </w:p>
    <w:p>
      <w:pPr>
        <w:ind w:right="440" w:firstLine="360"/>
        <w:spacing w:after="0" w:line="246" w:lineRule="auto"/>
        <w:rPr>
          <w:sz w:val="20"/>
          <w:szCs w:val="20"/>
          <w:color w:val="auto"/>
        </w:rPr>
      </w:pPr>
      <w:r>
        <w:rPr>
          <w:rFonts w:ascii="Arial" w:cs="Arial" w:eastAsia="Arial" w:hAnsi="Arial"/>
          <w:sz w:val="18"/>
          <w:szCs w:val="18"/>
          <w:color w:val="auto"/>
        </w:rPr>
        <w:t>Cost of goods sold includes the cost of materials, provisions for obsolete inventories, labor and supplies, shipping and handling costs, depreciation of manufacturing facilities and equipment, purchasing, receiving, warehousing, and other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Selling, General, Technical, Product Engineering, and Research Expenses</w:t>
      </w:r>
    </w:p>
    <w:p>
      <w:pPr>
        <w:spacing w:after="0" w:line="180" w:lineRule="exact"/>
        <w:rPr>
          <w:sz w:val="20"/>
          <w:szCs w:val="20"/>
          <w:color w:val="auto"/>
        </w:rPr>
      </w:pPr>
    </w:p>
    <w:p>
      <w:pPr>
        <w:ind w:right="140" w:firstLine="360"/>
        <w:spacing w:after="0" w:line="239" w:lineRule="auto"/>
        <w:rPr>
          <w:sz w:val="20"/>
          <w:szCs w:val="20"/>
          <w:color w:val="auto"/>
        </w:rPr>
      </w:pPr>
      <w:r>
        <w:rPr>
          <w:rFonts w:ascii="Arial" w:cs="Arial" w:eastAsia="Arial" w:hAnsi="Arial"/>
          <w:sz w:val="18"/>
          <w:szCs w:val="18"/>
          <w:color w:val="auto"/>
        </w:rPr>
        <w:t>Selling, general, technical, and product engineering expenses are primarily comprised of wages, benefits, travel, professional fees, revaluation of trade foreign currency balances, and other costs, and are expensed as incurred. Provisions for bad debts are included in selling expense</w:t>
      </w:r>
      <w:r>
        <w:rPr>
          <w:rFonts w:ascii="Arial" w:cs="Arial" w:eastAsia="Arial" w:hAnsi="Arial"/>
          <w:sz w:val="18"/>
          <w:szCs w:val="18"/>
          <w:i w:val="1"/>
          <w:iCs w:val="1"/>
          <w:color w:val="auto"/>
        </w:rPr>
        <w:t>.</w:t>
      </w:r>
      <w:r>
        <w:rPr>
          <w:rFonts w:ascii="Arial" w:cs="Arial" w:eastAsia="Arial" w:hAnsi="Arial"/>
          <w:sz w:val="18"/>
          <w:szCs w:val="18"/>
          <w:color w:val="auto"/>
        </w:rPr>
        <w:t xml:space="preserve"> Research expenses are charged to operations as incurred and consist primarily of compensation, supplies, and professional fees incurred in connection with intellectual property.</w:t>
      </w:r>
    </w:p>
    <w:p>
      <w:pPr>
        <w:spacing w:after="0" w:line="148" w:lineRule="exact"/>
        <w:rPr>
          <w:sz w:val="20"/>
          <w:szCs w:val="20"/>
          <w:color w:val="auto"/>
        </w:rPr>
      </w:pPr>
    </w:p>
    <w:p>
      <w:pPr>
        <w:ind w:right="200" w:firstLine="360"/>
        <w:spacing w:after="0" w:line="237" w:lineRule="auto"/>
        <w:rPr>
          <w:sz w:val="20"/>
          <w:szCs w:val="20"/>
          <w:color w:val="auto"/>
        </w:rPr>
      </w:pPr>
      <w:r>
        <w:rPr>
          <w:rFonts w:ascii="Arial" w:cs="Arial" w:eastAsia="Arial" w:hAnsi="Arial"/>
          <w:sz w:val="18"/>
          <w:szCs w:val="18"/>
          <w:color w:val="auto"/>
        </w:rPr>
        <w:t>The Engineered Composites segment participates in both Company-sponsored, and customer-funded research and development. Some customer-funded research and development may be on a cost-sharing basis, in which case amounts charged to the customer are credited against research and development expense. Expenses were reduced by $0.8 million in 2012 and $0.3 million in 2011 as a result of such arrangements. For customer funded research and development in which we anticipate funding to exceed expenses, we include amounts charged to the customer in net sales. Through 2012, revenue earned under these arrangements has been insignificant. Total Company research expense was $27.6 million in 2012, $29.0 million in 2011, and $26.1 million in 2010.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80"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We may incur expenses related to restructuring of our operations, which could include employee termination costs, costs to consolidate or close facilities, or costs to terminate contractual relationships. Employee termination costs include the severance pay and social costs for periods after employee service is completed. Termination costs related to an ongoing benefit arrangement are recognized when the amount becomes probable and estimable. Termination costs related to a one-time benefit arrangement are recognized at the communication date to employees. Costs related to contract termination, relocation of employees, and the consolidation or the closure of facilities, are recognized when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Deferred income taxes are recognized for the tax consequences of temporary differences by applying enacted statutory tax rates applicable for future years to differences between financial statement and tax bases of existing assets and liabilities. The effect of tax rate changes on deferred taxes is recognized in the income tax provision in the period that includes the enactment date. A tax valuation allowance is established, as needed, to reduce net deferred tax assets to the amount expected to be realized. In the event it becomes more likely than not that some or all of the deferred tax asset allowances will not be needed, the valuation allowance will be adjusted.</w:t>
      </w:r>
    </w:p>
    <w:p>
      <w:pPr>
        <w:spacing w:after="0" w:line="149"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determined the amount of the tax benefit to be recognized by estimating the largest amount of tax benefit that has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has also been recognized. We recognize accrued interest and penalties related to unrecognized tax benefits as a component of income tax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80"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The income/(loss) from discontinued operations includes operating income and expenses previously attributed to businesses that were sold in 2012 and, additionally, amounts previously reported as Unallocated expenses, and Other income/expense that were directly related to the divested businesses. Unallocated expenses attributed to the discontinued business include expenses related to global information systems. Interest expense is attributed to the discontinued business only when such expense results from direct third-party borrowings.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0"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Net income or loss per share is computed using the weighted average number of shares of Class A Common Stock and Class B Common Stock outstanding during each year. Diluted net income per share includes the effect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9" w:name="page50"/>
    <w:bookmarkEnd w:id="49"/>
    <w:p>
      <w:pPr>
        <w:ind w:right="40"/>
        <w:spacing w:after="0" w:line="246" w:lineRule="auto"/>
        <w:rPr>
          <w:sz w:val="20"/>
          <w:szCs w:val="20"/>
          <w:color w:val="auto"/>
        </w:rPr>
      </w:pPr>
      <w:r>
        <w:rPr>
          <w:rFonts w:ascii="Arial" w:cs="Arial" w:eastAsia="Arial" w:hAnsi="Arial"/>
          <w:sz w:val="18"/>
          <w:szCs w:val="18"/>
          <w:color w:val="auto"/>
        </w:rPr>
        <w:t>all potentially dilutive securities. If we report a net loss, or net loss from continuing operations, the diluted loss is equal to the basic earnings per share calculation.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Financial Statements</w:t>
      </w:r>
    </w:p>
    <w:p>
      <w:pPr>
        <w:spacing w:after="0" w:line="180" w:lineRule="exact"/>
        <w:rPr>
          <w:sz w:val="20"/>
          <w:szCs w:val="20"/>
          <w:color w:val="auto"/>
        </w:rPr>
      </w:pPr>
    </w:p>
    <w:p>
      <w:pPr>
        <w:jc w:val="both"/>
        <w:ind w:right="80" w:firstLine="360"/>
        <w:spacing w:after="0"/>
        <w:rPr>
          <w:sz w:val="20"/>
          <w:szCs w:val="20"/>
          <w:color w:val="auto"/>
        </w:rPr>
      </w:pPr>
      <w:r>
        <w:rPr>
          <w:rFonts w:ascii="Arial" w:cs="Arial" w:eastAsia="Arial" w:hAnsi="Arial"/>
          <w:sz w:val="18"/>
          <w:szCs w:val="18"/>
          <w:color w:val="auto"/>
        </w:rPr>
        <w:t>Assets and liabilities of non-U.S. operations are translated at year-end rates of exchange, and the income statements are translated at the average rates of exchange for the year. Gains or losses resulting from translating non-U.S. currency financial statements are recorded in other comprehensive income and accumulated in shareholders’ equity in the caption Translation adjustments.</w:t>
      </w:r>
    </w:p>
    <w:p>
      <w:pPr>
        <w:spacing w:after="0" w:line="149" w:lineRule="exact"/>
        <w:rPr>
          <w:sz w:val="20"/>
          <w:szCs w:val="20"/>
          <w:color w:val="auto"/>
        </w:rPr>
      </w:pPr>
    </w:p>
    <w:p>
      <w:pPr>
        <w:ind w:right="80" w:firstLine="360"/>
        <w:spacing w:after="0" w:line="238" w:lineRule="auto"/>
        <w:rPr>
          <w:sz w:val="20"/>
          <w:szCs w:val="20"/>
          <w:color w:val="auto"/>
        </w:rPr>
      </w:pPr>
      <w:r>
        <w:rPr>
          <w:rFonts w:ascii="Arial" w:cs="Arial" w:eastAsia="Arial" w:hAnsi="Arial"/>
          <w:sz w:val="18"/>
          <w:szCs w:val="18"/>
          <w:color w:val="auto"/>
        </w:rPr>
        <w:t>Gains or losses resulting from short-term intercompany loans and balances denominated in a currency other than the entity’s local currency, forward exchange contracts that are not designated as hedges for accounting purposes, and futures contracts are generally included in income in Other (income)/expense, net. Gains and losses on long-term intercompany loans not intended to be repaid in the foreseeable future are recorded in other comprehensive income. Gains and losses resulting from other balances denominated in a currency other than the entity’s local currency are recorded in Selling and general expenses.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foreign currency transaction gains and losses recognized in the income statement: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33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2012</w:t>
            </w:r>
          </w:p>
        </w:tc>
        <w:tc>
          <w:tcPr>
            <w:tcW w:w="20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6"/>
                <w:szCs w:val="16"/>
                <w:color w:val="auto"/>
              </w:rPr>
              <w:t>2011</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line="195" w:lineRule="exact"/>
              <w:rPr>
                <w:sz w:val="20"/>
                <w:szCs w:val="20"/>
                <w:color w:val="auto"/>
              </w:rPr>
            </w:pPr>
            <w:r>
              <w:rPr>
                <w:rFonts w:ascii="Arial" w:cs="Arial" w:eastAsia="Arial" w:hAnsi="Arial"/>
                <w:sz w:val="18"/>
                <w:szCs w:val="18"/>
                <w:color w:val="auto"/>
              </w:rPr>
              <w:t>Losses/(gains) included in:</w:t>
            </w:r>
          </w:p>
        </w:tc>
        <w:tc>
          <w:tcPr>
            <w:tcW w:w="3360" w:type="dxa"/>
            <w:vAlign w:val="bottom"/>
            <w:vMerge w:val="restart"/>
          </w:tcPr>
          <w:p>
            <w:pPr>
              <w:jc w:val="right"/>
              <w:ind w:right="612"/>
              <w:spacing w:after="0"/>
              <w:rPr>
                <w:sz w:val="20"/>
                <w:szCs w:val="20"/>
                <w:color w:val="auto"/>
              </w:rPr>
            </w:pPr>
            <w:r>
              <w:rPr>
                <w:rFonts w:ascii="Arial" w:cs="Arial" w:eastAsia="Arial" w:hAnsi="Arial"/>
                <w:sz w:val="18"/>
                <w:szCs w:val="18"/>
                <w:b w:val="1"/>
                <w:bCs w:val="1"/>
                <w:color w:val="auto"/>
              </w:rPr>
              <w:t>$1,642</w:t>
            </w:r>
          </w:p>
        </w:tc>
        <w:tc>
          <w:tcPr>
            <w:tcW w:w="2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40" w:type="dxa"/>
            <w:vAlign w:val="bottom"/>
          </w:tcPr>
          <w:p>
            <w:pPr>
              <w:ind w:left="160"/>
              <w:spacing w:after="0" w:line="181" w:lineRule="exact"/>
              <w:rPr>
                <w:sz w:val="20"/>
                <w:szCs w:val="20"/>
                <w:color w:val="auto"/>
              </w:rPr>
            </w:pPr>
            <w:r>
              <w:rPr>
                <w:rFonts w:ascii="Arial" w:cs="Arial" w:eastAsia="Arial" w:hAnsi="Arial"/>
                <w:sz w:val="18"/>
                <w:szCs w:val="18"/>
                <w:color w:val="auto"/>
              </w:rPr>
              <w:t>Selling and general expenses</w:t>
            </w:r>
          </w:p>
        </w:tc>
        <w:tc>
          <w:tcPr>
            <w:tcW w:w="3360" w:type="dxa"/>
            <w:vAlign w:val="bottom"/>
            <w:vMerge w:val="continue"/>
          </w:tcPr>
          <w:p>
            <w:pPr>
              <w:spacing w:after="0"/>
              <w:rPr>
                <w:sz w:val="15"/>
                <w:szCs w:val="15"/>
                <w:color w:val="auto"/>
              </w:rPr>
            </w:pPr>
          </w:p>
        </w:tc>
        <w:tc>
          <w:tcPr>
            <w:tcW w:w="2040" w:type="dxa"/>
            <w:vAlign w:val="bottom"/>
          </w:tcPr>
          <w:p>
            <w:pPr>
              <w:jc w:val="right"/>
              <w:ind w:right="592"/>
              <w:spacing w:after="0" w:line="181" w:lineRule="exact"/>
              <w:rPr>
                <w:sz w:val="20"/>
                <w:szCs w:val="20"/>
                <w:color w:val="auto"/>
              </w:rPr>
            </w:pPr>
            <w:r>
              <w:rPr>
                <w:rFonts w:ascii="Arial" w:cs="Arial" w:eastAsia="Arial" w:hAnsi="Arial"/>
                <w:sz w:val="18"/>
                <w:szCs w:val="18"/>
                <w:color w:val="auto"/>
              </w:rPr>
              <w:t>($2,677)</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expense/(income), net</w:t>
            </w:r>
          </w:p>
        </w:tc>
        <w:tc>
          <w:tcPr>
            <w:tcW w:w="336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5,708</w:t>
            </w:r>
          </w:p>
        </w:tc>
        <w:tc>
          <w:tcPr>
            <w:tcW w:w="20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(84)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transaction losses/(gains)</w:t>
            </w:r>
          </w:p>
        </w:tc>
        <w:tc>
          <w:tcPr>
            <w:tcW w:w="3360" w:type="dxa"/>
            <w:vAlign w:val="bottom"/>
            <w:tcBorders>
              <w:bottom w:val="single" w:sz="8" w:color="auto"/>
            </w:tcBorders>
          </w:tcPr>
          <w:p>
            <w:pPr>
              <w:jc w:val="right"/>
              <w:ind w:right="612"/>
              <w:spacing w:after="0" w:line="196" w:lineRule="exact"/>
              <w:rPr>
                <w:sz w:val="20"/>
                <w:szCs w:val="20"/>
                <w:color w:val="auto"/>
              </w:rPr>
            </w:pPr>
            <w:r>
              <w:rPr>
                <w:rFonts w:ascii="Arial" w:cs="Arial" w:eastAsia="Arial" w:hAnsi="Arial"/>
                <w:sz w:val="18"/>
                <w:szCs w:val="18"/>
                <w:b w:val="1"/>
                <w:bCs w:val="1"/>
                <w:color w:val="auto"/>
              </w:rPr>
              <w:t>$7,350</w:t>
            </w:r>
          </w:p>
        </w:tc>
        <w:tc>
          <w:tcPr>
            <w:tcW w:w="2040" w:type="dxa"/>
            <w:vAlign w:val="bottom"/>
            <w:tcBorders>
              <w:bottom w:val="single" w:sz="8" w:color="auto"/>
            </w:tcBorders>
          </w:tcPr>
          <w:p>
            <w:pPr>
              <w:jc w:val="right"/>
              <w:ind w:right="592"/>
              <w:spacing w:after="0" w:line="196" w:lineRule="exact"/>
              <w:rPr>
                <w:sz w:val="20"/>
                <w:szCs w:val="20"/>
                <w:color w:val="auto"/>
              </w:rPr>
            </w:pPr>
            <w:r>
              <w:rPr>
                <w:rFonts w:ascii="Arial" w:cs="Arial" w:eastAsia="Arial" w:hAnsi="Arial"/>
                <w:sz w:val="18"/>
                <w:szCs w:val="18"/>
                <w:color w:val="auto"/>
              </w:rPr>
              <w:t>($2,761)</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consist of cash and highly liquid short-term investments with original maturities of three months or less.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0"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Engineered Composites contracts accounted for under the percentage of completion method.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2012 and 2011, Accounts receivable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4660" w:type="dxa"/>
            <w:vAlign w:val="bottom"/>
            <w:tcBorders>
              <w:top w:val="single" w:sz="8" w:color="auto"/>
              <w:bottom w:val="single" w:sz="8" w:color="auto"/>
            </w:tcBorders>
          </w:tcPr>
          <w:p>
            <w:pPr>
              <w:jc w:val="right"/>
              <w:ind w:right="791"/>
              <w:spacing w:after="0"/>
              <w:rPr>
                <w:sz w:val="20"/>
                <w:szCs w:val="20"/>
                <w:color w:val="auto"/>
              </w:rPr>
            </w:pPr>
            <w:r>
              <w:rPr>
                <w:rFonts w:ascii="Arial" w:cs="Arial" w:eastAsia="Arial" w:hAnsi="Arial"/>
                <w:sz w:val="16"/>
                <w:szCs w:val="16"/>
                <w:b w:val="1"/>
                <w:bCs w:val="1"/>
                <w:color w:val="auto"/>
              </w:rPr>
              <w:t>2012</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20" w:type="dxa"/>
            <w:vAlign w:val="bottom"/>
          </w:tcPr>
          <w:p>
            <w:pPr>
              <w:spacing w:after="0"/>
              <w:rPr>
                <w:sz w:val="17"/>
                <w:szCs w:val="17"/>
                <w:color w:val="auto"/>
              </w:rPr>
            </w:pPr>
          </w:p>
        </w:tc>
      </w:tr>
      <w:tr>
        <w:trPr>
          <w:trHeight w:val="173"/>
        </w:trPr>
        <w:tc>
          <w:tcPr>
            <w:tcW w:w="5140" w:type="dxa"/>
            <w:vAlign w:val="bottom"/>
          </w:tcPr>
          <w:p>
            <w:pPr>
              <w:spacing w:after="0" w:line="173" w:lineRule="exact"/>
              <w:rPr>
                <w:sz w:val="20"/>
                <w:szCs w:val="20"/>
                <w:color w:val="auto"/>
              </w:rPr>
            </w:pPr>
            <w:r>
              <w:rPr>
                <w:rFonts w:ascii="Arial" w:cs="Arial" w:eastAsia="Arial" w:hAnsi="Arial"/>
                <w:sz w:val="18"/>
                <w:szCs w:val="18"/>
                <w:color w:val="auto"/>
              </w:rPr>
              <w:t>Trade accounts receivable</w:t>
            </w:r>
          </w:p>
        </w:tc>
        <w:tc>
          <w:tcPr>
            <w:tcW w:w="4660" w:type="dxa"/>
            <w:vAlign w:val="bottom"/>
          </w:tcPr>
          <w:p>
            <w:pPr>
              <w:jc w:val="right"/>
              <w:ind w:right="791"/>
              <w:spacing w:after="0" w:line="173" w:lineRule="exact"/>
              <w:rPr>
                <w:sz w:val="20"/>
                <w:szCs w:val="20"/>
                <w:color w:val="auto"/>
              </w:rPr>
            </w:pPr>
            <w:r>
              <w:rPr>
                <w:rFonts w:ascii="Arial" w:cs="Arial" w:eastAsia="Arial" w:hAnsi="Arial"/>
                <w:sz w:val="18"/>
                <w:szCs w:val="18"/>
                <w:b w:val="1"/>
                <w:bCs w:val="1"/>
                <w:color w:val="auto"/>
              </w:rPr>
              <w:t>$149,737</w:t>
            </w:r>
          </w:p>
        </w:tc>
        <w:tc>
          <w:tcPr>
            <w:tcW w:w="1620" w:type="dxa"/>
            <w:vAlign w:val="bottom"/>
          </w:tcPr>
          <w:p>
            <w:pPr>
              <w:jc w:val="right"/>
              <w:spacing w:after="0" w:line="173" w:lineRule="exact"/>
              <w:rPr>
                <w:sz w:val="20"/>
                <w:szCs w:val="20"/>
                <w:color w:val="auto"/>
              </w:rPr>
            </w:pPr>
            <w:r>
              <w:rPr>
                <w:rFonts w:ascii="Arial" w:cs="Arial" w:eastAsia="Arial" w:hAnsi="Arial"/>
                <w:sz w:val="18"/>
                <w:szCs w:val="18"/>
                <w:color w:val="auto"/>
              </w:rPr>
              <w:t>$152,009</w:t>
            </w:r>
          </w:p>
        </w:tc>
        <w:tc>
          <w:tcPr>
            <w:tcW w:w="20" w:type="dxa"/>
            <w:vAlign w:val="bottom"/>
          </w:tcPr>
          <w:p>
            <w:pPr>
              <w:spacing w:after="0"/>
              <w:rPr>
                <w:sz w:val="15"/>
                <w:szCs w:val="15"/>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660" w:type="dxa"/>
            <w:vAlign w:val="bottom"/>
          </w:tcPr>
          <w:p>
            <w:pPr>
              <w:jc w:val="right"/>
              <w:ind w:right="791"/>
              <w:spacing w:after="0" w:line="202" w:lineRule="exact"/>
              <w:rPr>
                <w:sz w:val="20"/>
                <w:szCs w:val="20"/>
                <w:color w:val="auto"/>
              </w:rPr>
            </w:pPr>
            <w:r>
              <w:rPr>
                <w:rFonts w:ascii="Arial" w:cs="Arial" w:eastAsia="Arial" w:hAnsi="Arial"/>
                <w:sz w:val="18"/>
                <w:szCs w:val="18"/>
                <w:b w:val="1"/>
                <w:bCs w:val="1"/>
                <w:color w:val="auto"/>
              </w:rPr>
              <w:t>17,105</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6,231</w:t>
            </w: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Receivables related to the sale of discontinued businesses</w:t>
            </w:r>
          </w:p>
        </w:tc>
        <w:tc>
          <w:tcPr>
            <w:tcW w:w="4660" w:type="dxa"/>
            <w:vAlign w:val="bottom"/>
          </w:tcPr>
          <w:p>
            <w:pPr>
              <w:jc w:val="right"/>
              <w:ind w:right="791"/>
              <w:spacing w:after="0" w:line="202" w:lineRule="exact"/>
              <w:rPr>
                <w:sz w:val="20"/>
                <w:szCs w:val="20"/>
                <w:color w:val="auto"/>
              </w:rPr>
            </w:pPr>
            <w:r>
              <w:rPr>
                <w:rFonts w:ascii="Arial" w:cs="Arial" w:eastAsia="Arial" w:hAnsi="Arial"/>
                <w:sz w:val="18"/>
                <w:szCs w:val="18"/>
                <w:b w:val="1"/>
                <w:bCs w:val="1"/>
                <w:color w:val="auto"/>
              </w:rPr>
              <w:t>16,555</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5"/>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466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(11,862)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20" w:type="dxa"/>
            <w:vAlign w:val="bottom"/>
          </w:tcPr>
          <w:p>
            <w:pPr>
              <w:spacing w:after="0"/>
              <w:rPr>
                <w:sz w:val="19"/>
                <w:szCs w:val="19"/>
                <w:color w:val="auto"/>
              </w:rPr>
            </w:pPr>
          </w:p>
        </w:tc>
      </w:tr>
      <w:tr>
        <w:trPr>
          <w:trHeight w:val="196"/>
        </w:trPr>
        <w:tc>
          <w:tcPr>
            <w:tcW w:w="5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660" w:type="dxa"/>
            <w:vAlign w:val="bottom"/>
            <w:tcBorders>
              <w:bottom w:val="single" w:sz="8" w:color="auto"/>
            </w:tcBorders>
          </w:tcPr>
          <w:p>
            <w:pPr>
              <w:jc w:val="right"/>
              <w:ind w:right="791"/>
              <w:spacing w:after="0" w:line="196" w:lineRule="exact"/>
              <w:rPr>
                <w:sz w:val="20"/>
                <w:szCs w:val="20"/>
                <w:color w:val="auto"/>
              </w:rPr>
            </w:pPr>
            <w:r>
              <w:rPr>
                <w:rFonts w:ascii="Arial" w:cs="Arial" w:eastAsia="Arial" w:hAnsi="Arial"/>
                <w:sz w:val="18"/>
                <w:szCs w:val="18"/>
                <w:b w:val="1"/>
                <w:bCs w:val="1"/>
                <w:color w:val="auto"/>
              </w:rPr>
              <w:t>$171,535</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$147,511</w:t>
            </w:r>
          </w:p>
        </w:tc>
        <w:tc>
          <w:tcPr>
            <w:tcW w:w="20" w:type="dxa"/>
            <w:vAlign w:val="bottom"/>
          </w:tcPr>
          <w:p>
            <w:pPr>
              <w:spacing w:after="0"/>
              <w:rPr>
                <w:sz w:val="17"/>
                <w:szCs w:val="17"/>
                <w:color w:val="auto"/>
              </w:rPr>
            </w:pPr>
          </w:p>
        </w:tc>
      </w:tr>
      <w:tr>
        <w:trPr>
          <w:trHeight w:val="601"/>
        </w:trPr>
        <w:tc>
          <w:tcPr>
            <w:tcW w:w="5140" w:type="dxa"/>
            <w:vAlign w:val="bottom"/>
          </w:tcPr>
          <w:p>
            <w:pPr>
              <w:spacing w:after="0"/>
              <w:rPr>
                <w:sz w:val="24"/>
                <w:szCs w:val="24"/>
                <w:color w:val="auto"/>
              </w:rPr>
            </w:pPr>
          </w:p>
        </w:tc>
        <w:tc>
          <w:tcPr>
            <w:tcW w:w="4660" w:type="dxa"/>
            <w:vAlign w:val="bottom"/>
          </w:tcPr>
          <w:p>
            <w:pPr>
              <w:jc w:val="right"/>
              <w:ind w:right="3891"/>
              <w:spacing w:after="0"/>
              <w:rPr>
                <w:sz w:val="20"/>
                <w:szCs w:val="20"/>
                <w:color w:val="auto"/>
              </w:rPr>
            </w:pPr>
            <w:r>
              <w:rPr>
                <w:rFonts w:ascii="Arial" w:cs="Arial" w:eastAsia="Arial" w:hAnsi="Arial"/>
                <w:sz w:val="18"/>
                <w:szCs w:val="18"/>
                <w:color w:val="auto"/>
              </w:rPr>
              <w:t>50</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14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Inventories</w:t>
      </w:r>
    </w:p>
    <w:p>
      <w:pPr>
        <w:spacing w:after="0" w:line="180" w:lineRule="exact"/>
        <w:rPr>
          <w:sz w:val="20"/>
          <w:szCs w:val="20"/>
          <w:color w:val="auto"/>
        </w:rPr>
      </w:pPr>
    </w:p>
    <w:p>
      <w:pPr>
        <w:ind w:right="240" w:firstLine="360"/>
        <w:spacing w:after="0" w:line="246"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We record a provision for obsolete inventory based on the age and category of the inventories. As of December 31, 2012 and 2011, inventories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9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173"/>
        </w:trPr>
        <w:tc>
          <w:tcPr>
            <w:tcW w:w="384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3920" w:type="dxa"/>
            <w:vAlign w:val="bottom"/>
          </w:tcPr>
          <w:p>
            <w:pPr>
              <w:jc w:val="right"/>
              <w:ind w:right="532"/>
              <w:spacing w:after="0" w:line="173" w:lineRule="exact"/>
              <w:rPr>
                <w:sz w:val="20"/>
                <w:szCs w:val="20"/>
                <w:color w:val="auto"/>
              </w:rPr>
            </w:pPr>
            <w:r>
              <w:rPr>
                <w:rFonts w:ascii="Arial" w:cs="Arial" w:eastAsia="Arial" w:hAnsi="Arial"/>
                <w:sz w:val="18"/>
                <w:szCs w:val="18"/>
                <w:b w:val="1"/>
                <w:bCs w:val="1"/>
                <w:color w:val="auto"/>
              </w:rPr>
              <w:t>$25,082</w:t>
            </w:r>
          </w:p>
        </w:tc>
        <w:tc>
          <w:tcPr>
            <w:tcW w:w="1380" w:type="dxa"/>
            <w:vAlign w:val="bottom"/>
          </w:tcPr>
          <w:p>
            <w:pPr>
              <w:jc w:val="right"/>
              <w:spacing w:after="0" w:line="173" w:lineRule="exact"/>
              <w:rPr>
                <w:sz w:val="20"/>
                <w:szCs w:val="20"/>
                <w:color w:val="auto"/>
              </w:rPr>
            </w:pPr>
            <w:r>
              <w:rPr>
                <w:rFonts w:ascii="Arial" w:cs="Arial" w:eastAsia="Arial" w:hAnsi="Arial"/>
                <w:sz w:val="18"/>
                <w:szCs w:val="18"/>
                <w:color w:val="auto"/>
              </w:rPr>
              <w:t>$28,711</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3920" w:type="dxa"/>
            <w:vAlign w:val="bottom"/>
          </w:tcPr>
          <w:p>
            <w:pPr>
              <w:jc w:val="right"/>
              <w:ind w:right="532"/>
              <w:spacing w:after="0" w:line="202" w:lineRule="exact"/>
              <w:rPr>
                <w:sz w:val="20"/>
                <w:szCs w:val="20"/>
                <w:color w:val="auto"/>
              </w:rPr>
            </w:pPr>
            <w:r>
              <w:rPr>
                <w:rFonts w:ascii="Arial" w:cs="Arial" w:eastAsia="Arial" w:hAnsi="Arial"/>
                <w:sz w:val="18"/>
                <w:szCs w:val="18"/>
                <w:b w:val="1"/>
                <w:bCs w:val="1"/>
                <w:color w:val="auto"/>
              </w:rPr>
              <w:t>44,866</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39,552</w:t>
            </w:r>
          </w:p>
        </w:tc>
      </w:tr>
      <w:tr>
        <w:trPr>
          <w:trHeight w:val="225"/>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39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49,235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61,540</w:t>
            </w:r>
          </w:p>
        </w:tc>
      </w:tr>
      <w:tr>
        <w:trPr>
          <w:trHeight w:val="196"/>
        </w:trPr>
        <w:tc>
          <w:tcPr>
            <w:tcW w:w="3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3920" w:type="dxa"/>
            <w:vAlign w:val="bottom"/>
            <w:tcBorders>
              <w:bottom w:val="single" w:sz="8" w:color="auto"/>
            </w:tcBorders>
          </w:tcPr>
          <w:p>
            <w:pPr>
              <w:jc w:val="right"/>
              <w:ind w:right="532"/>
              <w:spacing w:after="0" w:line="196" w:lineRule="exact"/>
              <w:rPr>
                <w:sz w:val="20"/>
                <w:szCs w:val="20"/>
                <w:color w:val="auto"/>
              </w:rPr>
            </w:pPr>
            <w:r>
              <w:rPr>
                <w:rFonts w:ascii="Arial" w:cs="Arial" w:eastAsia="Arial" w:hAnsi="Arial"/>
                <w:sz w:val="18"/>
                <w:szCs w:val="18"/>
                <w:b w:val="1"/>
                <w:bCs w:val="1"/>
                <w:color w:val="auto"/>
              </w:rPr>
              <w:t>$119,183</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$129,803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0"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Property, plant and equipment are recorded at cost. Depreciation is recorded using the straight-line method over the estimated useful lives of the assets for financial reporting purposes; in some cases, accelerated methods are used for income tax purposes. Significant additions or improvements extending assets’ useful lives are capitalized; normal maintenance and repair costs are expensed as incurred. The cost of fully depreciated assets remaining in use is included in the respective asset and accumulated depreciation accounts. When items are sold or retired, related gains or losses are included in net income.</w:t>
      </w:r>
    </w:p>
    <w:p>
      <w:pPr>
        <w:spacing w:after="0" w:line="149" w:lineRule="exact"/>
        <w:rPr>
          <w:sz w:val="20"/>
          <w:szCs w:val="20"/>
          <w:color w:val="auto"/>
        </w:rPr>
      </w:pPr>
    </w:p>
    <w:p>
      <w:pPr>
        <w:ind w:right="160" w:firstLine="360"/>
        <w:spacing w:after="0" w:line="238" w:lineRule="auto"/>
        <w:rPr>
          <w:sz w:val="20"/>
          <w:szCs w:val="20"/>
          <w:color w:val="auto"/>
        </w:rPr>
      </w:pPr>
      <w:r>
        <w:rPr>
          <w:rFonts w:ascii="Arial" w:cs="Arial" w:eastAsia="Arial" w:hAnsi="Arial"/>
          <w:sz w:val="18"/>
          <w:szCs w:val="18"/>
          <w:color w:val="auto"/>
        </w:rPr>
        <w:t>Computer software purchased for internal use, at cost, is amortized on a straight-line basis over five to eight years, depending on the nature of the asset, after being placed into service, and is included in property, plant, and equipment. In 2006, we initiated a project to migrate our global enterprise resource planning (ERP) system to SAP and the implementation was completed in 2011. We capitalize internal and external costs incurred related to the software development stage. Capitalized salaries, travel, and consulting costs related to the software development amounted to $0.4 million in 2012 and $2.3 million in 2011.</w:t>
      </w:r>
    </w:p>
    <w:p>
      <w:pPr>
        <w:spacing w:after="0" w:line="149" w:lineRule="exact"/>
        <w:rPr>
          <w:sz w:val="20"/>
          <w:szCs w:val="20"/>
          <w:color w:val="auto"/>
        </w:rPr>
      </w:pPr>
    </w:p>
    <w:p>
      <w:pPr>
        <w:ind w:right="80" w:firstLine="360"/>
        <w:spacing w:after="0"/>
        <w:rPr>
          <w:sz w:val="20"/>
          <w:szCs w:val="20"/>
          <w:color w:val="auto"/>
        </w:rPr>
      </w:pPr>
      <w:r>
        <w:rPr>
          <w:rFonts w:ascii="Arial" w:cs="Arial" w:eastAsia="Arial" w:hAnsi="Arial"/>
          <w:sz w:val="18"/>
          <w:szCs w:val="18"/>
          <w:color w:val="auto"/>
        </w:rPr>
        <w:t>We review the carrying value of property, plant and equipment and other long-lived assets for impairment whenever events and circumstances indicate that the carrying value of an asset may not be recoverable from the estimated future cash flows expected to result from its use and eventual disposition.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Assets</w:t>
      </w:r>
    </w:p>
    <w:p>
      <w:pPr>
        <w:spacing w:after="0" w:line="180"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49" w:lineRule="exact"/>
        <w:rPr>
          <w:sz w:val="20"/>
          <w:szCs w:val="20"/>
          <w:color w:val="auto"/>
        </w:rPr>
      </w:pPr>
    </w:p>
    <w:p>
      <w:pPr>
        <w:ind w:right="40" w:firstLine="360"/>
        <w:spacing w:after="0" w:line="237"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We perform an annual evaluation of goodwill during the second quarter of each year. In 2012, we applied the qualitative assessment approach as described in “Recent Accounting Pronouncements” below. In addition, goodwill and other long -lived assets are reviewed for impairment whenever events, such as significant changes in the business climate, plant closures, changes in product offerings, or other circumstances indicate that the carrying amount may not be recoverable. We are continuing to amortize certain patents, trade names, customer contracts, and technology assets that have finite lives.</w:t>
      </w:r>
    </w:p>
    <w:p>
      <w:pPr>
        <w:spacing w:after="0" w:line="151" w:lineRule="exact"/>
        <w:rPr>
          <w:sz w:val="20"/>
          <w:szCs w:val="20"/>
          <w:color w:val="auto"/>
        </w:rPr>
      </w:pPr>
    </w:p>
    <w:p>
      <w:pPr>
        <w:ind w:right="400" w:firstLine="360"/>
        <w:spacing w:after="0" w:line="246" w:lineRule="auto"/>
        <w:rPr>
          <w:sz w:val="20"/>
          <w:szCs w:val="20"/>
          <w:color w:val="auto"/>
        </w:rPr>
      </w:pPr>
      <w:r>
        <w:rPr>
          <w:rFonts w:ascii="Arial" w:cs="Arial" w:eastAsia="Arial" w:hAnsi="Arial"/>
          <w:sz w:val="18"/>
          <w:szCs w:val="18"/>
          <w:color w:val="auto"/>
        </w:rPr>
        <w:t>We have an investment in a company that is accounted for under the equity method of accounting and is included in Other assets. We perform regular reviews of the financial condition of the investee to determine if our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51" w:name="page52"/>
    <w:bookmarkEnd w:id="51"/>
    <w:p>
      <w:pPr>
        <w:ind w:right="480"/>
        <w:spacing w:after="0" w:line="246" w:lineRule="auto"/>
        <w:rPr>
          <w:sz w:val="20"/>
          <w:szCs w:val="20"/>
          <w:color w:val="auto"/>
        </w:rPr>
      </w:pPr>
      <w:r>
        <w:rPr>
          <w:rFonts w:ascii="Arial" w:cs="Arial" w:eastAsia="Arial" w:hAnsi="Arial"/>
          <w:sz w:val="18"/>
          <w:szCs w:val="18"/>
          <w:color w:val="auto"/>
        </w:rPr>
        <w:t>investment is other than temporarily impaired. If the financial condition of the investee were to no longer support their valuation, we would record an impairment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0"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As described in Note 17, we have stock-based compensation plans for key employees. Stock options are accounted for in accordance with applicable guidance for the modified prospective transition method of share-based payments. No options have been granted since 2002.</w:t>
      </w:r>
    </w:p>
    <w:p>
      <w:pPr>
        <w:spacing w:after="0" w:line="143"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In 2011, shareholders approved the Albany International 2011 Incentive Plan, replacing the similar 2005 Incentive Plan approved by shareholders in 2005. Awards granted to date under these plans provide key members of management with incentive compensation based on achieving certain performance targets. Awards under these plans have had performance periods of from one to three years. Awards with one-year performance periods have been payable in full after the performance period, or over a three-year period following the performance period, partly in cash and partly in shares of Class A Common Stock. Awards with a three-year performance period have been payable in full after the performance period. These awards are measured at fair value as of the end of each reporting period. If a person terminates employment prior to the award becoming fully vested, the person will forfeit all or a portion of the incentive compensation award. Expense associated with this these awards is recognized over the vesting period, which includes the year for which performance targets are measured and may, if payment is made over three years, include the two subsequent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0"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We use derivatives from time to time to reduce potentially large adverse effects from changes in currency exchange rates and interest rates. We monitor our exposure to these risks and evaluate, on an ongoing basis, the risk of potentially large adverse effects versus the costs associated with hedging such risks.</w:t>
      </w:r>
    </w:p>
    <w:p>
      <w:pPr>
        <w:spacing w:after="0" w:line="149"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We use interest rate swaps in the management of interest rate exposures and foreign currency derivatives in the management of foreign currency exposure related to assets and liabilities (including net investments in subsidiaries located outside the U.S.) denominated in foreign currencies. When we enter into a derivative contract, we make a determination whether the transaction is deemed to be a hedge for accounting purposes. For those contracts deemed to be a hedge, we formally document the relationship between the derivative instrument and the risk being hedged. In this documentation, we specifically identify the asset, liability, forecasted transaction, cash flow, or net investment that has been designated as the hedged item, and evaluate whether the derivative instrument is expected to reduce the risks associated with the hedged item. To the extent these criteria are not met, we do not use hedge accounting for the derivative.</w:t>
      </w:r>
    </w:p>
    <w:p>
      <w:pPr>
        <w:spacing w:after="0" w:line="149" w:lineRule="exact"/>
        <w:rPr>
          <w:sz w:val="20"/>
          <w:szCs w:val="20"/>
          <w:color w:val="auto"/>
        </w:rPr>
      </w:pPr>
    </w:p>
    <w:p>
      <w:pPr>
        <w:ind w:right="100" w:firstLine="360"/>
        <w:spacing w:after="0" w:line="238" w:lineRule="auto"/>
        <w:rPr>
          <w:sz w:val="20"/>
          <w:szCs w:val="20"/>
          <w:color w:val="auto"/>
        </w:rPr>
      </w:pPr>
      <w:r>
        <w:rPr>
          <w:rFonts w:ascii="Arial" w:cs="Arial" w:eastAsia="Arial" w:hAnsi="Arial"/>
          <w:sz w:val="18"/>
          <w:szCs w:val="18"/>
          <w:color w:val="auto"/>
        </w:rPr>
        <w:t>All derivative contracts are recorded in the balance sheet at fair value. For transactions that are designated as hedges, we perform an evaluation of the effectiveness of the hedge. To the extent that the hedge is effective, changes in the fair value of the hedge are recorded, net of tax, in other comprehensive income. We measure the effectiveness of hedging relationships both at inception and on an ongoing basis. The ineffective portion of a hedge, if any, and changes in the fair value of a derivative not deemed to be a hedge, are recorded in Other (income)/expense, net.</w:t>
      </w:r>
    </w:p>
    <w:p>
      <w:pPr>
        <w:spacing w:after="0" w:line="149"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For derivatives that are designated and qualify as hedges of net investments in subsidiaries located outside the United States, changes in the fair value of derivatives are reported in other comprehensive income as part of the Cumulative translation adjustment.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w:t>
      </w:r>
    </w:p>
    <w:p>
      <w:pPr>
        <w:spacing w:after="0" w:line="180" w:lineRule="exact"/>
        <w:rPr>
          <w:sz w:val="20"/>
          <w:szCs w:val="20"/>
          <w:color w:val="auto"/>
        </w:rPr>
      </w:pPr>
    </w:p>
    <w:p>
      <w:pPr>
        <w:ind w:right="260" w:firstLine="360"/>
        <w:spacing w:after="0" w:line="238" w:lineRule="auto"/>
        <w:rPr>
          <w:sz w:val="20"/>
          <w:szCs w:val="20"/>
          <w:color w:val="auto"/>
        </w:rPr>
      </w:pPr>
      <w:r>
        <w:rPr>
          <w:rFonts w:ascii="Arial" w:cs="Arial" w:eastAsia="Arial" w:hAnsi="Arial"/>
          <w:sz w:val="18"/>
          <w:szCs w:val="18"/>
          <w:color w:val="auto"/>
        </w:rPr>
        <w:t>As described in Note 4, we have pension and postretirement benefit plans covering substantially all employees. Our defined benefit pension plan in the United States was closed to new participants as of October 1998 and, as of February 2009, benefits accrued under this plan were frozen. Effective January 2005, our postretirement benefit plan was closed to new participants, except for certain life insurance benefits, and in September 2008, we changed the cost sharing arrangement under this program such that increases in health care costs are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52" w:name="page53"/>
    <w:bookmarkEnd w:id="52"/>
    <w:p>
      <w:pPr>
        <w:spacing w:after="0" w:line="236" w:lineRule="auto"/>
        <w:rPr>
          <w:sz w:val="20"/>
          <w:szCs w:val="20"/>
          <w:color w:val="auto"/>
        </w:rPr>
      </w:pPr>
      <w:r>
        <w:rPr>
          <w:rFonts w:ascii="Arial" w:cs="Arial" w:eastAsia="Arial" w:hAnsi="Arial"/>
          <w:sz w:val="18"/>
          <w:szCs w:val="18"/>
          <w:color w:val="auto"/>
        </w:rPr>
        <w:t>responsibility of plan participants. The plans are generally trusteed or insured, and accrued amounts are funded as required in accordance with governing laws and regulations. We have provided certain postretirement medical, dental, and life insurance benefits to certain retirees in the United States and Canada. The annual expense and liabilities recognized for defined benefit pension plans and postretirement benefit plans are developed from actuarial valuations. Inherent in these valuations are key assumptions, including discount rates and expected return on plan assets, which are updated on an annual basis at the beginning of each fiscal year. We consider current market conditions, including changes in interest rates, in making these assumptions. Discount rate assumptions are based on the population of plan participants and a mixture of high-quality fixed-income investments for which the average maturity approximates the average remaining service period of plan participants. The assumption for expected return on plan assets is based on historical and expected returns on various categories of plan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80" w:lineRule="exact"/>
        <w:rPr>
          <w:sz w:val="20"/>
          <w:szCs w:val="20"/>
          <w:color w:val="auto"/>
        </w:rPr>
      </w:pPr>
    </w:p>
    <w:p>
      <w:pPr>
        <w:ind w:right="160" w:firstLine="360"/>
        <w:spacing w:after="0" w:line="238"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 The reportable segments, which are described in more detail in Note 3, are Machine Clothing and Engineered Composites. In the determination of segment operating income, we exclude expenses for Research and Development, and Unallocated expenses, which consist primarily of corporate headquarters and global information systems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0" w:lineRule="exact"/>
        <w:rPr>
          <w:sz w:val="20"/>
          <w:szCs w:val="20"/>
          <w:color w:val="auto"/>
        </w:rPr>
      </w:pPr>
    </w:p>
    <w:p>
      <w:pPr>
        <w:ind w:right="300" w:firstLine="360"/>
        <w:spacing w:after="0" w:line="238" w:lineRule="auto"/>
        <w:rPr>
          <w:sz w:val="20"/>
          <w:szCs w:val="20"/>
          <w:color w:val="auto"/>
        </w:rPr>
      </w:pPr>
      <w:r>
        <w:rPr>
          <w:rFonts w:ascii="Arial" w:cs="Arial" w:eastAsia="Arial" w:hAnsi="Arial"/>
          <w:sz w:val="18"/>
          <w:szCs w:val="18"/>
          <w:color w:val="auto"/>
        </w:rPr>
        <w:t>On February 5, 2013, the Financial Accounting Standards Board (FASB) issued authoritative guidance related to reporting of amounts reclassified out of accumulated other comprehensive income. This pronouncement affects the reporting of reclassification adjustments from accumulated other comprehensive income. The new requirements will take effect for quarterly and annual reporting periods beginning after December 15, 2012. We are required to adopt these provisions in the first quarter of 2013. The guidance affects financial statement presentation only, and we do not expect the adoption of these requirements to have a material effect on our financial statements.</w:t>
      </w:r>
    </w:p>
    <w:p>
      <w:pPr>
        <w:spacing w:after="0" w:line="149"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In June and December 2011, the FASB issued guidance that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 those years, beginning after December 15, 2011. The adoption of this guidance concerns presentation and disclosure only and did not have a material impact on our financial statements.</w:t>
      </w:r>
    </w:p>
    <w:p>
      <w:pPr>
        <w:spacing w:after="0" w:line="149"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In September 2011, the FASB issued guidance intended to reduce the cost and complexity of the annual goodwill impairment test by providing entities an option to perform a “qualitative” assessment to determine whether further impairment testing is necessary. Annually, the Company performs a qualitative assessment for each of its reporting units to determine if the two step process for impairment testing is required. If the Company determines that it is more likely than not that the fair value of a reporting unit is less than its carrying amount, the Company evaluates the recoverability of goodwill using a two-step impairment test approach at the reporting unit level. This pronouncement is effective for annual and interim goodwill impairment tests performed for fiscal years beginning after December 15, 2011. The Company adopted this approach in 2012, and it did not have a material effect on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Discontinued Operations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October, 2011 we entered into a contract to sell the assets and liabilities of our Albany Door Systems business to Assa Abloy AB for</w:t>
      </w:r>
    </w:p>
    <w:p>
      <w:pPr>
        <w:spacing w:after="0" w:line="234" w:lineRule="auto"/>
        <w:rPr>
          <w:sz w:val="20"/>
          <w:szCs w:val="20"/>
          <w:color w:val="auto"/>
        </w:rPr>
      </w:pPr>
      <w:r>
        <w:rPr>
          <w:rFonts w:ascii="Arial" w:cs="Arial" w:eastAsia="Arial" w:hAnsi="Arial"/>
          <w:sz w:val="18"/>
          <w:szCs w:val="18"/>
          <w:color w:val="auto"/>
        </w:rPr>
        <w:t>$130 million. Closing on the transaction occurred on January 11, 2012, and the Company recorded a pre-tax gain of $57.4 million as a result of</w:t>
      </w:r>
    </w:p>
    <w:p>
      <w:pPr>
        <w:spacing w:after="0" w:line="235" w:lineRule="auto"/>
        <w:rPr>
          <w:sz w:val="20"/>
          <w:szCs w:val="20"/>
          <w:color w:val="auto"/>
        </w:rPr>
      </w:pPr>
      <w:r>
        <w:rPr>
          <w:rFonts w:ascii="Arial" w:cs="Arial" w:eastAsia="Arial" w:hAnsi="Arial"/>
          <w:sz w:val="18"/>
          <w:szCs w:val="18"/>
          <w:color w:val="auto"/>
        </w:rPr>
        <w:t>that sale. Additionally, in March 2012 we agreed with the purchaser on certain post-closing adjustments and in April 2012, we received a</w:t>
      </w:r>
    </w:p>
    <w:p>
      <w:pPr>
        <w:spacing w:after="0" w:line="235" w:lineRule="auto"/>
        <w:rPr>
          <w:sz w:val="20"/>
          <w:szCs w:val="20"/>
          <w:color w:val="auto"/>
        </w:rPr>
      </w:pPr>
      <w:r>
        <w:rPr>
          <w:rFonts w:ascii="Arial" w:cs="Arial" w:eastAsia="Arial" w:hAnsi="Arial"/>
          <w:sz w:val="18"/>
          <w:szCs w:val="18"/>
          <w:color w:val="auto"/>
        </w:rPr>
        <w:t>payment of $5.0 million to reflect that agreement. Under the terms of the contract, Assa Abloy AB acquired our equity ownership of Albany</w:t>
      </w:r>
    </w:p>
    <w:p>
      <w:pPr>
        <w:spacing w:after="0" w:line="235" w:lineRule="auto"/>
        <w:rPr>
          <w:sz w:val="20"/>
          <w:szCs w:val="20"/>
          <w:color w:val="auto"/>
        </w:rPr>
      </w:pPr>
      <w:r>
        <w:rPr>
          <w:rFonts w:ascii="Arial" w:cs="Arial" w:eastAsia="Arial" w:hAnsi="Arial"/>
          <w:sz w:val="18"/>
          <w:szCs w:val="18"/>
          <w:color w:val="auto"/>
        </w:rPr>
        <w:t>Doors Systems GmbH in Germany, Albany Door Systems AB in Sweden, and other affiliates in Germany, France, the Netherlands, Turkey,</w:t>
      </w:r>
    </w:p>
    <w:p>
      <w:pPr>
        <w:spacing w:after="0" w:line="235" w:lineRule="auto"/>
        <w:rPr>
          <w:sz w:val="20"/>
          <w:szCs w:val="20"/>
          <w:color w:val="auto"/>
        </w:rPr>
      </w:pPr>
      <w:r>
        <w:rPr>
          <w:rFonts w:ascii="Arial" w:cs="Arial" w:eastAsia="Arial" w:hAnsi="Arial"/>
          <w:sz w:val="18"/>
          <w:szCs w:val="18"/>
          <w:color w:val="auto"/>
        </w:rPr>
        <w:t>Poland, Belgium, New Zealand, and other countries, as well as the remaining business assets, most of which were located in the United</w:t>
      </w:r>
    </w:p>
    <w:p>
      <w:pPr>
        <w:spacing w:after="0" w:line="235" w:lineRule="auto"/>
        <w:rPr>
          <w:sz w:val="20"/>
          <w:szCs w:val="20"/>
          <w:color w:val="auto"/>
        </w:rPr>
      </w:pPr>
      <w:r>
        <w:rPr>
          <w:rFonts w:ascii="Arial" w:cs="Arial" w:eastAsia="Arial" w:hAnsi="Arial"/>
          <w:sz w:val="18"/>
          <w:szCs w:val="18"/>
          <w:color w:val="auto"/>
        </w:rPr>
        <w:t>States, Australia, China, and Italy. In the second quarter of 2012, the purchaser completed certain legal registration activities in China, allowing</w:t>
      </w:r>
    </w:p>
    <w:p>
      <w:pPr>
        <w:spacing w:after="0"/>
        <w:rPr>
          <w:sz w:val="20"/>
          <w:szCs w:val="20"/>
          <w:color w:val="auto"/>
        </w:rPr>
      </w:pPr>
      <w:r>
        <w:rPr>
          <w:rFonts w:ascii="Arial" w:cs="Arial" w:eastAsia="Arial" w:hAnsi="Arial"/>
          <w:sz w:val="18"/>
          <w:szCs w:val="18"/>
          <w:color w:val="auto"/>
        </w:rPr>
        <w:t>the parties to complete the transfer of assets and liabilities of the business in that country.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53" w:name="page54"/>
    <w:bookmarkEnd w:id="53"/>
    <w:p>
      <w:pPr>
        <w:ind w:right="260" w:firstLine="360"/>
        <w:spacing w:after="0" w:line="246" w:lineRule="auto"/>
        <w:rPr>
          <w:sz w:val="20"/>
          <w:szCs w:val="20"/>
          <w:color w:val="auto"/>
        </w:rPr>
      </w:pPr>
      <w:r>
        <w:rPr>
          <w:rFonts w:ascii="Arial" w:cs="Arial" w:eastAsia="Arial" w:hAnsi="Arial"/>
          <w:sz w:val="18"/>
          <w:szCs w:val="18"/>
          <w:color w:val="auto"/>
        </w:rPr>
        <w:t>The initial purchase price of $130 million included $13 million to be paid in July 2013. We recorded the value of that consideration on a present value basis and, as of December 31, 2012, we had a receivable of $12.8 million included in Accounts receivable.</w:t>
      </w:r>
    </w:p>
    <w:p>
      <w:pPr>
        <w:spacing w:after="0" w:line="143" w:lineRule="exact"/>
        <w:rPr>
          <w:sz w:val="20"/>
          <w:szCs w:val="20"/>
          <w:color w:val="auto"/>
        </w:rPr>
      </w:pPr>
    </w:p>
    <w:p>
      <w:pPr>
        <w:ind w:firstLine="360"/>
        <w:spacing w:after="0" w:line="214" w:lineRule="auto"/>
        <w:rPr>
          <w:sz w:val="20"/>
          <w:szCs w:val="20"/>
          <w:color w:val="auto"/>
        </w:rPr>
      </w:pPr>
      <w:r>
        <w:rPr>
          <w:rFonts w:ascii="Arial" w:cs="Arial" w:eastAsia="Arial" w:hAnsi="Arial"/>
          <w:sz w:val="18"/>
          <w:szCs w:val="18"/>
          <w:color w:val="auto"/>
        </w:rPr>
        <w:t>In May 2012, we announced an agreement to sell our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and that transaction closed on June 29, 2012. Under the terms of the agreement, the purchaser acquired all of the assets of that business, which were located in the United States, Italy and Germany. The purchase of $38.0 million included $3.8 million held in escrow accounts, and which is expected to be received in 2013. The Company recorded a pre-tax gain of $34.9 million as result of that sale.</w:t>
      </w:r>
    </w:p>
    <w:p>
      <w:pPr>
        <w:spacing w:after="0" w:line="151" w:lineRule="exact"/>
        <w:rPr>
          <w:sz w:val="20"/>
          <w:szCs w:val="20"/>
          <w:color w:val="auto"/>
        </w:rPr>
      </w:pPr>
    </w:p>
    <w:p>
      <w:pPr>
        <w:ind w:right="60" w:firstLine="360"/>
        <w:spacing w:after="0" w:line="238" w:lineRule="auto"/>
        <w:rPr>
          <w:sz w:val="20"/>
          <w:szCs w:val="20"/>
          <w:color w:val="auto"/>
        </w:rPr>
      </w:pPr>
      <w:r>
        <w:rPr>
          <w:rFonts w:ascii="Arial" w:cs="Arial" w:eastAsia="Arial" w:hAnsi="Arial"/>
          <w:sz w:val="18"/>
          <w:szCs w:val="18"/>
          <w:color w:val="auto"/>
        </w:rPr>
        <w:t>We have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341"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6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color w:val="auto"/>
              </w:rPr>
              <w:t>2011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412"/>
        </w:trPr>
        <w:tc>
          <w:tcPr>
            <w:tcW w:w="4560" w:type="dxa"/>
            <w:vAlign w:val="bottom"/>
          </w:tcPr>
          <w:p>
            <w:pPr>
              <w:spacing w:after="0"/>
              <w:rPr>
                <w:sz w:val="20"/>
                <w:szCs w:val="20"/>
                <w:color w:val="auto"/>
              </w:rPr>
            </w:pPr>
            <w:r>
              <w:rPr>
                <w:rFonts w:ascii="Arial" w:cs="Arial" w:eastAsia="Arial" w:hAnsi="Arial"/>
                <w:sz w:val="18"/>
                <w:szCs w:val="18"/>
                <w:color w:val="auto"/>
              </w:rPr>
              <w:t>Net sales</w:t>
            </w:r>
          </w:p>
        </w:tc>
        <w:tc>
          <w:tcPr>
            <w:tcW w:w="1740" w:type="dxa"/>
            <w:vAlign w:val="bottom"/>
          </w:tcPr>
          <w:p>
            <w:pPr>
              <w:jc w:val="right"/>
              <w:ind w:right="354"/>
              <w:spacing w:after="0"/>
              <w:rPr>
                <w:sz w:val="20"/>
                <w:szCs w:val="20"/>
                <w:color w:val="auto"/>
              </w:rPr>
            </w:pPr>
            <w:r>
              <w:rPr>
                <w:rFonts w:ascii="Arial" w:cs="Arial" w:eastAsia="Arial" w:hAnsi="Arial"/>
                <w:sz w:val="18"/>
                <w:szCs w:val="18"/>
                <w:b w:val="1"/>
                <w:bCs w:val="1"/>
                <w:color w:val="auto"/>
              </w:rPr>
              <w:t>$19,774</w:t>
            </w: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$211,551</w:t>
            </w:r>
          </w:p>
        </w:tc>
        <w:tc>
          <w:tcPr>
            <w:tcW w:w="1200" w:type="dxa"/>
            <w:vAlign w:val="bottom"/>
          </w:tcPr>
          <w:p>
            <w:pPr>
              <w:jc w:val="right"/>
              <w:spacing w:after="0"/>
              <w:rPr>
                <w:sz w:val="20"/>
                <w:szCs w:val="20"/>
                <w:color w:val="auto"/>
              </w:rPr>
            </w:pPr>
            <w:r>
              <w:rPr>
                <w:rFonts w:ascii="Arial" w:cs="Arial" w:eastAsia="Arial" w:hAnsi="Arial"/>
                <w:sz w:val="18"/>
                <w:szCs w:val="18"/>
                <w:color w:val="auto"/>
              </w:rPr>
              <w:t>$171,469</w:t>
            </w:r>
          </w:p>
        </w:tc>
        <w:tc>
          <w:tcPr>
            <w:tcW w:w="0" w:type="dxa"/>
            <w:vAlign w:val="bottom"/>
          </w:tcPr>
          <w:p>
            <w:pPr>
              <w:spacing w:after="0"/>
              <w:rPr>
                <w:sz w:val="1"/>
                <w:szCs w:val="1"/>
                <w:color w:val="auto"/>
              </w:rPr>
            </w:pPr>
          </w:p>
        </w:tc>
      </w:tr>
      <w:tr>
        <w:trPr>
          <w:trHeight w:val="391"/>
        </w:trPr>
        <w:tc>
          <w:tcPr>
            <w:tcW w:w="4560" w:type="dxa"/>
            <w:vAlign w:val="bottom"/>
          </w:tcPr>
          <w:p>
            <w:pPr>
              <w:spacing w:after="0"/>
              <w:rPr>
                <w:sz w:val="20"/>
                <w:szCs w:val="20"/>
                <w:color w:val="auto"/>
              </w:rPr>
            </w:pPr>
            <w:r>
              <w:rPr>
                <w:rFonts w:ascii="Arial" w:cs="Arial" w:eastAsia="Arial" w:hAnsi="Arial"/>
                <w:sz w:val="18"/>
                <w:szCs w:val="18"/>
                <w:color w:val="auto"/>
              </w:rPr>
              <w:t>Income from operations of discontinued business</w:t>
            </w:r>
          </w:p>
        </w:tc>
        <w:tc>
          <w:tcPr>
            <w:tcW w:w="1740" w:type="dxa"/>
            <w:vAlign w:val="bottom"/>
            <w:vMerge w:val="restart"/>
          </w:tcPr>
          <w:p>
            <w:pPr>
              <w:jc w:val="right"/>
              <w:ind w:right="354"/>
              <w:spacing w:after="0"/>
              <w:rPr>
                <w:sz w:val="20"/>
                <w:szCs w:val="20"/>
                <w:color w:val="auto"/>
              </w:rPr>
            </w:pPr>
            <w:r>
              <w:rPr>
                <w:rFonts w:ascii="Arial" w:cs="Arial" w:eastAsia="Arial" w:hAnsi="Arial"/>
                <w:sz w:val="18"/>
                <w:szCs w:val="18"/>
                <w:b w:val="1"/>
                <w:bCs w:val="1"/>
                <w:color w:val="auto"/>
              </w:rPr>
              <w:t>4,776</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before tax</w:t>
            </w:r>
          </w:p>
        </w:tc>
        <w:tc>
          <w:tcPr>
            <w:tcW w:w="1740" w:type="dxa"/>
            <w:vAlign w:val="bottom"/>
            <w:vMerge w:val="continue"/>
          </w:tcPr>
          <w:p>
            <w:pPr>
              <w:spacing w:after="0"/>
              <w:rPr>
                <w:sz w:val="18"/>
                <w:szCs w:val="18"/>
                <w:color w:val="auto"/>
              </w:rPr>
            </w:pP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24,101</w:t>
            </w:r>
          </w:p>
        </w:tc>
        <w:tc>
          <w:tcPr>
            <w:tcW w:w="1200" w:type="dxa"/>
            <w:vAlign w:val="bottom"/>
          </w:tcPr>
          <w:p>
            <w:pPr>
              <w:jc w:val="right"/>
              <w:spacing w:after="0"/>
              <w:rPr>
                <w:sz w:val="20"/>
                <w:szCs w:val="20"/>
                <w:color w:val="auto"/>
              </w:rPr>
            </w:pPr>
            <w:r>
              <w:rPr>
                <w:rFonts w:ascii="Arial" w:cs="Arial" w:eastAsia="Arial" w:hAnsi="Arial"/>
                <w:sz w:val="18"/>
                <w:szCs w:val="18"/>
                <w:color w:val="auto"/>
              </w:rPr>
              <w:t>16,073</w:t>
            </w:r>
          </w:p>
        </w:tc>
        <w:tc>
          <w:tcPr>
            <w:tcW w:w="0" w:type="dxa"/>
            <w:vAlign w:val="bottom"/>
          </w:tcPr>
          <w:p>
            <w:pPr>
              <w:spacing w:after="0"/>
              <w:rPr>
                <w:sz w:val="1"/>
                <w:szCs w:val="1"/>
                <w:color w:val="auto"/>
              </w:rPr>
            </w:pPr>
          </w:p>
        </w:tc>
      </w:tr>
      <w:tr>
        <w:trPr>
          <w:trHeight w:val="405"/>
        </w:trPr>
        <w:tc>
          <w:tcPr>
            <w:tcW w:w="4560" w:type="dxa"/>
            <w:vAlign w:val="bottom"/>
          </w:tcPr>
          <w:p>
            <w:pPr>
              <w:spacing w:after="0"/>
              <w:rPr>
                <w:sz w:val="20"/>
                <w:szCs w:val="20"/>
                <w:color w:val="auto"/>
              </w:rPr>
            </w:pPr>
            <w:r>
              <w:rPr>
                <w:rFonts w:ascii="Arial" w:cs="Arial" w:eastAsia="Arial" w:hAnsi="Arial"/>
                <w:sz w:val="18"/>
                <w:szCs w:val="18"/>
                <w:color w:val="auto"/>
              </w:rPr>
              <w:t>Gain on disposition of discontinued operations</w:t>
            </w:r>
          </w:p>
        </w:tc>
        <w:tc>
          <w:tcPr>
            <w:tcW w:w="1740" w:type="dxa"/>
            <w:vAlign w:val="bottom"/>
          </w:tcPr>
          <w:p>
            <w:pPr>
              <w:jc w:val="right"/>
              <w:ind w:right="354"/>
              <w:spacing w:after="0"/>
              <w:rPr>
                <w:sz w:val="20"/>
                <w:szCs w:val="20"/>
                <w:color w:val="auto"/>
              </w:rPr>
            </w:pPr>
            <w:r>
              <w:rPr>
                <w:rFonts w:ascii="Arial" w:cs="Arial" w:eastAsia="Arial" w:hAnsi="Arial"/>
                <w:sz w:val="18"/>
                <w:szCs w:val="18"/>
                <w:b w:val="1"/>
                <w:bCs w:val="1"/>
                <w:color w:val="auto"/>
              </w:rPr>
              <w:t>92,296</w:t>
            </w:r>
          </w:p>
        </w:tc>
        <w:tc>
          <w:tcPr>
            <w:tcW w:w="164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b w:val="1"/>
                <w:bCs w:val="1"/>
                <w:color w:val="auto"/>
              </w:rPr>
              <w:t>25,252</w:t>
            </w:r>
          </w:p>
        </w:tc>
        <w:tc>
          <w:tcPr>
            <w:tcW w:w="16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10,429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Income tax expense includes a charge of $5.4 million in 2012 and $2.6 million in 2011 pertaining to cash repatriations that occurred in 2012 as a result of the sale of the Albany Doors business.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major categories of assets and liabilities for the discontinued businesses: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December 31,</w:t>
            </w:r>
          </w:p>
        </w:tc>
      </w:tr>
      <w:tr>
        <w:trPr>
          <w:trHeight w:val="203"/>
        </w:trPr>
        <w:tc>
          <w:tcPr>
            <w:tcW w:w="6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rPr>
              <w:t>2011</w:t>
            </w: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color w:val="auto"/>
              </w:rPr>
              <w:t>Assets of Discontinued Operations:</w:t>
            </w:r>
          </w:p>
        </w:tc>
        <w:tc>
          <w:tcPr>
            <w:tcW w:w="15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0"/>
        </w:trPr>
        <w:tc>
          <w:tcPr>
            <w:tcW w:w="6020" w:type="dxa"/>
            <w:vAlign w:val="bottom"/>
            <w:gridSpan w:val="2"/>
          </w:tcPr>
          <w:p>
            <w:pPr>
              <w:spacing w:after="0"/>
              <w:rPr>
                <w:sz w:val="20"/>
                <w:szCs w:val="20"/>
                <w:color w:val="auto"/>
              </w:rPr>
            </w:pPr>
            <w:r>
              <w:rPr>
                <w:rFonts w:ascii="Arial" w:cs="Arial" w:eastAsia="Arial" w:hAnsi="Arial"/>
                <w:sz w:val="18"/>
                <w:szCs w:val="18"/>
                <w:color w:val="auto"/>
              </w:rPr>
              <w:t>Cash</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13,545</w:t>
            </w: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 net of allowance for doubtful accounts</w:t>
            </w:r>
          </w:p>
        </w:tc>
        <w:tc>
          <w:tcPr>
            <w:tcW w:w="15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36,458</w:t>
            </w: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16,507</w:t>
            </w: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5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6,907</w:t>
            </w: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Goodwill and intangibles</w:t>
            </w:r>
          </w:p>
        </w:tc>
        <w:tc>
          <w:tcPr>
            <w:tcW w:w="15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39,227</w:t>
            </w:r>
          </w:p>
        </w:tc>
      </w:tr>
      <w:tr>
        <w:trPr>
          <w:trHeight w:val="203"/>
        </w:trPr>
        <w:tc>
          <w:tcPr>
            <w:tcW w:w="60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Other current and noncurrent assets</w:t>
            </w:r>
          </w:p>
        </w:tc>
        <w:tc>
          <w:tcPr>
            <w:tcW w:w="1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5,174</w:t>
            </w:r>
          </w:p>
        </w:tc>
      </w:tr>
      <w:tr>
        <w:trPr>
          <w:trHeight w:val="196"/>
        </w:trPr>
        <w:tc>
          <w:tcPr>
            <w:tcW w:w="60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assets of discontinued operation</w:t>
            </w:r>
          </w:p>
        </w:tc>
        <w:tc>
          <w:tcPr>
            <w:tcW w:w="1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117,818</w:t>
            </w:r>
          </w:p>
        </w:tc>
      </w:tr>
      <w:tr>
        <w:trPr>
          <w:trHeight w:val="412"/>
        </w:trPr>
        <w:tc>
          <w:tcPr>
            <w:tcW w:w="6020" w:type="dxa"/>
            <w:vAlign w:val="bottom"/>
            <w:gridSpan w:val="2"/>
          </w:tcPr>
          <w:p>
            <w:pPr>
              <w:spacing w:after="0"/>
              <w:rPr>
                <w:sz w:val="20"/>
                <w:szCs w:val="20"/>
                <w:color w:val="auto"/>
              </w:rPr>
            </w:pPr>
            <w:r>
              <w:rPr>
                <w:rFonts w:ascii="Arial" w:cs="Arial" w:eastAsia="Arial" w:hAnsi="Arial"/>
                <w:sz w:val="18"/>
                <w:szCs w:val="18"/>
                <w:color w:val="auto"/>
              </w:rPr>
              <w:t>Liabilities of Discontinued Operations:</w:t>
            </w:r>
          </w:p>
        </w:tc>
        <w:tc>
          <w:tcPr>
            <w:tcW w:w="15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60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9,255</w:t>
            </w: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Accrued liabilities</w:t>
            </w:r>
          </w:p>
        </w:tc>
        <w:tc>
          <w:tcPr>
            <w:tcW w:w="15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11,428</w:t>
            </w: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Other current liabilities</w:t>
            </w:r>
          </w:p>
        </w:tc>
        <w:tc>
          <w:tcPr>
            <w:tcW w:w="15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Liabilities for defined benefit pension plans</w:t>
            </w:r>
          </w:p>
        </w:tc>
        <w:tc>
          <w:tcPr>
            <w:tcW w:w="15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9,513</w:t>
            </w:r>
          </w:p>
        </w:tc>
      </w:tr>
      <w:tr>
        <w:trPr>
          <w:trHeight w:val="203"/>
        </w:trPr>
        <w:tc>
          <w:tcPr>
            <w:tcW w:w="60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Other noncurrent liabilties</w:t>
            </w:r>
          </w:p>
        </w:tc>
        <w:tc>
          <w:tcPr>
            <w:tcW w:w="1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4,604</w:t>
            </w:r>
          </w:p>
        </w:tc>
      </w:tr>
      <w:tr>
        <w:trPr>
          <w:trHeight w:val="196"/>
        </w:trPr>
        <w:tc>
          <w:tcPr>
            <w:tcW w:w="60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liabilities of discontinued operation</w:t>
            </w:r>
          </w:p>
        </w:tc>
        <w:tc>
          <w:tcPr>
            <w:tcW w:w="1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36,563</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Reportable Segments and Geographic Data</w:t>
      </w:r>
    </w:p>
    <w:p>
      <w:pPr>
        <w:spacing w:after="0" w:line="180"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43" w:lineRule="exact"/>
        <w:rPr>
          <w:sz w:val="20"/>
          <w:szCs w:val="20"/>
          <w:color w:val="auto"/>
        </w:rPr>
      </w:pPr>
    </w:p>
    <w:p>
      <w:pPr>
        <w:ind w:right="80" w:firstLine="360"/>
        <w:spacing w:after="0"/>
        <w:rPr>
          <w:sz w:val="20"/>
          <w:szCs w:val="20"/>
          <w:color w:val="auto"/>
        </w:rPr>
      </w:pPr>
      <w:r>
        <w:rPr>
          <w:rFonts w:ascii="Arial" w:cs="Arial" w:eastAsia="Arial" w:hAnsi="Arial"/>
          <w:sz w:val="18"/>
          <w:szCs w:val="18"/>
          <w:color w:val="auto"/>
        </w:rPr>
        <w:t>The accounting policies of the segments are the same as those described in Note 1. We do not allocate research costs and other Unallocated expenses to the segments because the decision-making for the majority of these expenses does not reside within the segments. Unallocated expenses include wages and benefits for Corporate</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638" w:right="359" w:bottom="1440" w:gutter="0" w:footer="0" w:header="0"/>
        </w:sectPr>
      </w:pPr>
    </w:p>
    <w:bookmarkStart w:id="54" w:name="page55"/>
    <w:bookmarkEnd w:id="54"/>
    <w:p>
      <w:pPr>
        <w:ind w:right="40"/>
        <w:spacing w:after="0" w:line="246" w:lineRule="auto"/>
        <w:rPr>
          <w:sz w:val="20"/>
          <w:szCs w:val="20"/>
          <w:color w:val="auto"/>
        </w:rPr>
      </w:pPr>
      <w:r>
        <w:rPr>
          <w:rFonts w:ascii="Arial" w:cs="Arial" w:eastAsia="Arial" w:hAnsi="Arial"/>
          <w:sz w:val="18"/>
          <w:szCs w:val="18"/>
          <w:color w:val="auto"/>
        </w:rPr>
        <w:t>headquarters personnel, costs related to information systems development and support, and professional fees related to legal, audit, and other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80"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The Machine Clothing segment includes paper machine clothing — engineered fabrics and belts used in the manufacture of paper and paperboard — as well as engineered fabrics and belts used in many other industrial applications. We sell our Machine Clothing products directly to customer end-users, which include paper industry companies, nonwovens manufacturers, and building products companies, some of which operate in multiple regions of the world. Our products, manufacturing processes, and distribution channels for Machine Clothing are substantially the same in each region of the world in which we operate.</w:t>
      </w:r>
    </w:p>
    <w:p>
      <w:pPr>
        <w:spacing w:after="0" w:line="149"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We design, manufacture, and market paper machine clothing for each section of the paper machine. We manufacture and sell more paper machine clothing worldwide than any other company. Paper machine clothing consists of large permeable and non-permeable continuous belts of custom-designed and custom-manufactured engineered fabrics that are installed on paper machines and carry the paper stock through each stage of the paper production process. Paper machine clothing products are consumable products of technologically sophisticated design that utilize polymeric materials in a complex structure.</w:t>
      </w:r>
    </w:p>
    <w:p>
      <w:pPr>
        <w:spacing w:after="0" w:line="149" w:lineRule="exact"/>
        <w:rPr>
          <w:sz w:val="20"/>
          <w:szCs w:val="20"/>
          <w:color w:val="auto"/>
        </w:rPr>
      </w:pPr>
    </w:p>
    <w:p>
      <w:pPr>
        <w:jc w:val="both"/>
        <w:ind w:right="420" w:firstLine="360"/>
        <w:spacing w:after="0"/>
        <w:rPr>
          <w:sz w:val="20"/>
          <w:szCs w:val="20"/>
          <w:color w:val="auto"/>
        </w:rPr>
      </w:pPr>
      <w:r>
        <w:rPr>
          <w:rFonts w:ascii="Arial" w:cs="Arial" w:eastAsia="Arial" w:hAnsi="Arial"/>
          <w:sz w:val="18"/>
          <w:szCs w:val="18"/>
          <w:color w:val="auto"/>
        </w:rPr>
        <w:t>The Machine Clothing segment also supplies consumable fabrics used to process paper pulp, as well as engineered fabrics used in a range of industries other than papermaking. These other products include belts used to make nonwovens, fiber cement building products, roofing shingles, and corrugated sheets used in boxboard, as well as belts used in tannery and textile applications.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w:t>
      </w:r>
    </w:p>
    <w:p>
      <w:pPr>
        <w:spacing w:after="0" w:line="180"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The Engineered Composites segment (AEC)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under a long-term supply contract.</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5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rPr>
              <w:t>2011</w:t>
            </w:r>
          </w:p>
        </w:tc>
        <w:tc>
          <w:tcPr>
            <w:tcW w:w="1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1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$693,176</w:t>
            </w:r>
          </w:p>
        </w:tc>
        <w:tc>
          <w:tcPr>
            <w:tcW w:w="2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180" w:type="dxa"/>
            <w:vAlign w:val="bottom"/>
            <w:vMerge w:val="continue"/>
          </w:tcPr>
          <w:p>
            <w:pPr>
              <w:spacing w:after="0"/>
              <w:rPr>
                <w:sz w:val="15"/>
                <w:szCs w:val="15"/>
                <w:color w:val="auto"/>
              </w:rPr>
            </w:pPr>
          </w:p>
        </w:tc>
        <w:tc>
          <w:tcPr>
            <w:tcW w:w="204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$739,211</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$701,020</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Engineered Composites</w:t>
            </w:r>
          </w:p>
        </w:tc>
        <w:tc>
          <w:tcPr>
            <w:tcW w:w="2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67,765</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48,076</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41,867</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18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$760,941</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$787,287</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$742,887</w:t>
            </w: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1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$46,843</w:t>
            </w:r>
          </w:p>
        </w:tc>
        <w:tc>
          <w:tcPr>
            <w:tcW w:w="2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180" w:type="dxa"/>
            <w:vAlign w:val="bottom"/>
            <w:vMerge w:val="continue"/>
          </w:tcPr>
          <w:p>
            <w:pPr>
              <w:spacing w:after="0"/>
              <w:rPr>
                <w:sz w:val="15"/>
                <w:szCs w:val="15"/>
                <w:color w:val="auto"/>
              </w:rPr>
            </w:pPr>
          </w:p>
        </w:tc>
        <w:tc>
          <w:tcPr>
            <w:tcW w:w="204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$48,181</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$49,036</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21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5,920</w:t>
            </w:r>
          </w:p>
        </w:tc>
        <w:tc>
          <w:tcPr>
            <w:tcW w:w="2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4,959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Research expense</w:t>
            </w:r>
          </w:p>
        </w:tc>
        <w:tc>
          <w:tcPr>
            <w:tcW w:w="21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1,252</w:t>
            </w:r>
          </w:p>
        </w:tc>
        <w:tc>
          <w:tcPr>
            <w:tcW w:w="2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1,314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Unallocated expenses</w:t>
            </w:r>
          </w:p>
        </w:tc>
        <w:tc>
          <w:tcPr>
            <w:tcW w:w="2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9,052</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9,358</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18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$63,067</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$63,812</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$60,444</w:t>
            </w: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18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$163,873</w:t>
            </w:r>
          </w:p>
        </w:tc>
        <w:tc>
          <w:tcPr>
            <w:tcW w:w="2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180" w:type="dxa"/>
            <w:vAlign w:val="bottom"/>
            <w:vMerge w:val="continue"/>
          </w:tcPr>
          <w:p>
            <w:pPr>
              <w:spacing w:after="0"/>
              <w:rPr>
                <w:sz w:val="15"/>
                <w:szCs w:val="15"/>
                <w:color w:val="auto"/>
              </w:rPr>
            </w:pPr>
          </w:p>
        </w:tc>
        <w:tc>
          <w:tcPr>
            <w:tcW w:w="2040" w:type="dxa"/>
            <w:vAlign w:val="bottom"/>
          </w:tcPr>
          <w:p>
            <w:pPr>
              <w:jc w:val="right"/>
              <w:ind w:right="570"/>
              <w:spacing w:after="0" w:line="181" w:lineRule="exact"/>
              <w:rPr>
                <w:sz w:val="20"/>
                <w:szCs w:val="20"/>
                <w:color w:val="auto"/>
              </w:rPr>
            </w:pPr>
            <w:r>
              <w:rPr>
                <w:rFonts w:ascii="Arial" w:cs="Arial" w:eastAsia="Arial" w:hAnsi="Arial"/>
                <w:sz w:val="18"/>
                <w:szCs w:val="18"/>
                <w:color w:val="auto"/>
              </w:rPr>
              <w:t>$176,759</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$165,662</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218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(840)</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(4,204)</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Research expense</w:t>
            </w:r>
          </w:p>
        </w:tc>
        <w:tc>
          <w:tcPr>
            <w:tcW w:w="218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(27,616)</w:t>
            </w:r>
          </w:p>
        </w:tc>
        <w:tc>
          <w:tcPr>
            <w:tcW w:w="204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(29,007)</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2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Unallocated expenses</w:t>
            </w:r>
          </w:p>
        </w:tc>
        <w:tc>
          <w:tcPr>
            <w:tcW w:w="2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(179,553)</w:t>
            </w: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(68,940)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(65,713)</w:t>
            </w:r>
          </w:p>
        </w:tc>
        <w:tc>
          <w:tcPr>
            <w:tcW w:w="0" w:type="dxa"/>
            <w:vAlign w:val="bottom"/>
          </w:tcPr>
          <w:p>
            <w:pPr>
              <w:spacing w:after="0"/>
              <w:rPr>
                <w:sz w:val="1"/>
                <w:szCs w:val="1"/>
                <w:color w:val="auto"/>
              </w:rPr>
            </w:pPr>
          </w:p>
        </w:tc>
      </w:tr>
      <w:tr>
        <w:trPr>
          <w:trHeight w:val="195"/>
        </w:trPr>
        <w:tc>
          <w:tcPr>
            <w:tcW w:w="5720" w:type="dxa"/>
            <w:vAlign w:val="bottom"/>
            <w:gridSpan w:val="2"/>
          </w:tcPr>
          <w:p>
            <w:pPr>
              <w:spacing w:after="0" w:line="195" w:lineRule="exact"/>
              <w:rPr>
                <w:sz w:val="20"/>
                <w:szCs w:val="20"/>
                <w:color w:val="auto"/>
              </w:rPr>
            </w:pPr>
            <w:r>
              <w:rPr>
                <w:rFonts w:ascii="Arial" w:cs="Arial" w:eastAsia="Arial" w:hAnsi="Arial"/>
                <w:sz w:val="18"/>
                <w:szCs w:val="18"/>
                <w:color w:val="auto"/>
              </w:rPr>
              <w:t>Operating (loss)/income before reconciling items</w:t>
            </w:r>
          </w:p>
        </w:tc>
        <w:tc>
          <w:tcPr>
            <w:tcW w:w="2180" w:type="dxa"/>
            <w:vAlign w:val="bottom"/>
          </w:tcPr>
          <w:p>
            <w:pPr>
              <w:jc w:val="right"/>
              <w:ind w:right="530"/>
              <w:spacing w:after="0" w:line="195" w:lineRule="exact"/>
              <w:rPr>
                <w:sz w:val="20"/>
                <w:szCs w:val="20"/>
                <w:color w:val="auto"/>
              </w:rPr>
            </w:pPr>
            <w:r>
              <w:rPr>
                <w:rFonts w:ascii="Arial" w:cs="Arial" w:eastAsia="Arial" w:hAnsi="Arial"/>
                <w:sz w:val="18"/>
                <w:szCs w:val="18"/>
                <w:b w:val="1"/>
                <w:bCs w:val="1"/>
                <w:color w:val="auto"/>
              </w:rPr>
              <w:t>(44,136)</w:t>
            </w:r>
          </w:p>
        </w:tc>
        <w:tc>
          <w:tcPr>
            <w:tcW w:w="2040" w:type="dxa"/>
            <w:vAlign w:val="bottom"/>
          </w:tcPr>
          <w:p>
            <w:pPr>
              <w:jc w:val="right"/>
              <w:ind w:right="570"/>
              <w:spacing w:after="0" w:line="195" w:lineRule="exact"/>
              <w:rPr>
                <w:sz w:val="20"/>
                <w:szCs w:val="20"/>
                <w:color w:val="auto"/>
              </w:rPr>
            </w:pPr>
            <w:r>
              <w:rPr>
                <w:rFonts w:ascii="Arial" w:cs="Arial" w:eastAsia="Arial" w:hAnsi="Arial"/>
                <w:sz w:val="18"/>
                <w:szCs w:val="18"/>
                <w:color w:val="auto"/>
              </w:rPr>
              <w:t>74,608</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64,709</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1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(1,517)</w:t>
            </w:r>
          </w:p>
        </w:tc>
        <w:tc>
          <w:tcPr>
            <w:tcW w:w="2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160"/>
              <w:spacing w:after="0" w:line="181" w:lineRule="exact"/>
              <w:rPr>
                <w:sz w:val="20"/>
                <w:szCs w:val="20"/>
                <w:color w:val="auto"/>
              </w:rPr>
            </w:pPr>
            <w:r>
              <w:rPr>
                <w:rFonts w:ascii="Arial" w:cs="Arial" w:eastAsia="Arial" w:hAnsi="Arial"/>
                <w:sz w:val="18"/>
                <w:szCs w:val="18"/>
                <w:color w:val="auto"/>
              </w:rPr>
              <w:t>Interest income</w:t>
            </w:r>
          </w:p>
        </w:tc>
        <w:tc>
          <w:tcPr>
            <w:tcW w:w="2180" w:type="dxa"/>
            <w:vAlign w:val="bottom"/>
            <w:vMerge w:val="continue"/>
          </w:tcPr>
          <w:p>
            <w:pPr>
              <w:spacing w:after="0"/>
              <w:rPr>
                <w:sz w:val="15"/>
                <w:szCs w:val="15"/>
                <w:color w:val="auto"/>
              </w:rPr>
            </w:pPr>
          </w:p>
        </w:tc>
        <w:tc>
          <w:tcPr>
            <w:tcW w:w="2040" w:type="dxa"/>
            <w:vAlign w:val="bottom"/>
          </w:tcPr>
          <w:p>
            <w:pPr>
              <w:jc w:val="right"/>
              <w:ind w:right="510"/>
              <w:spacing w:after="0" w:line="181" w:lineRule="exact"/>
              <w:rPr>
                <w:sz w:val="20"/>
                <w:szCs w:val="20"/>
                <w:color w:val="auto"/>
              </w:rPr>
            </w:pPr>
            <w:r>
              <w:rPr>
                <w:rFonts w:ascii="Arial" w:cs="Arial" w:eastAsia="Arial" w:hAnsi="Arial"/>
                <w:sz w:val="18"/>
                <w:szCs w:val="18"/>
                <w:color w:val="auto"/>
              </w:rPr>
              <w:t>(2,027)</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218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18,118</w:t>
            </w:r>
          </w:p>
        </w:tc>
        <w:tc>
          <w:tcPr>
            <w:tcW w:w="2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20,148</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expense/ (income), net</w:t>
            </w:r>
          </w:p>
        </w:tc>
        <w:tc>
          <w:tcPr>
            <w:tcW w:w="2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7,629</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2,639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(Loss)/income from continuing operations before income taxes</w:t>
            </w:r>
          </w:p>
        </w:tc>
        <w:tc>
          <w:tcPr>
            <w:tcW w:w="21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($68,366)</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$53,848</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$48,445</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pension settlement and restructuring costs by reportable segment (also see Note 5):</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7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2012</w:t>
            </w: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2011</w:t>
            </w:r>
          </w:p>
        </w:tc>
        <w:tc>
          <w:tcPr>
            <w:tcW w:w="12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3500" w:type="dxa"/>
            <w:vAlign w:val="bottom"/>
          </w:tcPr>
          <w:p>
            <w:pPr>
              <w:spacing w:after="0" w:line="195" w:lineRule="exact"/>
              <w:rPr>
                <w:sz w:val="20"/>
                <w:szCs w:val="20"/>
                <w:color w:val="auto"/>
              </w:rPr>
            </w:pPr>
            <w:r>
              <w:rPr>
                <w:rFonts w:ascii="Arial" w:cs="Arial" w:eastAsia="Arial" w:hAnsi="Arial"/>
                <w:sz w:val="18"/>
                <w:szCs w:val="18"/>
                <w:b w:val="1"/>
                <w:bCs w:val="1"/>
                <w:color w:val="auto"/>
              </w:rPr>
              <w:t>Pension settlement</w:t>
            </w:r>
          </w:p>
        </w:tc>
        <w:tc>
          <w:tcPr>
            <w:tcW w:w="27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$119,735</w:t>
            </w:r>
          </w:p>
        </w:tc>
        <w:tc>
          <w:tcPr>
            <w:tcW w:w="1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Unallocated expenses</w:t>
            </w:r>
          </w:p>
        </w:tc>
        <w:tc>
          <w:tcPr>
            <w:tcW w:w="278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8"/>
        </w:trPr>
        <w:tc>
          <w:tcPr>
            <w:tcW w:w="3500" w:type="dxa"/>
            <w:vAlign w:val="bottom"/>
          </w:tcPr>
          <w:p>
            <w:pPr>
              <w:spacing w:after="0"/>
              <w:rPr>
                <w:sz w:val="20"/>
                <w:szCs w:val="20"/>
                <w:color w:val="auto"/>
              </w:rPr>
            </w:pPr>
            <w:r>
              <w:rPr>
                <w:rFonts w:ascii="Arial" w:cs="Arial" w:eastAsia="Arial" w:hAnsi="Arial"/>
                <w:sz w:val="18"/>
                <w:szCs w:val="18"/>
                <w:b w:val="1"/>
                <w:bCs w:val="1"/>
                <w:color w:val="auto"/>
              </w:rPr>
              <w:t>Restructuring expense</w:t>
            </w:r>
          </w:p>
        </w:tc>
        <w:tc>
          <w:tcPr>
            <w:tcW w:w="27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$7,386</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8"/>
                <w:szCs w:val="18"/>
                <w:color w:val="auto"/>
              </w:rPr>
              <w:t>Machine Clothing</w:t>
            </w:r>
          </w:p>
        </w:tc>
        <w:tc>
          <w:tcPr>
            <w:tcW w:w="2780" w:type="dxa"/>
            <w:vAlign w:val="bottom"/>
            <w:vMerge w:val="continue"/>
          </w:tcPr>
          <w:p>
            <w:pPr>
              <w:spacing w:after="0"/>
              <w:rPr>
                <w:sz w:val="15"/>
                <w:szCs w:val="15"/>
                <w:color w:val="auto"/>
              </w:rPr>
            </w:pPr>
          </w:p>
        </w:tc>
        <w:tc>
          <w:tcPr>
            <w:tcW w:w="162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$5,680</w:t>
            </w:r>
          </w:p>
        </w:tc>
        <w:tc>
          <w:tcPr>
            <w:tcW w:w="1240" w:type="dxa"/>
            <w:vAlign w:val="bottom"/>
          </w:tcPr>
          <w:p>
            <w:pPr>
              <w:jc w:val="right"/>
              <w:spacing w:after="0" w:line="181" w:lineRule="exact"/>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278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57</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Unallocated expenses</w:t>
            </w:r>
          </w:p>
        </w:tc>
        <w:tc>
          <w:tcPr>
            <w:tcW w:w="2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(325)</w:t>
            </w: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3,580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27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$7,061</w:t>
            </w:r>
          </w:p>
        </w:tc>
        <w:tc>
          <w:tcPr>
            <w:tcW w:w="16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$9,317</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40" w:firstLine="360"/>
        <w:spacing w:after="0" w:line="261" w:lineRule="auto"/>
        <w:rPr>
          <w:sz w:val="20"/>
          <w:szCs w:val="20"/>
          <w:color w:val="auto"/>
        </w:rPr>
      </w:pPr>
      <w:r>
        <w:rPr>
          <w:rFonts w:ascii="Arial" w:cs="Arial" w:eastAsia="Arial" w:hAnsi="Arial"/>
          <w:sz w:val="17"/>
          <w:szCs w:val="17"/>
          <w:color w:val="auto"/>
        </w:rPr>
        <w:t>In the measurement of assets utilized by each reportable segment, we include accounts receivable, inventories, net property, plant and equipment, intangibles and goodwill. Excluded from segment assets are cash, tax related assets, prepaid and other current assets, other assets, and assets from discontinued businesses. The following table presents assets and capital expenditures by reportable segment: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5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7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2011</w:t>
            </w:r>
          </w:p>
        </w:tc>
        <w:tc>
          <w:tcPr>
            <w:tcW w:w="15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51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Sement assets</w:t>
            </w:r>
          </w:p>
        </w:tc>
        <w:tc>
          <w:tcPr>
            <w:tcW w:w="27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$660,595</w:t>
            </w:r>
          </w:p>
        </w:tc>
        <w:tc>
          <w:tcPr>
            <w:tcW w:w="2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70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$713,142</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$773,135</w:t>
            </w:r>
          </w:p>
        </w:tc>
        <w:tc>
          <w:tcPr>
            <w:tcW w:w="0" w:type="dxa"/>
            <w:vAlign w:val="bottom"/>
          </w:tcPr>
          <w:p>
            <w:pPr>
              <w:spacing w:after="0"/>
              <w:rPr>
                <w:sz w:val="1"/>
                <w:szCs w:val="1"/>
                <w:color w:val="auto"/>
              </w:rPr>
            </w:pPr>
          </w:p>
        </w:tc>
      </w:tr>
      <w:tr>
        <w:trPr>
          <w:trHeight w:val="225"/>
        </w:trPr>
        <w:tc>
          <w:tcPr>
            <w:tcW w:w="5100" w:type="dxa"/>
            <w:vAlign w:val="bottom"/>
            <w:gridSpan w:val="2"/>
          </w:tcPr>
          <w:p>
            <w:pPr>
              <w:spacing w:after="0"/>
              <w:rPr>
                <w:sz w:val="20"/>
                <w:szCs w:val="20"/>
                <w:color w:val="auto"/>
              </w:rPr>
            </w:pPr>
            <w:r>
              <w:rPr>
                <w:rFonts w:ascii="Arial" w:cs="Arial" w:eastAsia="Arial" w:hAnsi="Arial"/>
                <w:sz w:val="18"/>
                <w:szCs w:val="18"/>
                <w:color w:val="auto"/>
              </w:rPr>
              <w:t>Engineered Composites</w:t>
            </w:r>
          </w:p>
        </w:tc>
        <w:tc>
          <w:tcPr>
            <w:tcW w:w="2700" w:type="dxa"/>
            <w:vAlign w:val="bottom"/>
          </w:tcPr>
          <w:p>
            <w:pPr>
              <w:jc w:val="right"/>
              <w:ind w:right="490"/>
              <w:spacing w:after="0"/>
              <w:rPr>
                <w:sz w:val="20"/>
                <w:szCs w:val="20"/>
                <w:color w:val="auto"/>
              </w:rPr>
            </w:pPr>
            <w:r>
              <w:rPr>
                <w:rFonts w:ascii="Arial" w:cs="Arial" w:eastAsia="Arial" w:hAnsi="Arial"/>
                <w:sz w:val="18"/>
                <w:szCs w:val="18"/>
                <w:b w:val="1"/>
                <w:bCs w:val="1"/>
                <w:color w:val="auto"/>
              </w:rPr>
              <w:t>109,717</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80,916</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74,332</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7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190,718</w:t>
            </w:r>
          </w:p>
        </w:tc>
        <w:tc>
          <w:tcPr>
            <w:tcW w:w="2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Pr>
          <w:p>
            <w:pPr>
              <w:ind w:left="160"/>
              <w:spacing w:after="0" w:line="181" w:lineRule="exact"/>
              <w:rPr>
                <w:sz w:val="20"/>
                <w:szCs w:val="20"/>
                <w:color w:val="auto"/>
              </w:rPr>
            </w:pPr>
            <w:r>
              <w:rPr>
                <w:rFonts w:ascii="Arial" w:cs="Arial" w:eastAsia="Arial" w:hAnsi="Arial"/>
                <w:sz w:val="18"/>
                <w:szCs w:val="18"/>
                <w:color w:val="auto"/>
              </w:rPr>
              <w:t>Cash</w:t>
            </w:r>
          </w:p>
        </w:tc>
        <w:tc>
          <w:tcPr>
            <w:tcW w:w="270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118,909</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117,925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60"/>
              <w:spacing w:after="0" w:line="202" w:lineRule="exact"/>
              <w:rPr>
                <w:sz w:val="20"/>
                <w:szCs w:val="20"/>
                <w:color w:val="auto"/>
              </w:rPr>
            </w:pPr>
            <w:r>
              <w:rPr>
                <w:rFonts w:ascii="Arial" w:cs="Arial" w:eastAsia="Arial" w:hAnsi="Arial"/>
                <w:sz w:val="18"/>
                <w:szCs w:val="18"/>
                <w:color w:val="auto"/>
              </w:rPr>
              <w:t>Income taxes receivable and deferred</w:t>
            </w:r>
          </w:p>
        </w:tc>
        <w:tc>
          <w:tcPr>
            <w:tcW w:w="2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144,480</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164,654</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2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51,187</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34,670</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Assets of discontinued operations</w:t>
            </w:r>
          </w:p>
        </w:tc>
        <w:tc>
          <w:tcPr>
            <w:tcW w:w="2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118,637</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102,595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 assets</w:t>
            </w:r>
          </w:p>
        </w:tc>
        <w:tc>
          <w:tcPr>
            <w:tcW w:w="27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$1,156,697</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$1,230,928</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$1,278,293</w:t>
            </w:r>
          </w:p>
        </w:tc>
        <w:tc>
          <w:tcPr>
            <w:tcW w:w="0" w:type="dxa"/>
            <w:vAlign w:val="bottom"/>
          </w:tcPr>
          <w:p>
            <w:pPr>
              <w:spacing w:after="0"/>
              <w:rPr>
                <w:sz w:val="1"/>
                <w:szCs w:val="1"/>
                <w:color w:val="auto"/>
              </w:rPr>
            </w:pPr>
          </w:p>
        </w:tc>
      </w:tr>
      <w:tr>
        <w:trPr>
          <w:trHeight w:val="195"/>
        </w:trPr>
        <w:tc>
          <w:tcPr>
            <w:tcW w:w="51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Capital expenditures and purchased software</w:t>
            </w:r>
          </w:p>
        </w:tc>
        <w:tc>
          <w:tcPr>
            <w:tcW w:w="27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$14,717</w:t>
            </w:r>
          </w:p>
        </w:tc>
        <w:tc>
          <w:tcPr>
            <w:tcW w:w="2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0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700" w:type="dxa"/>
            <w:vAlign w:val="bottom"/>
            <w:vMerge w:val="continue"/>
          </w:tcPr>
          <w:p>
            <w:pPr>
              <w:spacing w:after="0"/>
              <w:rPr>
                <w:sz w:val="15"/>
                <w:szCs w:val="15"/>
                <w:color w:val="auto"/>
              </w:rPr>
            </w:pPr>
          </w:p>
        </w:tc>
        <w:tc>
          <w:tcPr>
            <w:tcW w:w="2040" w:type="dxa"/>
            <w:vAlign w:val="bottom"/>
          </w:tcPr>
          <w:p>
            <w:pPr>
              <w:jc w:val="right"/>
              <w:ind w:right="470"/>
              <w:spacing w:after="0" w:line="181" w:lineRule="exact"/>
              <w:rPr>
                <w:sz w:val="20"/>
                <w:szCs w:val="20"/>
                <w:color w:val="auto"/>
              </w:rPr>
            </w:pPr>
            <w:r>
              <w:rPr>
                <w:rFonts w:ascii="Arial" w:cs="Arial" w:eastAsia="Arial" w:hAnsi="Arial"/>
                <w:sz w:val="18"/>
                <w:szCs w:val="18"/>
                <w:color w:val="auto"/>
              </w:rPr>
              <w:t>$11,141</w:t>
            </w:r>
          </w:p>
        </w:tc>
        <w:tc>
          <w:tcPr>
            <w:tcW w:w="15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$19,234</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Engineered Composites</w:t>
            </w:r>
          </w:p>
        </w:tc>
        <w:tc>
          <w:tcPr>
            <w:tcW w:w="2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18,979</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9,684</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6,559</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Research expenses</w:t>
            </w:r>
          </w:p>
        </w:tc>
        <w:tc>
          <w:tcPr>
            <w:tcW w:w="2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1,493</w:t>
            </w:r>
          </w:p>
        </w:tc>
        <w:tc>
          <w:tcPr>
            <w:tcW w:w="20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2,052</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Unallocated expenses</w:t>
            </w:r>
          </w:p>
        </w:tc>
        <w:tc>
          <w:tcPr>
            <w:tcW w:w="2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4,551</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7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$37,207</w:t>
            </w:r>
          </w:p>
        </w:tc>
        <w:tc>
          <w:tcPr>
            <w:tcW w:w="20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$27,428</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$30,957</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Other assets in the above table includes $16.6 million of receivables related to the sale of discontinued operations.</w:t>
      </w:r>
    </w:p>
    <w:p>
      <w:pPr>
        <w:spacing w:after="0" w:line="158" w:lineRule="exact"/>
        <w:rPr>
          <w:sz w:val="20"/>
          <w:szCs w:val="20"/>
          <w:color w:val="auto"/>
        </w:rPr>
      </w:pPr>
    </w:p>
    <w:p>
      <w:pPr>
        <w:ind w:right="400" w:firstLine="360"/>
        <w:spacing w:after="0" w:line="246" w:lineRule="auto"/>
        <w:rPr>
          <w:sz w:val="20"/>
          <w:szCs w:val="20"/>
          <w:color w:val="auto"/>
        </w:rPr>
      </w:pPr>
      <w:r>
        <w:rPr>
          <w:rFonts w:ascii="Arial" w:cs="Arial" w:eastAsia="Arial" w:hAnsi="Arial"/>
          <w:sz w:val="18"/>
          <w:szCs w:val="18"/>
          <w:color w:val="auto"/>
        </w:rPr>
        <w:t>Additionally, capital expenditures in the discontinued operations were $1.3 million in 2011 and $0.7 million in 2010. The following table shows data by geographic area. Net sales are based on the location of the operation recording the final sale to the customer.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2011</w:t>
            </w:r>
          </w:p>
        </w:tc>
        <w:tc>
          <w:tcPr>
            <w:tcW w:w="15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4620" w:type="dxa"/>
            <w:vAlign w:val="bottom"/>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26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$324,764</w:t>
            </w:r>
          </w:p>
        </w:tc>
        <w:tc>
          <w:tcPr>
            <w:tcW w:w="2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line="181" w:lineRule="exact"/>
              <w:rPr>
                <w:sz w:val="20"/>
                <w:szCs w:val="20"/>
                <w:color w:val="auto"/>
              </w:rPr>
            </w:pPr>
            <w:r>
              <w:rPr>
                <w:rFonts w:ascii="Arial" w:cs="Arial" w:eastAsia="Arial" w:hAnsi="Arial"/>
                <w:sz w:val="18"/>
                <w:szCs w:val="18"/>
                <w:color w:val="auto"/>
              </w:rPr>
              <w:t>United States</w:t>
            </w:r>
          </w:p>
        </w:tc>
        <w:tc>
          <w:tcPr>
            <w:tcW w:w="3260" w:type="dxa"/>
            <w:vAlign w:val="bottom"/>
            <w:vMerge w:val="continue"/>
          </w:tcPr>
          <w:p>
            <w:pPr>
              <w:spacing w:after="0"/>
              <w:rPr>
                <w:sz w:val="15"/>
                <w:szCs w:val="15"/>
                <w:color w:val="auto"/>
              </w:rPr>
            </w:pPr>
          </w:p>
        </w:tc>
        <w:tc>
          <w:tcPr>
            <w:tcW w:w="2040" w:type="dxa"/>
            <w:vAlign w:val="bottom"/>
          </w:tcPr>
          <w:p>
            <w:pPr>
              <w:jc w:val="right"/>
              <w:ind w:right="550"/>
              <w:spacing w:after="0" w:line="181" w:lineRule="exact"/>
              <w:rPr>
                <w:sz w:val="20"/>
                <w:szCs w:val="20"/>
                <w:color w:val="auto"/>
              </w:rPr>
            </w:pPr>
            <w:r>
              <w:rPr>
                <w:rFonts w:ascii="Arial" w:cs="Arial" w:eastAsia="Arial" w:hAnsi="Arial"/>
                <w:sz w:val="18"/>
                <w:szCs w:val="18"/>
                <w:color w:val="auto"/>
              </w:rPr>
              <w:t>$306,371</w:t>
            </w:r>
          </w:p>
        </w:tc>
        <w:tc>
          <w:tcPr>
            <w:tcW w:w="15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$296,265</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Switzerland</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203,478</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245,562</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223,443</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58,755</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61,493</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61,410</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39,929</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34,977</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25,171</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36,182</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40,422</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countries</w:t>
            </w:r>
          </w:p>
        </w:tc>
        <w:tc>
          <w:tcPr>
            <w:tcW w:w="3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97,833</w:t>
            </w: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98,462</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99,794</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3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$760,941</w:t>
            </w:r>
          </w:p>
        </w:tc>
        <w:tc>
          <w:tcPr>
            <w:tcW w:w="2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$787,287</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$742,887</w:t>
            </w:r>
          </w:p>
        </w:tc>
        <w:tc>
          <w:tcPr>
            <w:tcW w:w="0" w:type="dxa"/>
            <w:vAlign w:val="bottom"/>
          </w:tcPr>
          <w:p>
            <w:pPr>
              <w:spacing w:after="0"/>
              <w:rPr>
                <w:sz w:val="1"/>
                <w:szCs w:val="1"/>
                <w:color w:val="auto"/>
              </w:rPr>
            </w:pPr>
          </w:p>
        </w:tc>
      </w:tr>
      <w:tr>
        <w:trPr>
          <w:trHeight w:val="195"/>
        </w:trPr>
        <w:tc>
          <w:tcPr>
            <w:tcW w:w="4620" w:type="dxa"/>
            <w:vAlign w:val="bottom"/>
          </w:tcPr>
          <w:p>
            <w:pPr>
              <w:spacing w:after="0" w:line="195" w:lineRule="exact"/>
              <w:rPr>
                <w:sz w:val="20"/>
                <w:szCs w:val="20"/>
                <w:color w:val="auto"/>
              </w:rPr>
            </w:pPr>
            <w:r>
              <w:rPr>
                <w:rFonts w:ascii="Arial" w:cs="Arial" w:eastAsia="Arial" w:hAnsi="Arial"/>
                <w:sz w:val="18"/>
                <w:szCs w:val="18"/>
                <w:b w:val="1"/>
                <w:bCs w:val="1"/>
                <w:color w:val="auto"/>
              </w:rPr>
              <w:t>Property, plant and equipment, at cost, net</w:t>
            </w:r>
          </w:p>
        </w:tc>
        <w:tc>
          <w:tcPr>
            <w:tcW w:w="326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$137,405</w:t>
            </w:r>
          </w:p>
        </w:tc>
        <w:tc>
          <w:tcPr>
            <w:tcW w:w="2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20" w:type="dxa"/>
            <w:vAlign w:val="bottom"/>
          </w:tcPr>
          <w:p>
            <w:pPr>
              <w:spacing w:after="0" w:line="181" w:lineRule="exact"/>
              <w:rPr>
                <w:sz w:val="20"/>
                <w:szCs w:val="20"/>
                <w:color w:val="auto"/>
              </w:rPr>
            </w:pPr>
            <w:r>
              <w:rPr>
                <w:rFonts w:ascii="Arial" w:cs="Arial" w:eastAsia="Arial" w:hAnsi="Arial"/>
                <w:sz w:val="18"/>
                <w:szCs w:val="18"/>
                <w:color w:val="auto"/>
              </w:rPr>
              <w:t>United States</w:t>
            </w:r>
          </w:p>
        </w:tc>
        <w:tc>
          <w:tcPr>
            <w:tcW w:w="3260" w:type="dxa"/>
            <w:vAlign w:val="bottom"/>
            <w:vMerge w:val="continue"/>
          </w:tcPr>
          <w:p>
            <w:pPr>
              <w:spacing w:after="0"/>
              <w:rPr>
                <w:sz w:val="15"/>
                <w:szCs w:val="15"/>
                <w:color w:val="auto"/>
              </w:rPr>
            </w:pPr>
          </w:p>
        </w:tc>
        <w:tc>
          <w:tcPr>
            <w:tcW w:w="2040" w:type="dxa"/>
            <w:vAlign w:val="bottom"/>
          </w:tcPr>
          <w:p>
            <w:pPr>
              <w:jc w:val="right"/>
              <w:ind w:right="550"/>
              <w:spacing w:after="0" w:line="181" w:lineRule="exact"/>
              <w:rPr>
                <w:sz w:val="20"/>
                <w:szCs w:val="20"/>
                <w:color w:val="auto"/>
              </w:rPr>
            </w:pPr>
            <w:r>
              <w:rPr>
                <w:rFonts w:ascii="Arial" w:cs="Arial" w:eastAsia="Arial" w:hAnsi="Arial"/>
                <w:sz w:val="18"/>
                <w:szCs w:val="18"/>
                <w:color w:val="auto"/>
              </w:rPr>
              <w:t>$133,651</w:t>
            </w:r>
          </w:p>
        </w:tc>
        <w:tc>
          <w:tcPr>
            <w:tcW w:w="15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$140,601</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114,037</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126,072</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133,851</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Korea</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38,266</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34,102</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27,396</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29,650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United Kingdom</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26,269</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27,196</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28,425</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Sweden</w:t>
            </w:r>
          </w:p>
        </w:tc>
        <w:tc>
          <w:tcPr>
            <w:tcW w:w="326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23,397</w:t>
            </w:r>
          </w:p>
        </w:tc>
        <w:tc>
          <w:tcPr>
            <w:tcW w:w="2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26,210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32,630</w:t>
            </w:r>
          </w:p>
        </w:tc>
        <w:tc>
          <w:tcPr>
            <w:tcW w:w="0" w:type="dxa"/>
            <w:vAlign w:val="bottom"/>
          </w:tcPr>
          <w:p>
            <w:pPr>
              <w:spacing w:after="0"/>
              <w:rPr>
                <w:sz w:val="1"/>
                <w:szCs w:val="1"/>
                <w:color w:val="auto"/>
              </w:rPr>
            </w:pPr>
          </w:p>
        </w:tc>
      </w:tr>
      <w:tr>
        <w:trPr>
          <w:trHeight w:val="2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countries</w:t>
            </w:r>
          </w:p>
        </w:tc>
        <w:tc>
          <w:tcPr>
            <w:tcW w:w="3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53,384</w:t>
            </w:r>
          </w:p>
        </w:tc>
        <w:tc>
          <w:tcPr>
            <w:tcW w:w="2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62,072</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70,582</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32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$420,154</w:t>
            </w:r>
          </w:p>
        </w:tc>
        <w:tc>
          <w:tcPr>
            <w:tcW w:w="2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$438,953</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$480,711</w:t>
            </w:r>
          </w:p>
        </w:tc>
        <w:tc>
          <w:tcPr>
            <w:tcW w:w="0" w:type="dxa"/>
            <w:vAlign w:val="bottom"/>
          </w:tcPr>
          <w:p>
            <w:pPr>
              <w:spacing w:after="0"/>
              <w:rPr>
                <w:sz w:val="1"/>
                <w:szCs w:val="1"/>
                <w:color w:val="auto"/>
              </w:rPr>
            </w:pPr>
          </w:p>
        </w:tc>
      </w:tr>
      <w:tr>
        <w:trPr>
          <w:trHeight w:val="588"/>
        </w:trPr>
        <w:tc>
          <w:tcPr>
            <w:tcW w:w="4620" w:type="dxa"/>
            <w:vAlign w:val="bottom"/>
          </w:tcPr>
          <w:p>
            <w:pPr>
              <w:spacing w:after="0"/>
              <w:rPr>
                <w:sz w:val="24"/>
                <w:szCs w:val="24"/>
                <w:color w:val="auto"/>
              </w:rPr>
            </w:pPr>
          </w:p>
        </w:tc>
        <w:tc>
          <w:tcPr>
            <w:tcW w:w="3260" w:type="dxa"/>
            <w:vAlign w:val="bottom"/>
          </w:tcPr>
          <w:p>
            <w:pPr>
              <w:jc w:val="right"/>
              <w:ind w:right="1970"/>
              <w:spacing w:after="0"/>
              <w:rPr>
                <w:sz w:val="20"/>
                <w:szCs w:val="20"/>
                <w:color w:val="auto"/>
              </w:rPr>
            </w:pPr>
            <w:r>
              <w:rPr>
                <w:rFonts w:ascii="Arial" w:cs="Arial" w:eastAsia="Arial" w:hAnsi="Arial"/>
                <w:sz w:val="18"/>
                <w:szCs w:val="18"/>
                <w:color w:val="auto"/>
              </w:rPr>
              <w:t>57</w:t>
            </w: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4 .. Pensions and Other Postretirement Benefit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76" w:lineRule="exact"/>
        <w:rPr>
          <w:sz w:val="20"/>
          <w:szCs w:val="20"/>
          <w:color w:val="auto"/>
        </w:rPr>
      </w:pPr>
    </w:p>
    <w:p>
      <w:pPr>
        <w:ind w:right="100" w:firstLine="360"/>
        <w:spacing w:after="0" w:line="237"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U.S. pension plan accounts for 48% of consolidated pension plan assets, and 45% of consolidated pension plan obligations. The eligibility, benefit formulas, and contribution requirements for plans outside of the U.S. vary by location.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76"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except for life insurance benefits, which continue to be provided. In September 2008, we changed the cost sharing arrangement under this program such that increases in health care costs are the responsibility of plan participants.</w:t>
      </w:r>
    </w:p>
    <w:p>
      <w:pPr>
        <w:spacing w:after="0" w:line="151"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As of December 31, 2012, the accrued postretirement liability was $83.2 million in the U.S. and $1.2 million in Canada. The Company accrues the cost of providing postretirement benefits during the active service period of the employees. The Company currently funds the plan as claims are paid.</w:t>
      </w:r>
    </w:p>
    <w:p>
      <w:pPr>
        <w:spacing w:after="0" w:line="149" w:lineRule="exact"/>
        <w:rPr>
          <w:sz w:val="20"/>
          <w:szCs w:val="20"/>
          <w:color w:val="auto"/>
        </w:rPr>
      </w:pPr>
    </w:p>
    <w:p>
      <w:pPr>
        <w:jc w:val="both"/>
        <w:ind w:right="340" w:firstLine="360"/>
        <w:spacing w:after="0"/>
        <w:rPr>
          <w:sz w:val="20"/>
          <w:szCs w:val="20"/>
          <w:color w:val="auto"/>
        </w:rPr>
      </w:pPr>
      <w:r>
        <w:rPr>
          <w:rFonts w:ascii="Arial" w:cs="Arial" w:eastAsia="Arial" w:hAnsi="Arial"/>
          <w:sz w:val="18"/>
          <w:szCs w:val="18"/>
          <w:color w:val="auto"/>
        </w:rPr>
        <w:t>Accounting guidance requires the recognition of the funded status of each defined benefit and other postretirement benefit plan. Each overfunded plan is recognized as an asset and each underfunded plan is recognized as a liability. Company pension plan data for U.S. and non-U.S. plans has been combined for both 2012 and 2011, except where indicated below.</w:t>
      </w:r>
    </w:p>
    <w:p>
      <w:pPr>
        <w:spacing w:after="0" w:line="149"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The Company’s pension and postretirement benefit costs and benefit obligations are based on actuarial valuations that are affected by many assumptions, the most significant of which are the assumed discount rate, expected rate of return on pension plan assets, and mortality. Each of the assumptions is reviewed and updated annually, as appropriate. The assumed rates of return for pension plan assets are determined for each major asset category based on historical rates of return for assets in that category and expectations of future rates of return based, in part, on simulated future capital market performance. The assumed discount rate is based on yields from a portfolio of currently available high-quality fixed-income investments with durations matching the expected future payments, based on the demographics of the plan participants and the plan provisions.</w:t>
      </w:r>
    </w:p>
    <w:p>
      <w:pPr>
        <w:spacing w:after="0" w:line="149"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The benefit obligation for the U.S. plans as of December 31, 2012 was calculated using the IRS 2013 mortality table. The benefit obligation as of December 31, 2011, as well as pension expense for 2012, was calculated using the IRS 2012 mortality table. For U.S. pension funding purposes, the Company uses the plan’s IRS-basis current liability as its funding target, which is determined based on mandated assumptions. Weak investment returns and low interest rates could result in higher than expected contributions to pension plans in future years.</w:t>
      </w:r>
    </w:p>
    <w:p>
      <w:pPr>
        <w:spacing w:after="0" w:line="148" w:lineRule="exact"/>
        <w:rPr>
          <w:sz w:val="20"/>
          <w:szCs w:val="20"/>
          <w:color w:val="auto"/>
        </w:rPr>
      </w:pPr>
    </w:p>
    <w:p>
      <w:pPr>
        <w:ind w:right="60" w:firstLine="360"/>
        <w:spacing w:after="0" w:line="238" w:lineRule="auto"/>
        <w:rPr>
          <w:sz w:val="20"/>
          <w:szCs w:val="20"/>
          <w:color w:val="auto"/>
        </w:rPr>
      </w:pPr>
      <w:r>
        <w:rPr>
          <w:rFonts w:ascii="Arial" w:cs="Arial" w:eastAsia="Arial" w:hAnsi="Arial"/>
          <w:sz w:val="18"/>
          <w:szCs w:val="18"/>
          <w:color w:val="auto"/>
        </w:rPr>
        <w:t>Gains and losses arise from changes in the assumptions used to measure the benefit obligations, and experience different from what had been assumed, including asset returns different than what had been expected. The Company amortizes gains and losses in excess of a “corridor” over the average future service of the plan’s current participants. The corridor is defined as 10% of the greater of the plan’s projected benefit obligation or market-related value of plan assets. The market-related value of plan assets is also used to determine the expected return on plan assets component of net periodic cost. The Company’s market-related value for its U.S. plan is measured by first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16" w:right="259" w:bottom="1440" w:gutter="0" w:footer="0" w:header="0"/>
        </w:sectPr>
      </w:pPr>
    </w:p>
    <w:bookmarkStart w:id="58" w:name="page59"/>
    <w:bookmarkEnd w:id="58"/>
    <w:p>
      <w:pPr>
        <w:ind w:right="100"/>
        <w:spacing w:after="0" w:line="246" w:lineRule="auto"/>
        <w:rPr>
          <w:sz w:val="20"/>
          <w:szCs w:val="20"/>
          <w:color w:val="auto"/>
        </w:rPr>
      </w:pPr>
      <w:r>
        <w:rPr>
          <w:rFonts w:ascii="Arial" w:cs="Arial" w:eastAsia="Arial" w:hAnsi="Arial"/>
          <w:sz w:val="18"/>
          <w:szCs w:val="18"/>
          <w:color w:val="auto"/>
        </w:rPr>
        <w:t>determining the absolute difference between the actual and the expected return on the plan assets. The absolute difference in excess of 5% of the expected return is added to the market-related value over two years; the remainder is added to the market-related value immediately.</w:t>
      </w:r>
    </w:p>
    <w:p>
      <w:pPr>
        <w:spacing w:after="0" w:line="143"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To the extent the Company’s unrecognized net losses and unrecognized prior service costs, including the amount recognized through accumulated other comprehensive income, are not reduced by future favorable plan experience, they will be recognized as a component of the net periodic cost in future years. The Company’s unrecognized net loss in its pension plans is primarily attributable to recent declines in interest rates and unfavorable investment returns in 2008.</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plan benefit obligations: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As of December 31, 2012</w:t>
            </w:r>
          </w:p>
        </w:tc>
        <w:tc>
          <w:tcPr>
            <w:tcW w:w="320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As of December 31, 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7"/>
                <w:szCs w:val="17"/>
                <w:color w:val="auto"/>
              </w:rPr>
            </w:pPr>
          </w:p>
        </w:tc>
        <w:tc>
          <w:tcPr>
            <w:tcW w:w="150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2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Pension plans</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rPr>
              <w:t>postretirement</w:t>
            </w:r>
          </w:p>
        </w:tc>
        <w:tc>
          <w:tcPr>
            <w:tcW w:w="17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Pension plans</w:t>
            </w:r>
          </w:p>
        </w:tc>
        <w:tc>
          <w:tcPr>
            <w:tcW w:w="1500" w:type="dxa"/>
            <w:vAlign w:val="bottom"/>
          </w:tcPr>
          <w:p>
            <w:pPr>
              <w:jc w:val="center"/>
              <w:ind w:left="50"/>
              <w:spacing w:after="0" w:line="202" w:lineRule="exact"/>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220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benefits</w:t>
            </w:r>
          </w:p>
        </w:tc>
        <w:tc>
          <w:tcPr>
            <w:tcW w:w="170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center"/>
              <w:ind w:left="50"/>
              <w:spacing w:after="0" w:line="203" w:lineRule="exact"/>
              <w:rPr>
                <w:sz w:val="20"/>
                <w:szCs w:val="20"/>
                <w:color w:val="auto"/>
              </w:rPr>
            </w:pPr>
            <w:r>
              <w:rPr>
                <w:rFonts w:ascii="Arial" w:cs="Arial" w:eastAsia="Arial" w:hAnsi="Arial"/>
                <w:sz w:val="18"/>
                <w:szCs w:val="18"/>
                <w:color w:val="auto"/>
              </w:rPr>
              <w:t>benefits</w:t>
            </w:r>
          </w:p>
        </w:tc>
        <w:tc>
          <w:tcPr>
            <w:tcW w:w="0" w:type="dxa"/>
            <w:vAlign w:val="bottom"/>
          </w:tcPr>
          <w:p>
            <w:pPr>
              <w:spacing w:after="0"/>
              <w:rPr>
                <w:sz w:val="1"/>
                <w:szCs w:val="1"/>
                <w:color w:val="auto"/>
              </w:rPr>
            </w:pPr>
          </w:p>
        </w:tc>
      </w:tr>
      <w:tr>
        <w:trPr>
          <w:trHeight w:val="399"/>
        </w:trPr>
        <w:tc>
          <w:tcPr>
            <w:tcW w:w="4320" w:type="dxa"/>
            <w:vAlign w:val="bottom"/>
            <w:gridSpan w:val="2"/>
          </w:tcPr>
          <w:p>
            <w:pPr>
              <w:spacing w:after="0"/>
              <w:rPr>
                <w:sz w:val="20"/>
                <w:szCs w:val="20"/>
                <w:color w:val="auto"/>
              </w:rPr>
            </w:pPr>
            <w:r>
              <w:rPr>
                <w:rFonts w:ascii="Arial" w:cs="Arial" w:eastAsia="Arial" w:hAnsi="Arial"/>
                <w:sz w:val="18"/>
                <w:szCs w:val="18"/>
                <w:color w:val="auto"/>
              </w:rPr>
              <w:t>Benefit obligation, beginning of year</w:t>
            </w:r>
          </w:p>
        </w:tc>
        <w:tc>
          <w:tcPr>
            <w:tcW w:w="2200" w:type="dxa"/>
            <w:vAlign w:val="bottom"/>
          </w:tcPr>
          <w:p>
            <w:pPr>
              <w:jc w:val="right"/>
              <w:ind w:right="230"/>
              <w:spacing w:after="0"/>
              <w:rPr>
                <w:sz w:val="20"/>
                <w:szCs w:val="20"/>
                <w:color w:val="auto"/>
              </w:rPr>
            </w:pPr>
            <w:r>
              <w:rPr>
                <w:rFonts w:ascii="Arial" w:cs="Arial" w:eastAsia="Arial" w:hAnsi="Arial"/>
                <w:sz w:val="18"/>
                <w:szCs w:val="18"/>
                <w:b w:val="1"/>
                <w:bCs w:val="1"/>
                <w:color w:val="auto"/>
              </w:rPr>
              <w:t>$405,880</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$79,009</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$374,115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$72,137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Borders>
              <w:top w:val="single" w:sz="8" w:color="auto"/>
            </w:tcBorders>
          </w:tcPr>
          <w:p>
            <w:pPr>
              <w:ind w:left="160"/>
              <w:spacing w:after="0" w:line="173" w:lineRule="exact"/>
              <w:rPr>
                <w:sz w:val="20"/>
                <w:szCs w:val="20"/>
                <w:color w:val="auto"/>
              </w:rPr>
            </w:pPr>
            <w:r>
              <w:rPr>
                <w:rFonts w:ascii="Arial" w:cs="Arial" w:eastAsia="Arial" w:hAnsi="Arial"/>
                <w:sz w:val="18"/>
                <w:szCs w:val="18"/>
                <w:color w:val="auto"/>
              </w:rPr>
              <w:t>Service cost</w:t>
            </w:r>
          </w:p>
        </w:tc>
        <w:tc>
          <w:tcPr>
            <w:tcW w:w="2200" w:type="dxa"/>
            <w:vAlign w:val="bottom"/>
            <w:tcBorders>
              <w:top w:val="single" w:sz="8" w:color="auto"/>
            </w:tcBorders>
          </w:tcPr>
          <w:p>
            <w:pPr>
              <w:jc w:val="right"/>
              <w:ind w:right="230"/>
              <w:spacing w:after="0" w:line="173" w:lineRule="exact"/>
              <w:rPr>
                <w:sz w:val="20"/>
                <w:szCs w:val="20"/>
                <w:color w:val="auto"/>
              </w:rPr>
            </w:pPr>
            <w:r>
              <w:rPr>
                <w:rFonts w:ascii="Arial" w:cs="Arial" w:eastAsia="Arial" w:hAnsi="Arial"/>
                <w:sz w:val="18"/>
                <w:szCs w:val="18"/>
                <w:b w:val="1"/>
                <w:bCs w:val="1"/>
                <w:color w:val="auto"/>
              </w:rPr>
              <w:t>3,486</w:t>
            </w:r>
          </w:p>
        </w:tc>
        <w:tc>
          <w:tcPr>
            <w:tcW w:w="1700" w:type="dxa"/>
            <w:vAlign w:val="bottom"/>
            <w:tcBorders>
              <w:top w:val="single" w:sz="8" w:color="auto"/>
            </w:tcBorders>
          </w:tcPr>
          <w:p>
            <w:pPr>
              <w:jc w:val="right"/>
              <w:ind w:right="210"/>
              <w:spacing w:after="0" w:line="173" w:lineRule="exact"/>
              <w:rPr>
                <w:sz w:val="20"/>
                <w:szCs w:val="20"/>
                <w:color w:val="auto"/>
              </w:rPr>
            </w:pPr>
            <w:r>
              <w:rPr>
                <w:rFonts w:ascii="Arial" w:cs="Arial" w:eastAsia="Arial" w:hAnsi="Arial"/>
                <w:sz w:val="18"/>
                <w:szCs w:val="18"/>
                <w:color w:val="auto"/>
              </w:rPr>
              <w:t>1,071</w:t>
            </w:r>
          </w:p>
        </w:tc>
        <w:tc>
          <w:tcPr>
            <w:tcW w:w="1700" w:type="dxa"/>
            <w:vAlign w:val="bottom"/>
            <w:tcBorders>
              <w:top w:val="single" w:sz="8" w:color="auto"/>
            </w:tcBorders>
          </w:tcPr>
          <w:p>
            <w:pPr>
              <w:jc w:val="right"/>
              <w:ind w:right="210"/>
              <w:spacing w:after="0" w:line="173" w:lineRule="exact"/>
              <w:rPr>
                <w:sz w:val="20"/>
                <w:szCs w:val="20"/>
                <w:color w:val="auto"/>
              </w:rPr>
            </w:pPr>
            <w:r>
              <w:rPr>
                <w:rFonts w:ascii="Arial" w:cs="Arial" w:eastAsia="Arial" w:hAnsi="Arial"/>
                <w:sz w:val="18"/>
                <w:szCs w:val="18"/>
                <w:b w:val="1"/>
                <w:bCs w:val="1"/>
                <w:color w:val="auto"/>
              </w:rPr>
              <w:t>3,117</w:t>
            </w:r>
          </w:p>
        </w:tc>
        <w:tc>
          <w:tcPr>
            <w:tcW w:w="150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Interest cost</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12,180</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3,691</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19,958</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344</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387</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Actuarial loss/(gain)</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49,582</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6,343</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39,712</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Benefits paid</w:t>
            </w:r>
          </w:p>
        </w:tc>
        <w:tc>
          <w:tcPr>
            <w:tcW w:w="22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(14,909)</w:t>
            </w:r>
          </w:p>
        </w:tc>
        <w:tc>
          <w:tcPr>
            <w:tcW w:w="17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(5,778)</w:t>
            </w:r>
          </w:p>
        </w:tc>
        <w:tc>
          <w:tcPr>
            <w:tcW w:w="17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(26,598)</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22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(249,709)</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(891)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Special / Contractual Termination Benefits</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233</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571</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changes</w:t>
            </w:r>
          </w:p>
        </w:tc>
        <w:tc>
          <w:tcPr>
            <w:tcW w:w="2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11,113</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(4,153)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22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$218,538</w:t>
            </w:r>
          </w:p>
        </w:tc>
        <w:tc>
          <w:tcPr>
            <w:tcW w:w="17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$84,368</w:t>
            </w:r>
          </w:p>
        </w:tc>
        <w:tc>
          <w:tcPr>
            <w:tcW w:w="17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$405,880</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399"/>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Accumulated benefit obligation</w:t>
            </w:r>
          </w:p>
        </w:tc>
        <w:tc>
          <w:tcPr>
            <w:tcW w:w="2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$202,917</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$391,457</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6"/>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w:t>
            </w:r>
          </w:p>
        </w:tc>
        <w:tc>
          <w:tcPr>
            <w:tcW w:w="2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determine benefit obligations, end of year:</w:t>
            </w:r>
          </w:p>
        </w:tc>
        <w:tc>
          <w:tcPr>
            <w:tcW w:w="22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4.28%</w:t>
            </w:r>
          </w:p>
        </w:tc>
        <w:tc>
          <w:tcPr>
            <w:tcW w:w="1700" w:type="dxa"/>
            <w:vAlign w:val="bottom"/>
          </w:tcPr>
          <w:p>
            <w:pPr>
              <w:spacing w:after="0"/>
              <w:rPr>
                <w:sz w:val="19"/>
                <w:szCs w:val="19"/>
                <w:color w:val="auto"/>
              </w:rPr>
            </w:pPr>
          </w:p>
        </w:tc>
        <w:tc>
          <w:tcPr>
            <w:tcW w:w="17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4.82%</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00" w:type="dxa"/>
            <w:vAlign w:val="bottom"/>
          </w:tcPr>
          <w:p>
            <w:pPr>
              <w:ind w:left="160"/>
              <w:spacing w:after="0" w:line="181" w:lineRule="exact"/>
              <w:rPr>
                <w:sz w:val="20"/>
                <w:szCs w:val="20"/>
                <w:color w:val="auto"/>
              </w:rPr>
            </w:pPr>
            <w:r>
              <w:rPr>
                <w:rFonts w:ascii="Arial" w:cs="Arial" w:eastAsia="Arial" w:hAnsi="Arial"/>
                <w:sz w:val="18"/>
                <w:szCs w:val="18"/>
                <w:color w:val="auto"/>
              </w:rPr>
              <w:t>Discount rate - U.S. plan</w:t>
            </w:r>
          </w:p>
        </w:tc>
        <w:tc>
          <w:tcPr>
            <w:tcW w:w="2200" w:type="dxa"/>
            <w:vAlign w:val="bottom"/>
            <w:vMerge w:val="continue"/>
          </w:tcPr>
          <w:p>
            <w:pPr>
              <w:spacing w:after="0"/>
              <w:rPr>
                <w:sz w:val="15"/>
                <w:szCs w:val="15"/>
                <w:color w:val="auto"/>
              </w:rPr>
            </w:pPr>
          </w:p>
        </w:tc>
        <w:tc>
          <w:tcPr>
            <w:tcW w:w="170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3.93%</w:t>
            </w:r>
          </w:p>
        </w:tc>
        <w:tc>
          <w:tcPr>
            <w:tcW w:w="1700" w:type="dxa"/>
            <w:vAlign w:val="bottom"/>
            <w:vMerge w:val="continue"/>
          </w:tcPr>
          <w:p>
            <w:pPr>
              <w:spacing w:after="0"/>
              <w:rPr>
                <w:sz w:val="15"/>
                <w:szCs w:val="15"/>
                <w:color w:val="auto"/>
              </w:rPr>
            </w:pPr>
          </w:p>
        </w:tc>
        <w:tc>
          <w:tcPr>
            <w:tcW w:w="15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Discount rate - non-U.S. plans</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4.09%</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4.00%</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4.48%</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160"/>
              <w:spacing w:after="0" w:line="202" w:lineRule="exact"/>
              <w:rPr>
                <w:sz w:val="20"/>
                <w:szCs w:val="20"/>
                <w:color w:val="auto"/>
              </w:rPr>
            </w:pPr>
            <w:r>
              <w:rPr>
                <w:rFonts w:ascii="Arial" w:cs="Arial" w:eastAsia="Arial" w:hAnsi="Arial"/>
                <w:sz w:val="18"/>
                <w:szCs w:val="18"/>
                <w:color w:val="auto"/>
              </w:rPr>
              <w:t>Compensation increase - U.S. plan</w:t>
            </w:r>
          </w:p>
        </w:tc>
        <w:tc>
          <w:tcPr>
            <w:tcW w:w="22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3.00%</w:t>
            </w:r>
          </w:p>
        </w:tc>
        <w:tc>
          <w:tcPr>
            <w:tcW w:w="17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Compensation increase - non-U.S. plans</w:t>
            </w:r>
          </w:p>
        </w:tc>
        <w:tc>
          <w:tcPr>
            <w:tcW w:w="2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3.26%</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3.00%</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3.19%</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00" w:type="dxa"/>
            <w:vAlign w:val="bottom"/>
          </w:tcPr>
          <w:p>
            <w:pPr>
              <w:jc w:val="right"/>
              <w:ind w:right="610"/>
              <w:spacing w:after="0"/>
              <w:rPr>
                <w:sz w:val="20"/>
                <w:szCs w:val="20"/>
                <w:color w:val="auto"/>
              </w:rPr>
            </w:pPr>
            <w:r>
              <w:rPr>
                <w:rFonts w:ascii="Arial" w:cs="Arial" w:eastAsia="Arial" w:hAnsi="Arial"/>
                <w:sz w:val="18"/>
                <w:szCs w:val="18"/>
                <w:color w:val="auto"/>
              </w:rPr>
              <w:t>59</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8" w:right="239" w:bottom="1440" w:gutter="0" w:footer="0" w:header="0"/>
        </w:sectPr>
      </w:pPr>
    </w:p>
    <w:bookmarkStart w:id="59" w:name="page60"/>
    <w:bookmarkEnd w:id="59"/>
    <w:p>
      <w:pPr>
        <w:ind w:left="360"/>
        <w:spacing w:after="0"/>
        <w:rPr>
          <w:sz w:val="20"/>
          <w:szCs w:val="20"/>
          <w:color w:val="auto"/>
        </w:rPr>
      </w:pPr>
      <w:r>
        <w:rPr>
          <w:rFonts w:ascii="Arial" w:cs="Arial" w:eastAsia="Arial" w:hAnsi="Arial"/>
          <w:sz w:val="18"/>
          <w:szCs w:val="18"/>
          <w:color w:val="auto"/>
        </w:rPr>
        <w:t>The following sets forth information about plan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2"/>
          </w:tcPr>
          <w:p>
            <w:pPr>
              <w:jc w:val="right"/>
              <w:ind w:right="151"/>
              <w:spacing w:after="0"/>
              <w:rPr>
                <w:sz w:val="20"/>
                <w:szCs w:val="20"/>
                <w:color w:val="auto"/>
              </w:rPr>
            </w:pPr>
            <w:r>
              <w:rPr>
                <w:rFonts w:ascii="Arial" w:cs="Arial" w:eastAsia="Arial" w:hAnsi="Arial"/>
                <w:sz w:val="18"/>
                <w:szCs w:val="18"/>
                <w:color w:val="auto"/>
              </w:rPr>
              <w:t>As of December 31, 2012</w:t>
            </w:r>
          </w:p>
        </w:tc>
        <w:tc>
          <w:tcPr>
            <w:tcW w:w="4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2"/>
          </w:tcPr>
          <w:p>
            <w:pPr>
              <w:jc w:val="right"/>
              <w:ind w:right="151"/>
              <w:spacing w:after="0"/>
              <w:rPr>
                <w:sz w:val="20"/>
                <w:szCs w:val="20"/>
                <w:color w:val="auto"/>
              </w:rPr>
            </w:pPr>
            <w:r>
              <w:rPr>
                <w:rFonts w:ascii="Arial" w:cs="Arial" w:eastAsia="Arial" w:hAnsi="Arial"/>
                <w:sz w:val="18"/>
                <w:szCs w:val="18"/>
                <w:color w:val="auto"/>
              </w:rPr>
              <w:t>As of December 31, 2011</w:t>
            </w:r>
          </w:p>
        </w:tc>
        <w:tc>
          <w:tcPr>
            <w:tcW w:w="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40" w:type="dxa"/>
            <w:vAlign w:val="bottom"/>
          </w:tcPr>
          <w:p>
            <w:pPr>
              <w:jc w:val="center"/>
              <w:ind w:left="351"/>
              <w:spacing w:after="0"/>
              <w:rPr>
                <w:sz w:val="20"/>
                <w:szCs w:val="20"/>
                <w:color w:val="auto"/>
              </w:rPr>
            </w:pPr>
            <w:r>
              <w:rPr>
                <w:rFonts w:ascii="Arial" w:cs="Arial" w:eastAsia="Arial" w:hAnsi="Arial"/>
                <w:sz w:val="16"/>
                <w:szCs w:val="16"/>
                <w:color w:val="auto"/>
                <w:w w:val="99"/>
              </w:rPr>
              <w:t>Other</w:t>
            </w: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40" w:type="dxa"/>
            <w:vAlign w:val="bottom"/>
          </w:tcPr>
          <w:p>
            <w:pPr>
              <w:jc w:val="center"/>
              <w:ind w:left="311"/>
              <w:spacing w:after="0"/>
              <w:rPr>
                <w:sz w:val="20"/>
                <w:szCs w:val="20"/>
                <w:color w:val="auto"/>
              </w:rPr>
            </w:pPr>
            <w:r>
              <w:rPr>
                <w:rFonts w:ascii="Arial" w:cs="Arial" w:eastAsia="Arial" w:hAnsi="Arial"/>
                <w:sz w:val="16"/>
                <w:szCs w:val="16"/>
                <w:color w:val="auto"/>
                <w:w w:val="99"/>
              </w:rPr>
              <w:t>Other</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7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Pension plans</w:t>
            </w:r>
          </w:p>
        </w:tc>
        <w:tc>
          <w:tcPr>
            <w:tcW w:w="1660" w:type="dxa"/>
            <w:vAlign w:val="bottom"/>
            <w:gridSpan w:val="2"/>
          </w:tcPr>
          <w:p>
            <w:pPr>
              <w:jc w:val="center"/>
              <w:spacing w:after="0"/>
              <w:rPr>
                <w:sz w:val="20"/>
                <w:szCs w:val="20"/>
                <w:color w:val="auto"/>
              </w:rPr>
            </w:pPr>
            <w:r>
              <w:rPr>
                <w:rFonts w:ascii="Arial" w:cs="Arial" w:eastAsia="Arial" w:hAnsi="Arial"/>
                <w:sz w:val="16"/>
                <w:szCs w:val="16"/>
                <w:color w:val="auto"/>
              </w:rPr>
              <w:t>postretirement</w:t>
            </w:r>
          </w:p>
        </w:tc>
        <w:tc>
          <w:tcPr>
            <w:tcW w:w="17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Pension plans</w:t>
            </w:r>
          </w:p>
        </w:tc>
        <w:tc>
          <w:tcPr>
            <w:tcW w:w="1500" w:type="dxa"/>
            <w:vAlign w:val="bottom"/>
            <w:gridSpan w:val="2"/>
          </w:tcPr>
          <w:p>
            <w:pPr>
              <w:jc w:val="center"/>
              <w:ind w:left="51"/>
              <w:spacing w:after="0"/>
              <w:rPr>
                <w:sz w:val="20"/>
                <w:szCs w:val="20"/>
                <w:color w:val="auto"/>
              </w:rPr>
            </w:pPr>
            <w:r>
              <w:rPr>
                <w:rFonts w:ascii="Arial" w:cs="Arial" w:eastAsia="Arial" w:hAnsi="Arial"/>
                <w:sz w:val="16"/>
                <w:szCs w:val="16"/>
                <w:color w:val="auto"/>
              </w:rPr>
              <w:t>postretirement</w:t>
            </w:r>
          </w:p>
        </w:tc>
        <w:tc>
          <w:tcPr>
            <w:tcW w:w="0" w:type="dxa"/>
            <w:vAlign w:val="bottom"/>
          </w:tcPr>
          <w:p>
            <w:pPr>
              <w:spacing w:after="0"/>
              <w:rPr>
                <w:sz w:val="1"/>
                <w:szCs w:val="1"/>
                <w:color w:val="auto"/>
              </w:rPr>
            </w:pPr>
          </w:p>
        </w:tc>
      </w:tr>
      <w:tr>
        <w:trPr>
          <w:trHeight w:val="187"/>
        </w:trPr>
        <w:tc>
          <w:tcPr>
            <w:tcW w:w="4740" w:type="dxa"/>
            <w:vAlign w:val="bottom"/>
            <w:tcBorders>
              <w:bottom w:val="single" w:sz="8" w:color="auto"/>
            </w:tcBorders>
            <w:gridSpan w:val="2"/>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left="351"/>
              <w:spacing w:after="0"/>
              <w:rPr>
                <w:sz w:val="20"/>
                <w:szCs w:val="20"/>
                <w:color w:val="auto"/>
              </w:rPr>
            </w:pPr>
            <w:r>
              <w:rPr>
                <w:rFonts w:ascii="Arial" w:cs="Arial" w:eastAsia="Arial" w:hAnsi="Arial"/>
                <w:sz w:val="16"/>
                <w:szCs w:val="16"/>
                <w:color w:val="auto"/>
                <w:w w:val="99"/>
              </w:rPr>
              <w:t>benefits</w:t>
            </w: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ind w:left="311"/>
              <w:spacing w:after="0"/>
              <w:rPr>
                <w:sz w:val="20"/>
                <w:szCs w:val="20"/>
                <w:color w:val="auto"/>
              </w:rPr>
            </w:pPr>
            <w:r>
              <w:rPr>
                <w:rFonts w:ascii="Arial" w:cs="Arial" w:eastAsia="Arial" w:hAnsi="Arial"/>
                <w:sz w:val="16"/>
                <w:szCs w:val="16"/>
                <w:color w:val="auto"/>
                <w:w w:val="99"/>
              </w:rPr>
              <w:t>benefits</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474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rPr>
              <w:t>$304,658</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$262,376</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Borders>
              <w:top w:val="single" w:sz="8" w:color="auto"/>
            </w:tcBorders>
          </w:tcPr>
          <w:p>
            <w:pPr>
              <w:ind w:left="160"/>
              <w:spacing w:after="0" w:line="173" w:lineRule="exact"/>
              <w:rPr>
                <w:sz w:val="20"/>
                <w:szCs w:val="20"/>
                <w:color w:val="auto"/>
              </w:rPr>
            </w:pPr>
            <w:r>
              <w:rPr>
                <w:rFonts w:ascii="Arial" w:cs="Arial" w:eastAsia="Arial" w:hAnsi="Arial"/>
                <w:sz w:val="18"/>
                <w:szCs w:val="18"/>
                <w:color w:val="auto"/>
              </w:rPr>
              <w:t>Actual return on plan assets, net of expenses</w:t>
            </w:r>
          </w:p>
        </w:tc>
        <w:tc>
          <w:tcPr>
            <w:tcW w:w="1780" w:type="dxa"/>
            <w:vAlign w:val="bottom"/>
            <w:tcBorders>
              <w:top w:val="single" w:sz="8" w:color="auto"/>
            </w:tcBorders>
          </w:tcPr>
          <w:p>
            <w:pPr>
              <w:jc w:val="right"/>
              <w:ind w:right="230"/>
              <w:spacing w:after="0" w:line="173" w:lineRule="exact"/>
              <w:rPr>
                <w:sz w:val="20"/>
                <w:szCs w:val="20"/>
                <w:color w:val="auto"/>
              </w:rPr>
            </w:pPr>
            <w:r>
              <w:rPr>
                <w:rFonts w:ascii="Arial" w:cs="Arial" w:eastAsia="Arial" w:hAnsi="Arial"/>
                <w:sz w:val="18"/>
                <w:szCs w:val="18"/>
                <w:b w:val="1"/>
                <w:bCs w:val="1"/>
                <w:color w:val="auto"/>
              </w:rPr>
              <w:t>19,493</w:t>
            </w:r>
          </w:p>
        </w:tc>
        <w:tc>
          <w:tcPr>
            <w:tcW w:w="12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ind w:right="170"/>
              <w:spacing w:after="0" w:line="173" w:lineRule="exact"/>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tcPr>
          <w:p>
            <w:pPr>
              <w:jc w:val="right"/>
              <w:ind w:right="210"/>
              <w:spacing w:after="0" w:line="173" w:lineRule="exact"/>
              <w:rPr>
                <w:sz w:val="20"/>
                <w:szCs w:val="20"/>
                <w:color w:val="auto"/>
              </w:rPr>
            </w:pPr>
            <w:r>
              <w:rPr>
                <w:rFonts w:ascii="Arial" w:cs="Arial" w:eastAsia="Arial" w:hAnsi="Arial"/>
                <w:sz w:val="18"/>
                <w:szCs w:val="18"/>
                <w:b w:val="1"/>
                <w:bCs w:val="1"/>
                <w:color w:val="auto"/>
              </w:rPr>
              <w:t>34,176</w:t>
            </w: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Employer contributions</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110,172</w:t>
            </w:r>
          </w:p>
        </w:tc>
        <w:tc>
          <w:tcPr>
            <w:tcW w:w="16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4,961</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37,174</w:t>
            </w:r>
          </w:p>
        </w:tc>
        <w:tc>
          <w:tcPr>
            <w:tcW w:w="15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344</w:t>
            </w:r>
          </w:p>
        </w:tc>
        <w:tc>
          <w:tcPr>
            <w:tcW w:w="16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817</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387</w:t>
            </w:r>
          </w:p>
        </w:tc>
        <w:tc>
          <w:tcPr>
            <w:tcW w:w="15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Benefits paid</w:t>
            </w:r>
          </w:p>
        </w:tc>
        <w:tc>
          <w:tcPr>
            <w:tcW w:w="17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(14,909)</w:t>
            </w:r>
          </w:p>
        </w:tc>
        <w:tc>
          <w:tcPr>
            <w:tcW w:w="16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(5,778)</w:t>
            </w:r>
          </w:p>
        </w:tc>
        <w:tc>
          <w:tcPr>
            <w:tcW w:w="1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(26,562)</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17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(249,709)</w:t>
            </w:r>
          </w:p>
        </w:tc>
        <w:tc>
          <w:tcPr>
            <w:tcW w:w="1240" w:type="dxa"/>
            <w:vAlign w:val="bottom"/>
          </w:tcPr>
          <w:p>
            <w:pPr>
              <w:spacing w:after="0"/>
              <w:rPr>
                <w:sz w:val="17"/>
                <w:szCs w:val="17"/>
                <w:color w:val="auto"/>
              </w:rPr>
            </w:pPr>
          </w:p>
        </w:tc>
        <w:tc>
          <w:tcPr>
            <w:tcW w:w="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(891)</w:t>
            </w:r>
          </w:p>
        </w:tc>
        <w:tc>
          <w:tcPr>
            <w:tcW w:w="124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Foreign currency changes</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3,385</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(2,002)</w:t>
            </w: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$173,434</w:t>
            </w:r>
          </w:p>
        </w:tc>
        <w:tc>
          <w:tcPr>
            <w:tcW w:w="124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$304,658</w:t>
            </w:r>
          </w:p>
        </w:tc>
        <w:tc>
          <w:tcPr>
            <w:tcW w:w="1240" w:type="dxa"/>
            <w:vAlign w:val="bottom"/>
            <w:tcBorders>
              <w:bottom w:val="single" w:sz="8" w:color="auto"/>
            </w:tcBorders>
          </w:tcPr>
          <w:p>
            <w:pPr>
              <w:jc w:val="right"/>
              <w:ind w:right="171"/>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4740" w:type="dxa"/>
            <w:vAlign w:val="bottom"/>
            <w:gridSpan w:val="2"/>
          </w:tcPr>
          <w:p>
            <w:pPr>
              <w:spacing w:after="0"/>
              <w:rPr>
                <w:sz w:val="20"/>
                <w:szCs w:val="20"/>
                <w:color w:val="auto"/>
              </w:rPr>
            </w:pPr>
            <w:r>
              <w:rPr>
                <w:rFonts w:ascii="Arial" w:cs="Arial" w:eastAsia="Arial" w:hAnsi="Arial"/>
                <w:sz w:val="18"/>
                <w:szCs w:val="18"/>
                <w:color w:val="auto"/>
              </w:rPr>
              <w:t>The funded status of the plans was as follows:</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2"/>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20" w:type="dxa"/>
            <w:vAlign w:val="bottom"/>
            <w:gridSpan w:val="2"/>
          </w:tcPr>
          <w:p>
            <w:pPr>
              <w:jc w:val="right"/>
              <w:ind w:right="151"/>
              <w:spacing w:after="0" w:line="195" w:lineRule="exact"/>
              <w:rPr>
                <w:sz w:val="20"/>
                <w:szCs w:val="20"/>
                <w:color w:val="auto"/>
              </w:rPr>
            </w:pPr>
            <w:r>
              <w:rPr>
                <w:rFonts w:ascii="Arial" w:cs="Arial" w:eastAsia="Arial" w:hAnsi="Arial"/>
                <w:sz w:val="18"/>
                <w:szCs w:val="18"/>
                <w:color w:val="auto"/>
              </w:rPr>
              <w:t>As of December 31, 2012</w:t>
            </w:r>
          </w:p>
        </w:tc>
        <w:tc>
          <w:tcPr>
            <w:tcW w:w="420" w:type="dxa"/>
            <w:vAlign w:val="bottom"/>
          </w:tcPr>
          <w:p>
            <w:pPr>
              <w:spacing w:after="0"/>
              <w:rPr>
                <w:sz w:val="16"/>
                <w:szCs w:val="16"/>
                <w:color w:val="auto"/>
              </w:rPr>
            </w:pPr>
          </w:p>
        </w:tc>
        <w:tc>
          <w:tcPr>
            <w:tcW w:w="2980" w:type="dxa"/>
            <w:vAlign w:val="bottom"/>
            <w:gridSpan w:val="2"/>
          </w:tcPr>
          <w:p>
            <w:pPr>
              <w:jc w:val="right"/>
              <w:ind w:right="151"/>
              <w:spacing w:after="0" w:line="195" w:lineRule="exact"/>
              <w:rPr>
                <w:sz w:val="20"/>
                <w:szCs w:val="20"/>
                <w:color w:val="auto"/>
              </w:rPr>
            </w:pPr>
            <w:r>
              <w:rPr>
                <w:rFonts w:ascii="Arial" w:cs="Arial" w:eastAsia="Arial" w:hAnsi="Arial"/>
                <w:sz w:val="18"/>
                <w:szCs w:val="18"/>
                <w:color w:val="auto"/>
              </w:rPr>
              <w:t>As of December 31, 2011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tcPr>
          <w:p>
            <w:pPr>
              <w:jc w:val="center"/>
              <w:ind w:left="331"/>
              <w:spacing w:after="0" w:line="202"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40" w:type="dxa"/>
            <w:vAlign w:val="bottom"/>
          </w:tcPr>
          <w:p>
            <w:pPr>
              <w:jc w:val="center"/>
              <w:ind w:left="311"/>
              <w:spacing w:after="0" w:line="202" w:lineRule="exact"/>
              <w:rPr>
                <w:sz w:val="20"/>
                <w:szCs w:val="20"/>
                <w:color w:val="auto"/>
              </w:rPr>
            </w:pPr>
            <w:r>
              <w:rPr>
                <w:rFonts w:ascii="Arial" w:cs="Arial" w:eastAsia="Arial" w:hAnsi="Arial"/>
                <w:sz w:val="18"/>
                <w:szCs w:val="18"/>
                <w:color w:val="auto"/>
                <w:w w:val="97"/>
              </w:rPr>
              <w:t>Other</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7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Pension plans</w:t>
            </w:r>
          </w:p>
        </w:tc>
        <w:tc>
          <w:tcPr>
            <w:tcW w:w="166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postretirement</w:t>
            </w:r>
          </w:p>
        </w:tc>
        <w:tc>
          <w:tcPr>
            <w:tcW w:w="1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Pension plans</w:t>
            </w:r>
          </w:p>
        </w:tc>
        <w:tc>
          <w:tcPr>
            <w:tcW w:w="1500" w:type="dxa"/>
            <w:vAlign w:val="bottom"/>
            <w:gridSpan w:val="2"/>
          </w:tcPr>
          <w:p>
            <w:pPr>
              <w:jc w:val="center"/>
              <w:ind w:left="51"/>
              <w:spacing w:after="0" w:line="202" w:lineRule="exact"/>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17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center"/>
              <w:ind w:left="351"/>
              <w:spacing w:after="0" w:line="203" w:lineRule="exact"/>
              <w:rPr>
                <w:sz w:val="20"/>
                <w:szCs w:val="20"/>
                <w:color w:val="auto"/>
              </w:rPr>
            </w:pPr>
            <w:r>
              <w:rPr>
                <w:rFonts w:ascii="Arial" w:cs="Arial" w:eastAsia="Arial" w:hAnsi="Arial"/>
                <w:sz w:val="18"/>
                <w:szCs w:val="18"/>
                <w:color w:val="auto"/>
              </w:rPr>
              <w:t>benefits</w:t>
            </w: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tcPr>
          <w:p>
            <w:pPr>
              <w:jc w:val="center"/>
              <w:ind w:left="311"/>
              <w:spacing w:after="0" w:line="203" w:lineRule="exact"/>
              <w:rPr>
                <w:sz w:val="20"/>
                <w:szCs w:val="20"/>
                <w:color w:val="auto"/>
              </w:rPr>
            </w:pPr>
            <w:r>
              <w:rPr>
                <w:rFonts w:ascii="Arial" w:cs="Arial" w:eastAsia="Arial" w:hAnsi="Arial"/>
                <w:sz w:val="18"/>
                <w:szCs w:val="18"/>
                <w:color w:val="auto"/>
              </w:rPr>
              <w:t>benefits</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474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rPr>
              <w:t>$173,434</w:t>
            </w:r>
          </w:p>
        </w:tc>
        <w:tc>
          <w:tcPr>
            <w:tcW w:w="12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$304,658</w:t>
            </w:r>
          </w:p>
        </w:tc>
        <w:tc>
          <w:tcPr>
            <w:tcW w:w="124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Benefit obligation</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218,538</w:t>
            </w:r>
          </w:p>
        </w:tc>
        <w:tc>
          <w:tcPr>
            <w:tcW w:w="16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84,368</w:t>
            </w: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405,880</w:t>
            </w:r>
          </w:p>
        </w:tc>
        <w:tc>
          <w:tcPr>
            <w:tcW w:w="15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232"/>
        </w:trPr>
        <w:tc>
          <w:tcPr>
            <w:tcW w:w="474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rPr>
              <w:t>($45,104)</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($84,368)</w:t>
            </w: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rPr>
              <w:t>($101,222)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166"/>
        </w:trPr>
        <w:tc>
          <w:tcPr>
            <w:tcW w:w="4740" w:type="dxa"/>
            <w:vAlign w:val="bottom"/>
            <w:tcBorders>
              <w:bottom w:val="single" w:sz="8" w:color="auto"/>
            </w:tcBorders>
            <w:gridSpan w:val="2"/>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Accrued benefit cost, end of year</w:t>
            </w:r>
          </w:p>
        </w:tc>
        <w:tc>
          <w:tcPr>
            <w:tcW w:w="17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($45,104)</w:t>
            </w:r>
          </w:p>
        </w:tc>
        <w:tc>
          <w:tcPr>
            <w:tcW w:w="1660" w:type="dxa"/>
            <w:vAlign w:val="bottom"/>
            <w:tcBorders>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rPr>
              <w:t>($84,368)</w:t>
            </w:r>
          </w:p>
        </w:tc>
        <w:tc>
          <w:tcPr>
            <w:tcW w:w="1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($101,222)</w:t>
            </w:r>
          </w:p>
        </w:tc>
        <w:tc>
          <w:tcPr>
            <w:tcW w:w="15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398"/>
        </w:trPr>
        <w:tc>
          <w:tcPr>
            <w:tcW w:w="4740" w:type="dxa"/>
            <w:vAlign w:val="bottom"/>
            <w:gridSpan w:val="2"/>
          </w:tcPr>
          <w:p>
            <w:pPr>
              <w:spacing w:after="0"/>
              <w:rPr>
                <w:sz w:val="20"/>
                <w:szCs w:val="20"/>
                <w:color w:val="auto"/>
              </w:rPr>
            </w:pPr>
            <w:r>
              <w:rPr>
                <w:rFonts w:ascii="Arial" w:cs="Arial" w:eastAsia="Arial" w:hAnsi="Arial"/>
                <w:sz w:val="18"/>
                <w:szCs w:val="18"/>
                <w:color w:val="auto"/>
              </w:rPr>
              <w:t>Amounts recognized in the statement of financial position</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consist of the following:</w:t>
            </w:r>
          </w:p>
        </w:tc>
        <w:tc>
          <w:tcPr>
            <w:tcW w:w="1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$7,034</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$7,779</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40" w:type="dxa"/>
            <w:vAlign w:val="bottom"/>
            <w:gridSpan w:val="2"/>
          </w:tcPr>
          <w:p>
            <w:pPr>
              <w:spacing w:after="0" w:line="181" w:lineRule="exact"/>
              <w:rPr>
                <w:sz w:val="20"/>
                <w:szCs w:val="20"/>
                <w:color w:val="auto"/>
              </w:rPr>
            </w:pPr>
            <w:r>
              <w:rPr>
                <w:rFonts w:ascii="Arial" w:cs="Arial" w:eastAsia="Arial" w:hAnsi="Arial"/>
                <w:sz w:val="18"/>
                <w:szCs w:val="18"/>
                <w:color w:val="auto"/>
              </w:rPr>
              <w:t>Noncurrent asset</w:t>
            </w:r>
          </w:p>
        </w:tc>
        <w:tc>
          <w:tcPr>
            <w:tcW w:w="1780" w:type="dxa"/>
            <w:vAlign w:val="bottom"/>
            <w:vMerge w:val="continue"/>
          </w:tcPr>
          <w:p>
            <w:pPr>
              <w:spacing w:after="0"/>
              <w:rPr>
                <w:sz w:val="15"/>
                <w:szCs w:val="15"/>
                <w:color w:val="auto"/>
              </w:rPr>
            </w:pPr>
          </w:p>
        </w:tc>
        <w:tc>
          <w:tcPr>
            <w:tcW w:w="1240" w:type="dxa"/>
            <w:vAlign w:val="bottom"/>
          </w:tcPr>
          <w:p>
            <w:pPr>
              <w:jc w:val="right"/>
              <w:ind w:right="311"/>
              <w:spacing w:after="0" w:line="181"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w:t>
            </w:r>
          </w:p>
        </w:tc>
        <w:tc>
          <w:tcPr>
            <w:tcW w:w="1740" w:type="dxa"/>
            <w:vAlign w:val="bottom"/>
            <w:vMerge w:val="continue"/>
          </w:tcPr>
          <w:p>
            <w:pPr>
              <w:spacing w:after="0"/>
              <w:rPr>
                <w:sz w:val="15"/>
                <w:szCs w:val="15"/>
                <w:color w:val="auto"/>
              </w:rPr>
            </w:pPr>
          </w:p>
        </w:tc>
        <w:tc>
          <w:tcPr>
            <w:tcW w:w="1240" w:type="dxa"/>
            <w:vAlign w:val="bottom"/>
          </w:tcPr>
          <w:p>
            <w:pPr>
              <w:jc w:val="right"/>
              <w:ind w:right="311"/>
              <w:spacing w:after="0" w:line="181"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liability</w:t>
            </w:r>
          </w:p>
        </w:tc>
        <w:tc>
          <w:tcPr>
            <w:tcW w:w="17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(2,318)</w:t>
            </w:r>
          </w:p>
        </w:tc>
        <w:tc>
          <w:tcPr>
            <w:tcW w:w="16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(5,547)</w:t>
            </w:r>
          </w:p>
        </w:tc>
        <w:tc>
          <w:tcPr>
            <w:tcW w:w="17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(3,576)</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Noncurrent liability</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(49,820)</w:t>
            </w:r>
          </w:p>
        </w:tc>
        <w:tc>
          <w:tcPr>
            <w:tcW w:w="16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(78,821)</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(105,425)</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(73,060)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amount recognized</w:t>
            </w:r>
          </w:p>
        </w:tc>
        <w:tc>
          <w:tcPr>
            <w:tcW w:w="17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($45,104)</w:t>
            </w:r>
          </w:p>
        </w:tc>
        <w:tc>
          <w:tcPr>
            <w:tcW w:w="1660" w:type="dxa"/>
            <w:vAlign w:val="bottom"/>
            <w:tcBorders>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rPr>
              <w:t>($84,368)</w:t>
            </w:r>
          </w:p>
        </w:tc>
        <w:tc>
          <w:tcPr>
            <w:tcW w:w="17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($101,222)</w:t>
            </w:r>
          </w:p>
        </w:tc>
        <w:tc>
          <w:tcPr>
            <w:tcW w:w="15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398"/>
        </w:trPr>
        <w:tc>
          <w:tcPr>
            <w:tcW w:w="4740" w:type="dxa"/>
            <w:vAlign w:val="bottom"/>
            <w:gridSpan w:val="2"/>
          </w:tcPr>
          <w:p>
            <w:pPr>
              <w:spacing w:after="0"/>
              <w:rPr>
                <w:sz w:val="20"/>
                <w:szCs w:val="20"/>
                <w:color w:val="auto"/>
              </w:rPr>
            </w:pPr>
            <w:r>
              <w:rPr>
                <w:rFonts w:ascii="Arial" w:cs="Arial" w:eastAsia="Arial" w:hAnsi="Arial"/>
                <w:sz w:val="18"/>
                <w:szCs w:val="18"/>
                <w:color w:val="auto"/>
              </w:rPr>
              <w:t>Amounts recognized in accumulated other</w:t>
            </w:r>
          </w:p>
        </w:tc>
        <w:tc>
          <w:tcPr>
            <w:tcW w:w="1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comprehensive income consist of:</w:t>
            </w:r>
          </w:p>
        </w:tc>
        <w:tc>
          <w:tcPr>
            <w:tcW w:w="1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$84,784</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$164,246</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40" w:type="dxa"/>
            <w:vAlign w:val="bottom"/>
            <w:gridSpan w:val="2"/>
          </w:tcPr>
          <w:p>
            <w:pPr>
              <w:spacing w:after="0" w:line="181" w:lineRule="exact"/>
              <w:rPr>
                <w:sz w:val="20"/>
                <w:szCs w:val="20"/>
                <w:color w:val="auto"/>
              </w:rPr>
            </w:pPr>
            <w:r>
              <w:rPr>
                <w:rFonts w:ascii="Arial" w:cs="Arial" w:eastAsia="Arial" w:hAnsi="Arial"/>
                <w:sz w:val="18"/>
                <w:szCs w:val="18"/>
                <w:color w:val="auto"/>
              </w:rPr>
              <w:t>Net actuarial loss</w:t>
            </w:r>
          </w:p>
        </w:tc>
        <w:tc>
          <w:tcPr>
            <w:tcW w:w="1780" w:type="dxa"/>
            <w:vAlign w:val="bottom"/>
            <w:vMerge w:val="continue"/>
          </w:tcPr>
          <w:p>
            <w:pPr>
              <w:spacing w:after="0"/>
              <w:rPr>
                <w:sz w:val="15"/>
                <w:szCs w:val="15"/>
                <w:color w:val="auto"/>
              </w:rPr>
            </w:pPr>
          </w:p>
        </w:tc>
        <w:tc>
          <w:tcPr>
            <w:tcW w:w="1660" w:type="dxa"/>
            <w:vAlign w:val="bottom"/>
            <w:gridSpan w:val="2"/>
          </w:tcPr>
          <w:p>
            <w:pPr>
              <w:jc w:val="right"/>
              <w:ind w:right="170"/>
              <w:spacing w:after="0" w:line="181" w:lineRule="exact"/>
              <w:rPr>
                <w:sz w:val="20"/>
                <w:szCs w:val="20"/>
                <w:color w:val="auto"/>
              </w:rPr>
            </w:pPr>
            <w:r>
              <w:rPr>
                <w:rFonts w:ascii="Arial" w:cs="Arial" w:eastAsia="Arial" w:hAnsi="Arial"/>
                <w:sz w:val="18"/>
                <w:szCs w:val="18"/>
                <w:color w:val="auto"/>
              </w:rPr>
              <w:t>$57,966</w:t>
            </w:r>
          </w:p>
        </w:tc>
        <w:tc>
          <w:tcPr>
            <w:tcW w:w="1740" w:type="dxa"/>
            <w:vAlign w:val="bottom"/>
            <w:vMerge w:val="continue"/>
          </w:tcPr>
          <w:p>
            <w:pPr>
              <w:spacing w:after="0"/>
              <w:rPr>
                <w:sz w:val="15"/>
                <w:szCs w:val="15"/>
                <w:color w:val="auto"/>
              </w:rPr>
            </w:pPr>
          </w:p>
        </w:tc>
        <w:tc>
          <w:tcPr>
            <w:tcW w:w="1500" w:type="dxa"/>
            <w:vAlign w:val="bottom"/>
            <w:gridSpan w:val="2"/>
          </w:tcPr>
          <w:p>
            <w:pPr>
              <w:jc w:val="right"/>
              <w:ind w:right="10"/>
              <w:spacing w:after="0" w:line="181" w:lineRule="exact"/>
              <w:rPr>
                <w:sz w:val="20"/>
                <w:szCs w:val="20"/>
                <w:color w:val="auto"/>
              </w:rPr>
            </w:pPr>
            <w:r>
              <w:rPr>
                <w:rFonts w:ascii="Arial" w:cs="Arial" w:eastAsia="Arial" w:hAnsi="Arial"/>
                <w:sz w:val="18"/>
                <w:szCs w:val="18"/>
                <w:color w:val="auto"/>
              </w:rPr>
              <w:t>$54,835</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Prior service cost/(credit)</w:t>
            </w:r>
          </w:p>
        </w:tc>
        <w:tc>
          <w:tcPr>
            <w:tcW w:w="178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405</w:t>
            </w:r>
          </w:p>
        </w:tc>
        <w:tc>
          <w:tcPr>
            <w:tcW w:w="16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(40,329)</w:t>
            </w:r>
          </w:p>
        </w:tc>
        <w:tc>
          <w:tcPr>
            <w:tcW w:w="17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432</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(43,995)</w:t>
            </w:r>
          </w:p>
        </w:tc>
        <w:tc>
          <w:tcPr>
            <w:tcW w:w="0" w:type="dxa"/>
            <w:vAlign w:val="bottom"/>
          </w:tcPr>
          <w:p>
            <w:pPr>
              <w:spacing w:after="0"/>
              <w:rPr>
                <w:sz w:val="1"/>
                <w:szCs w:val="1"/>
                <w:color w:val="auto"/>
              </w:rPr>
            </w:pPr>
          </w:p>
        </w:tc>
      </w:tr>
      <w:tr>
        <w:trPr>
          <w:trHeight w:val="225"/>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Transition obligation</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70</w:t>
            </w: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138</w:t>
            </w: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amount recognized</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$85,259</w:t>
            </w:r>
          </w:p>
        </w:tc>
        <w:tc>
          <w:tcPr>
            <w:tcW w:w="166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color w:val="auto"/>
              </w:rPr>
              <w:t>$17,637</w:t>
            </w:r>
          </w:p>
        </w:tc>
        <w:tc>
          <w:tcPr>
            <w:tcW w:w="17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$164,816</w:t>
            </w:r>
          </w:p>
        </w:tc>
        <w:tc>
          <w:tcPr>
            <w:tcW w:w="15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net periodic benefit plan cost for the years ended December 31, 2012, 2011 and 2010, was as follows: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93"/>
        </w:trPr>
        <w:tc>
          <w:tcPr>
            <w:tcW w:w="45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70"/>
              <w:spacing w:after="0" w:line="194" w:lineRule="exact"/>
              <w:rPr>
                <w:sz w:val="20"/>
                <w:szCs w:val="20"/>
                <w:color w:val="auto"/>
              </w:rPr>
            </w:pPr>
            <w:r>
              <w:rPr>
                <w:rFonts w:ascii="Arial" w:cs="Arial" w:eastAsia="Arial" w:hAnsi="Arial"/>
                <w:sz w:val="18"/>
                <w:szCs w:val="18"/>
                <w:color w:val="auto"/>
              </w:rPr>
              <w:t>Pension plans</w:t>
            </w:r>
          </w:p>
        </w:tc>
        <w:tc>
          <w:tcPr>
            <w:tcW w:w="110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right"/>
              <w:ind w:right="310"/>
              <w:spacing w:after="0" w:line="194" w:lineRule="exact"/>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406"/>
        </w:trPr>
        <w:tc>
          <w:tcPr>
            <w:tcW w:w="4580" w:type="dxa"/>
            <w:vAlign w:val="bottom"/>
          </w:tcPr>
          <w:p>
            <w:pPr>
              <w:spacing w:after="0"/>
              <w:rPr>
                <w:sz w:val="20"/>
                <w:szCs w:val="20"/>
                <w:color w:val="auto"/>
              </w:rPr>
            </w:pPr>
            <w:r>
              <w:rPr>
                <w:rFonts w:ascii="Arial" w:cs="Arial" w:eastAsia="Arial" w:hAnsi="Arial"/>
                <w:sz w:val="16"/>
                <w:szCs w:val="16"/>
                <w:color w:val="auto"/>
              </w:rPr>
              <w:t>Components of net periodic benefit cost:</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$3,486</w:t>
            </w:r>
          </w:p>
        </w:tc>
        <w:tc>
          <w:tcPr>
            <w:tcW w:w="1380" w:type="dxa"/>
            <w:vAlign w:val="bottom"/>
            <w:vMerge w:val="restart"/>
          </w:tcPr>
          <w:p>
            <w:pPr>
              <w:jc w:val="right"/>
              <w:ind w:right="290"/>
              <w:spacing w:after="0"/>
              <w:rPr>
                <w:sz w:val="20"/>
                <w:szCs w:val="20"/>
                <w:color w:val="auto"/>
              </w:rPr>
            </w:pPr>
            <w:r>
              <w:rPr>
                <w:rFonts w:ascii="Arial" w:cs="Arial" w:eastAsia="Arial" w:hAnsi="Arial"/>
                <w:sz w:val="18"/>
                <w:szCs w:val="18"/>
                <w:color w:val="auto"/>
              </w:rPr>
              <w:t>$3,117</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$3,572</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$1,071</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color w:val="auto"/>
              </w:rPr>
              <w:t>$931</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172"/>
        </w:trPr>
        <w:tc>
          <w:tcPr>
            <w:tcW w:w="4580" w:type="dxa"/>
            <w:vAlign w:val="bottom"/>
          </w:tcPr>
          <w:p>
            <w:pPr>
              <w:spacing w:after="0" w:line="172" w:lineRule="exact"/>
              <w:rPr>
                <w:sz w:val="20"/>
                <w:szCs w:val="20"/>
                <w:color w:val="auto"/>
              </w:rPr>
            </w:pPr>
            <w:r>
              <w:rPr>
                <w:rFonts w:ascii="Arial" w:cs="Arial" w:eastAsia="Arial" w:hAnsi="Arial"/>
                <w:sz w:val="16"/>
                <w:szCs w:val="16"/>
                <w:color w:val="auto"/>
              </w:rPr>
              <w:t>Service cost</w:t>
            </w:r>
          </w:p>
        </w:tc>
        <w:tc>
          <w:tcPr>
            <w:tcW w:w="12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Interest cost</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12,180</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19,958</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19,644</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3,691</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3,869</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Other adjustments</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945</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(11,799)</w:t>
            </w:r>
          </w:p>
        </w:tc>
        <w:tc>
          <w:tcPr>
            <w:tcW w:w="13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(15,858)</w:t>
            </w:r>
          </w:p>
        </w:tc>
        <w:tc>
          <w:tcPr>
            <w:tcW w:w="11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(15,127)</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Amortization of prior service cost/(credit)</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35</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37</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16</w:t>
            </w: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(3,666)</w:t>
            </w:r>
          </w:p>
        </w:tc>
        <w:tc>
          <w:tcPr>
            <w:tcW w:w="11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(3,666)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Amortization of transition obligation</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79</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83</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94</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Amortization of net actuarial loss</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4,223</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5,672</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4,738</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3,215</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3,022</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Settlement</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119,986</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327</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839</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Curtailment (gain)/loss</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34</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Special / contractual termination benefits</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233</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periodic benefit cost</w:t>
            </w:r>
          </w:p>
        </w:tc>
        <w:tc>
          <w:tcPr>
            <w:tcW w:w="12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$128,190</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$13,569</w:t>
            </w:r>
          </w:p>
        </w:tc>
        <w:tc>
          <w:tcPr>
            <w:tcW w:w="11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$13,810</w:t>
            </w:r>
          </w:p>
        </w:tc>
        <w:tc>
          <w:tcPr>
            <w:tcW w:w="11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$4,311</w:t>
            </w:r>
          </w:p>
        </w:tc>
        <w:tc>
          <w:tcPr>
            <w:tcW w:w="11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$5,101</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406"/>
        </w:trPr>
        <w:tc>
          <w:tcPr>
            <w:tcW w:w="4580" w:type="dxa"/>
            <w:vAlign w:val="bottom"/>
          </w:tcPr>
          <w:p>
            <w:pPr>
              <w:spacing w:after="0"/>
              <w:rPr>
                <w:sz w:val="20"/>
                <w:szCs w:val="20"/>
                <w:color w:val="auto"/>
              </w:rPr>
            </w:pPr>
            <w:r>
              <w:rPr>
                <w:rFonts w:ascii="Arial" w:cs="Arial" w:eastAsia="Arial" w:hAnsi="Arial"/>
                <w:sz w:val="16"/>
                <w:szCs w:val="16"/>
                <w:color w:val="auto"/>
              </w:rPr>
              <w:t>Weighted average assumptions used to determine net cost:</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4.82%</w:t>
            </w:r>
          </w:p>
        </w:tc>
        <w:tc>
          <w:tcPr>
            <w:tcW w:w="1380" w:type="dxa"/>
            <w:vAlign w:val="bottom"/>
            <w:vMerge w:val="restart"/>
          </w:tcPr>
          <w:p>
            <w:pPr>
              <w:jc w:val="right"/>
              <w:ind w:right="290"/>
              <w:spacing w:after="0"/>
              <w:rPr>
                <w:sz w:val="20"/>
                <w:szCs w:val="20"/>
                <w:color w:val="auto"/>
              </w:rPr>
            </w:pPr>
            <w:r>
              <w:rPr>
                <w:rFonts w:ascii="Arial" w:cs="Arial" w:eastAsia="Arial" w:hAnsi="Arial"/>
                <w:sz w:val="18"/>
                <w:szCs w:val="18"/>
                <w:color w:val="auto"/>
              </w:rPr>
              <w:t>5.59%</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5.80%</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4.86%</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color w:val="auto"/>
              </w:rPr>
              <w:t>5.55%</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72"/>
        </w:trPr>
        <w:tc>
          <w:tcPr>
            <w:tcW w:w="4580" w:type="dxa"/>
            <w:vAlign w:val="bottom"/>
          </w:tcPr>
          <w:p>
            <w:pPr>
              <w:spacing w:after="0" w:line="172" w:lineRule="exact"/>
              <w:rPr>
                <w:sz w:val="20"/>
                <w:szCs w:val="20"/>
                <w:color w:val="auto"/>
              </w:rPr>
            </w:pPr>
            <w:r>
              <w:rPr>
                <w:rFonts w:ascii="Arial" w:cs="Arial" w:eastAsia="Arial" w:hAnsi="Arial"/>
                <w:sz w:val="16"/>
                <w:szCs w:val="16"/>
                <w:color w:val="auto"/>
              </w:rPr>
              <w:t>Discount rate - U.S. plan</w:t>
            </w:r>
          </w:p>
        </w:tc>
        <w:tc>
          <w:tcPr>
            <w:tcW w:w="12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Discount rate - non -U.S. plan</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4.48%</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5.29%</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5.84%</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4.20%</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r>
              <w:rPr>
                <w:rFonts w:ascii="Arial" w:cs="Arial" w:eastAsia="Arial" w:hAnsi="Arial"/>
                <w:sz w:val="16"/>
                <w:szCs w:val="16"/>
                <w:color w:val="auto"/>
              </w:rPr>
              <w:t>Expected return on plan assets - U.S. plans</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4.82%</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5.80%</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6.10%</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9"/>
        </w:trPr>
        <w:tc>
          <w:tcPr>
            <w:tcW w:w="4580" w:type="dxa"/>
            <w:vAlign w:val="bottom"/>
          </w:tcPr>
          <w:p>
            <w:pPr>
              <w:spacing w:after="0"/>
              <w:rPr>
                <w:sz w:val="20"/>
                <w:szCs w:val="20"/>
                <w:color w:val="auto"/>
              </w:rPr>
            </w:pPr>
            <w:r>
              <w:rPr>
                <w:rFonts w:ascii="Arial" w:cs="Arial" w:eastAsia="Arial" w:hAnsi="Arial"/>
                <w:sz w:val="16"/>
                <w:szCs w:val="16"/>
                <w:color w:val="auto"/>
              </w:rPr>
              <w:t>Expected return on plan assets - non-U.S. plans</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6.26%</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6.80%</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6.91%</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r>
              <w:rPr>
                <w:rFonts w:ascii="Arial" w:cs="Arial" w:eastAsia="Arial" w:hAnsi="Arial"/>
                <w:sz w:val="16"/>
                <w:szCs w:val="16"/>
                <w:color w:val="auto"/>
              </w:rPr>
              <w:t>Rate of compensation increase - U.S. plan</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405"/>
        </w:trPr>
        <w:tc>
          <w:tcPr>
            <w:tcW w:w="4580" w:type="dxa"/>
            <w:vAlign w:val="bottom"/>
          </w:tcPr>
          <w:p>
            <w:pPr>
              <w:spacing w:after="0"/>
              <w:rPr>
                <w:sz w:val="20"/>
                <w:szCs w:val="20"/>
                <w:color w:val="auto"/>
              </w:rPr>
            </w:pPr>
            <w:r>
              <w:rPr>
                <w:rFonts w:ascii="Arial" w:cs="Arial" w:eastAsia="Arial" w:hAnsi="Arial"/>
                <w:sz w:val="16"/>
                <w:szCs w:val="16"/>
                <w:color w:val="auto"/>
              </w:rPr>
              <w:t>Rate of compensation increase - non-U.S. plans</w:t>
            </w: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3.19%</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3.47%</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3.42%</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580" w:type="dxa"/>
            <w:vAlign w:val="bottom"/>
          </w:tcPr>
          <w:p>
            <w:pPr>
              <w:spacing w:after="0"/>
              <w:rPr>
                <w:sz w:val="20"/>
                <w:szCs w:val="20"/>
                <w:color w:val="auto"/>
              </w:rPr>
            </w:pPr>
            <w:r>
              <w:rPr>
                <w:rFonts w:ascii="Arial" w:cs="Arial" w:eastAsia="Arial" w:hAnsi="Arial"/>
                <w:sz w:val="16"/>
                <w:szCs w:val="16"/>
                <w:color w:val="auto"/>
              </w:rPr>
              <w:t>Health care cost trend rate (U.S. and non-U.S. plans):</w:t>
            </w: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13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580" w:type="dxa"/>
            <w:vAlign w:val="bottom"/>
          </w:tcPr>
          <w:p>
            <w:pPr>
              <w:spacing w:after="0" w:line="172" w:lineRule="exact"/>
              <w:rPr>
                <w:sz w:val="20"/>
                <w:szCs w:val="20"/>
                <w:color w:val="auto"/>
              </w:rPr>
            </w:pPr>
            <w:r>
              <w:rPr>
                <w:rFonts w:ascii="Arial" w:cs="Arial" w:eastAsia="Arial" w:hAnsi="Arial"/>
                <w:sz w:val="16"/>
                <w:szCs w:val="16"/>
                <w:color w:val="auto"/>
              </w:rPr>
              <w:t>Initial rate</w:t>
            </w:r>
          </w:p>
        </w:tc>
        <w:tc>
          <w:tcPr>
            <w:tcW w:w="12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Arial" w:cs="Arial" w:eastAsia="Arial" w:hAnsi="Arial"/>
                <w:sz w:val="16"/>
                <w:szCs w:val="16"/>
                <w:color w:val="auto"/>
              </w:rPr>
              <w:t>Ultimate rate</w:t>
            </w:r>
          </w:p>
        </w:tc>
        <w:tc>
          <w:tcPr>
            <w:tcW w:w="12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Years to ultimate</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other comprehensive income during 2012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2"/>
          </w:tcPr>
          <w:p>
            <w:pPr>
              <w:jc w:val="center"/>
              <w:ind w:left="290"/>
              <w:spacing w:after="0"/>
              <w:rPr>
                <w:sz w:val="20"/>
                <w:szCs w:val="20"/>
                <w:color w:val="auto"/>
              </w:rPr>
            </w:pPr>
            <w:r>
              <w:rPr>
                <w:rFonts w:ascii="Arial" w:cs="Arial" w:eastAsia="Arial" w:hAnsi="Arial"/>
                <w:sz w:val="18"/>
                <w:szCs w:val="18"/>
                <w:color w:val="auto"/>
              </w:rPr>
              <w:t>Other</w:t>
            </w:r>
          </w:p>
        </w:tc>
      </w:tr>
      <w:tr>
        <w:trPr>
          <w:trHeight w:val="203"/>
        </w:trPr>
        <w:tc>
          <w:tcPr>
            <w:tcW w:w="6980" w:type="dxa"/>
            <w:vAlign w:val="bottom"/>
          </w:tcPr>
          <w:p>
            <w:pPr>
              <w:spacing w:after="0"/>
              <w:rPr>
                <w:sz w:val="17"/>
                <w:szCs w:val="17"/>
                <w:color w:val="auto"/>
              </w:rPr>
            </w:pPr>
          </w:p>
        </w:tc>
        <w:tc>
          <w:tcPr>
            <w:tcW w:w="2480" w:type="dxa"/>
            <w:vAlign w:val="bottom"/>
          </w:tcPr>
          <w:p>
            <w:pPr>
              <w:jc w:val="right"/>
              <w:ind w:right="910"/>
              <w:spacing w:after="0" w:line="202" w:lineRule="exact"/>
              <w:rPr>
                <w:sz w:val="20"/>
                <w:szCs w:val="20"/>
                <w:color w:val="auto"/>
              </w:rPr>
            </w:pPr>
            <w:r>
              <w:rPr>
                <w:rFonts w:ascii="Arial" w:cs="Arial" w:eastAsia="Arial" w:hAnsi="Arial"/>
                <w:sz w:val="18"/>
                <w:szCs w:val="18"/>
                <w:color w:val="auto"/>
              </w:rPr>
              <w:t>Pension</w:t>
            </w:r>
          </w:p>
        </w:tc>
        <w:tc>
          <w:tcPr>
            <w:tcW w:w="19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w w:val="99"/>
              </w:rPr>
              <w:t>postretirement</w:t>
            </w:r>
          </w:p>
        </w:tc>
      </w:tr>
      <w:tr>
        <w:trPr>
          <w:trHeight w:val="203"/>
        </w:trPr>
        <w:tc>
          <w:tcPr>
            <w:tcW w:w="6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480" w:type="dxa"/>
            <w:vAlign w:val="bottom"/>
            <w:tcBorders>
              <w:bottom w:val="single" w:sz="8" w:color="auto"/>
            </w:tcBorders>
          </w:tcPr>
          <w:p>
            <w:pPr>
              <w:jc w:val="right"/>
              <w:ind w:right="1070"/>
              <w:spacing w:after="0" w:line="203" w:lineRule="exact"/>
              <w:rPr>
                <w:sz w:val="20"/>
                <w:szCs w:val="20"/>
                <w:color w:val="auto"/>
              </w:rPr>
            </w:pPr>
            <w:r>
              <w:rPr>
                <w:rFonts w:ascii="Arial" w:cs="Arial" w:eastAsia="Arial" w:hAnsi="Arial"/>
                <w:sz w:val="18"/>
                <w:szCs w:val="18"/>
                <w:color w:val="auto"/>
              </w:rPr>
              <w:t>plan</w:t>
            </w:r>
          </w:p>
        </w:tc>
        <w:tc>
          <w:tcPr>
            <w:tcW w:w="1960" w:type="dxa"/>
            <w:vAlign w:val="bottom"/>
            <w:tcBorders>
              <w:bottom w:val="single" w:sz="8" w:color="auto"/>
            </w:tcBorders>
            <w:gridSpan w:val="2"/>
          </w:tcPr>
          <w:p>
            <w:pPr>
              <w:jc w:val="center"/>
              <w:ind w:left="290"/>
              <w:spacing w:after="0" w:line="203" w:lineRule="exact"/>
              <w:rPr>
                <w:sz w:val="20"/>
                <w:szCs w:val="20"/>
                <w:color w:val="auto"/>
              </w:rPr>
            </w:pPr>
            <w:r>
              <w:rPr>
                <w:rFonts w:ascii="Arial" w:cs="Arial" w:eastAsia="Arial" w:hAnsi="Arial"/>
                <w:sz w:val="18"/>
                <w:szCs w:val="18"/>
                <w:color w:val="auto"/>
                <w:w w:val="98"/>
              </w:rPr>
              <w:t>benefits</w:t>
            </w:r>
          </w:p>
        </w:tc>
      </w:tr>
      <w:tr>
        <w:trPr>
          <w:trHeight w:val="398"/>
        </w:trPr>
        <w:tc>
          <w:tcPr>
            <w:tcW w:w="6980" w:type="dxa"/>
            <w:vAlign w:val="bottom"/>
          </w:tcPr>
          <w:p>
            <w:pPr>
              <w:spacing w:after="0"/>
              <w:rPr>
                <w:sz w:val="20"/>
                <w:szCs w:val="20"/>
                <w:color w:val="auto"/>
              </w:rPr>
            </w:pPr>
            <w:r>
              <w:rPr>
                <w:rFonts w:ascii="Arial" w:cs="Arial" w:eastAsia="Arial" w:hAnsi="Arial"/>
                <w:sz w:val="18"/>
                <w:szCs w:val="18"/>
                <w:color w:val="auto"/>
              </w:rPr>
              <w:t>Settlements</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($118,350)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Asset/liabilty loss (gain)</w:t>
            </w:r>
          </w:p>
        </w:tc>
        <w:tc>
          <w:tcPr>
            <w:tcW w:w="24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41,889</w:t>
            </w:r>
          </w:p>
        </w:tc>
        <w:tc>
          <w:tcPr>
            <w:tcW w:w="11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6,344</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24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(4,223)</w:t>
            </w:r>
          </w:p>
        </w:tc>
        <w:tc>
          <w:tcPr>
            <w:tcW w:w="1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(3,215)</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4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(35)</w:t>
            </w:r>
          </w:p>
        </w:tc>
        <w:tc>
          <w:tcPr>
            <w:tcW w:w="11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3,666</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Amortization of transition (obligation)</w:t>
            </w:r>
          </w:p>
        </w:tc>
        <w:tc>
          <w:tcPr>
            <w:tcW w:w="24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(79)</w:t>
            </w:r>
          </w:p>
        </w:tc>
        <w:tc>
          <w:tcPr>
            <w:tcW w:w="112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Currency impact</w:t>
            </w:r>
          </w:p>
        </w:tc>
        <w:tc>
          <w:tcPr>
            <w:tcW w:w="2480" w:type="dxa"/>
            <w:vAlign w:val="bottom"/>
            <w:tcBorders>
              <w:bottom w:val="single" w:sz="8" w:color="auto"/>
            </w:tcBorders>
          </w:tcPr>
          <w:p>
            <w:pPr>
              <w:jc w:val="right"/>
              <w:ind w:right="550"/>
              <w:spacing w:after="0" w:line="203" w:lineRule="exact"/>
              <w:rPr>
                <w:sz w:val="20"/>
                <w:szCs w:val="20"/>
                <w:color w:val="auto"/>
              </w:rPr>
            </w:pPr>
            <w:r>
              <w:rPr>
                <w:rFonts w:ascii="Arial" w:cs="Arial" w:eastAsia="Arial" w:hAnsi="Arial"/>
                <w:sz w:val="18"/>
                <w:szCs w:val="18"/>
                <w:color w:val="auto"/>
              </w:rPr>
              <w:t>2,877</w:t>
            </w: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w:t>
            </w:r>
          </w:p>
        </w:tc>
      </w:tr>
      <w:tr>
        <w:trPr>
          <w:trHeight w:val="196"/>
        </w:trPr>
        <w:tc>
          <w:tcPr>
            <w:tcW w:w="6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recognized in other comprehensive income</w:t>
            </w:r>
          </w:p>
        </w:tc>
        <w:tc>
          <w:tcPr>
            <w:tcW w:w="24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($77,921)</w:t>
            </w: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$6,798</w:t>
            </w:r>
          </w:p>
        </w:tc>
      </w:tr>
      <w:tr>
        <w:trPr>
          <w:trHeight w:val="196"/>
        </w:trPr>
        <w:tc>
          <w:tcPr>
            <w:tcW w:w="69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6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recognized in net periodic benefit cost and other comprehensive income</w:t>
            </w:r>
          </w:p>
        </w:tc>
        <w:tc>
          <w:tcPr>
            <w:tcW w:w="24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$50,269</w:t>
            </w:r>
          </w:p>
        </w:tc>
        <w:tc>
          <w:tcPr>
            <w:tcW w:w="1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$11,109</w:t>
            </w:r>
          </w:p>
        </w:tc>
      </w:tr>
    </w:tbl>
    <w:p>
      <w:pPr>
        <w:spacing w:after="0" w:line="12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2013 are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5"/>
        </w:trPr>
        <w:tc>
          <w:tcPr>
            <w:tcW w:w="500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94"/>
              </w:rPr>
              <w:t>Total</w:t>
            </w:r>
          </w:p>
        </w:tc>
      </w:tr>
      <w:tr>
        <w:trPr>
          <w:trHeight w:val="203"/>
        </w:trPr>
        <w:tc>
          <w:tcPr>
            <w:tcW w:w="5000" w:type="dxa"/>
            <w:vAlign w:val="bottom"/>
          </w:tcPr>
          <w:p>
            <w:pPr>
              <w:spacing w:after="0"/>
              <w:rPr>
                <w:sz w:val="17"/>
                <w:szCs w:val="17"/>
                <w:color w:val="auto"/>
              </w:rPr>
            </w:pPr>
          </w:p>
        </w:tc>
        <w:tc>
          <w:tcPr>
            <w:tcW w:w="4440" w:type="dxa"/>
            <w:vAlign w:val="bottom"/>
          </w:tcPr>
          <w:p>
            <w:pPr>
              <w:jc w:val="right"/>
              <w:ind w:right="1030"/>
              <w:spacing w:after="0" w:line="202" w:lineRule="exact"/>
              <w:rPr>
                <w:sz w:val="20"/>
                <w:szCs w:val="20"/>
                <w:color w:val="auto"/>
              </w:rPr>
            </w:pPr>
            <w:r>
              <w:rPr>
                <w:rFonts w:ascii="Arial" w:cs="Arial" w:eastAsia="Arial" w:hAnsi="Arial"/>
                <w:sz w:val="18"/>
                <w:szCs w:val="18"/>
                <w:color w:val="auto"/>
              </w:rPr>
              <w:t>Total</w:t>
            </w:r>
          </w:p>
        </w:tc>
        <w:tc>
          <w:tcPr>
            <w:tcW w:w="198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9"/>
              </w:rPr>
              <w:t>postretirement</w:t>
            </w:r>
          </w:p>
        </w:tc>
      </w:tr>
      <w:tr>
        <w:trPr>
          <w:trHeight w:val="203"/>
        </w:trPr>
        <w:tc>
          <w:tcPr>
            <w:tcW w:w="50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4440" w:type="dxa"/>
            <w:vAlign w:val="bottom"/>
            <w:tcBorders>
              <w:bottom w:val="single" w:sz="8" w:color="auto"/>
            </w:tcBorders>
          </w:tcPr>
          <w:p>
            <w:pPr>
              <w:jc w:val="right"/>
              <w:ind w:right="910"/>
              <w:spacing w:after="0" w:line="203" w:lineRule="exact"/>
              <w:rPr>
                <w:sz w:val="20"/>
                <w:szCs w:val="20"/>
                <w:color w:val="auto"/>
              </w:rPr>
            </w:pPr>
            <w:r>
              <w:rPr>
                <w:rFonts w:ascii="Arial" w:cs="Arial" w:eastAsia="Arial" w:hAnsi="Arial"/>
                <w:sz w:val="18"/>
                <w:szCs w:val="18"/>
                <w:color w:val="auto"/>
              </w:rPr>
              <w:t>pension</w:t>
            </w:r>
          </w:p>
        </w:tc>
        <w:tc>
          <w:tcPr>
            <w:tcW w:w="1980" w:type="dxa"/>
            <w:vAlign w:val="bottom"/>
            <w:tcBorders>
              <w:bottom w:val="single" w:sz="8" w:color="auto"/>
            </w:tcBorders>
          </w:tcPr>
          <w:p>
            <w:pPr>
              <w:jc w:val="center"/>
              <w:ind w:left="310"/>
              <w:spacing w:after="0" w:line="203" w:lineRule="exact"/>
              <w:rPr>
                <w:sz w:val="20"/>
                <w:szCs w:val="20"/>
                <w:color w:val="auto"/>
              </w:rPr>
            </w:pPr>
            <w:r>
              <w:rPr>
                <w:rFonts w:ascii="Arial" w:cs="Arial" w:eastAsia="Arial" w:hAnsi="Arial"/>
                <w:sz w:val="18"/>
                <w:szCs w:val="18"/>
                <w:color w:val="auto"/>
                <w:w w:val="98"/>
              </w:rPr>
              <w:t>benefits</w:t>
            </w:r>
          </w:p>
        </w:tc>
      </w:tr>
      <w:tr>
        <w:trPr>
          <w:trHeight w:val="195"/>
        </w:trPr>
        <w:tc>
          <w:tcPr>
            <w:tcW w:w="5000" w:type="dxa"/>
            <w:vAlign w:val="bottom"/>
          </w:tcPr>
          <w:p>
            <w:pPr>
              <w:ind w:left="100"/>
              <w:spacing w:after="0" w:line="195" w:lineRule="exact"/>
              <w:rPr>
                <w:sz w:val="20"/>
                <w:szCs w:val="20"/>
                <w:color w:val="auto"/>
              </w:rPr>
            </w:pPr>
            <w:r>
              <w:rPr>
                <w:rFonts w:ascii="Arial" w:cs="Arial" w:eastAsia="Arial" w:hAnsi="Arial"/>
                <w:sz w:val="18"/>
                <w:szCs w:val="18"/>
                <w:color w:val="auto"/>
              </w:rPr>
              <w:t>Actuarial loss</w:t>
            </w:r>
          </w:p>
        </w:tc>
        <w:tc>
          <w:tcPr>
            <w:tcW w:w="444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$3,185</w:t>
            </w:r>
          </w:p>
        </w:tc>
        <w:tc>
          <w:tcPr>
            <w:tcW w:w="19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$3,514</w:t>
            </w:r>
          </w:p>
        </w:tc>
      </w:tr>
      <w:tr>
        <w:trPr>
          <w:trHeight w:val="203"/>
        </w:trPr>
        <w:tc>
          <w:tcPr>
            <w:tcW w:w="5000" w:type="dxa"/>
            <w:vAlign w:val="bottom"/>
          </w:tcPr>
          <w:p>
            <w:pPr>
              <w:ind w:left="100"/>
              <w:spacing w:after="0" w:line="202" w:lineRule="exact"/>
              <w:rPr>
                <w:sz w:val="20"/>
                <w:szCs w:val="20"/>
                <w:color w:val="auto"/>
              </w:rPr>
            </w:pPr>
            <w:r>
              <w:rPr>
                <w:rFonts w:ascii="Arial" w:cs="Arial" w:eastAsia="Arial" w:hAnsi="Arial"/>
                <w:sz w:val="18"/>
                <w:szCs w:val="18"/>
                <w:color w:val="auto"/>
              </w:rPr>
              <w:t>Prior service cost/(benefit)</w:t>
            </w:r>
          </w:p>
        </w:tc>
        <w:tc>
          <w:tcPr>
            <w:tcW w:w="44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35</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(3,666)</w:t>
            </w:r>
          </w:p>
        </w:tc>
      </w:tr>
      <w:tr>
        <w:trPr>
          <w:trHeight w:val="203"/>
        </w:trPr>
        <w:tc>
          <w:tcPr>
            <w:tcW w:w="50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Transition obligation</w:t>
            </w:r>
          </w:p>
        </w:tc>
        <w:tc>
          <w:tcPr>
            <w:tcW w:w="444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70</w:t>
            </w:r>
          </w:p>
        </w:tc>
        <w:tc>
          <w:tcPr>
            <w:tcW w:w="19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50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44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$3,290</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Strategy</w:t>
      </w:r>
    </w:p>
    <w:p>
      <w:pPr>
        <w:spacing w:after="0" w:line="176" w:lineRule="exact"/>
        <w:rPr>
          <w:sz w:val="20"/>
          <w:szCs w:val="20"/>
          <w:color w:val="auto"/>
        </w:rPr>
      </w:pPr>
    </w:p>
    <w:p>
      <w:pPr>
        <w:jc w:val="both"/>
        <w:ind w:right="140" w:firstLine="360"/>
        <w:spacing w:after="0"/>
        <w:rPr>
          <w:sz w:val="20"/>
          <w:szCs w:val="20"/>
          <w:color w:val="auto"/>
        </w:rPr>
      </w:pPr>
      <w:r>
        <w:rPr>
          <w:rFonts w:ascii="Arial" w:cs="Arial" w:eastAsia="Arial" w:hAnsi="Arial"/>
          <w:sz w:val="18"/>
          <w:szCs w:val="18"/>
          <w:color w:val="auto"/>
        </w:rPr>
        <w:t>Our investment strategy for pension assets differs for the various countries in which we have defined benefit pension plans. Some of our defined benefit plans do not require funded trusts and, in those arrangements, the Company funds the plans on a “pay as you go” basis. The largest of the funded defined benefit plans is the United States plan, which accounts for 48% of the Company’s pension plan assets.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United States plan:</w:t>
      </w:r>
    </w:p>
    <w:p>
      <w:pPr>
        <w:spacing w:after="0" w:line="158" w:lineRule="exact"/>
        <w:rPr>
          <w:sz w:val="20"/>
          <w:szCs w:val="20"/>
          <w:color w:val="auto"/>
        </w:rPr>
      </w:pPr>
    </w:p>
    <w:p>
      <w:pPr>
        <w:ind w:right="300" w:firstLine="360"/>
        <w:spacing w:after="0" w:line="239" w:lineRule="auto"/>
        <w:rPr>
          <w:sz w:val="20"/>
          <w:szCs w:val="20"/>
          <w:color w:val="auto"/>
        </w:rPr>
      </w:pPr>
      <w:r>
        <w:rPr>
          <w:rFonts w:ascii="Arial" w:cs="Arial" w:eastAsia="Arial" w:hAnsi="Arial"/>
          <w:sz w:val="18"/>
          <w:szCs w:val="18"/>
          <w:color w:val="auto"/>
        </w:rPr>
        <w:t>During 2009, we changed our investment strategy for the United States pension plan by adopting a liability-driven investment strategy. Under this arrangement, the Company seeks to invest in assets that track closely to the discount rate that is used to measure the plan liabilities. Accordingly, the plan assets are primarily debt securities. The change in investment strategy is reflective of the Company’s 2008 decision to freeze benefit accruals under the plan.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 United States plans:</w:t>
      </w:r>
    </w:p>
    <w:p>
      <w:pPr>
        <w:spacing w:after="0" w:line="158" w:lineRule="exact"/>
        <w:rPr>
          <w:sz w:val="20"/>
          <w:szCs w:val="20"/>
          <w:color w:val="auto"/>
        </w:rPr>
      </w:pPr>
    </w:p>
    <w:p>
      <w:pPr>
        <w:ind w:right="180" w:firstLine="360"/>
        <w:spacing w:after="0" w:line="238" w:lineRule="auto"/>
        <w:rPr>
          <w:sz w:val="20"/>
          <w:szCs w:val="20"/>
          <w:color w:val="auto"/>
        </w:rPr>
      </w:pPr>
      <w:r>
        <w:rPr>
          <w:rFonts w:ascii="Arial" w:cs="Arial" w:eastAsia="Arial" w:hAnsi="Arial"/>
          <w:sz w:val="18"/>
          <w:szCs w:val="18"/>
          <w:color w:val="auto"/>
        </w:rPr>
        <w:t>For the countries in which the Company has funded pension trusts, the investment strategy is to achieve a competitive, total investment return, achieving diversification between and within asset classes and managing other risks. Investment objectives for each asset class are determined based on specific risks and investment opportunities identified. Actual allocations to each asset class vary from target allocations due to periodic investment strategy changes, market value fluctuations, the length of time it takes to fully implement investment allocation positions, and the timing of benefit payments and contributions.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176" w:lineRule="exact"/>
        <w:rPr>
          <w:sz w:val="20"/>
          <w:szCs w:val="20"/>
          <w:color w:val="auto"/>
        </w:rPr>
      </w:pPr>
    </w:p>
    <w:p>
      <w:pPr>
        <w:ind w:right="160" w:firstLine="360"/>
        <w:spacing w:after="0" w:line="246" w:lineRule="auto"/>
        <w:rPr>
          <w:sz w:val="20"/>
          <w:szCs w:val="20"/>
          <w:color w:val="auto"/>
        </w:rPr>
      </w:pPr>
      <w:r>
        <w:rPr>
          <w:rFonts w:ascii="Arial" w:cs="Arial" w:eastAsia="Arial" w:hAnsi="Arial"/>
          <w:sz w:val="18"/>
          <w:szCs w:val="18"/>
          <w:color w:val="auto"/>
        </w:rPr>
        <w:t>The following tables present plan assets as of December 31, 2012 and 2011, using the fair-value hierarchy, which has three levels based on the reliability of inputs used, as described in Note 13: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left="650"/>
              <w:spacing w:after="0"/>
              <w:rPr>
                <w:sz w:val="20"/>
                <w:szCs w:val="20"/>
                <w:color w:val="auto"/>
              </w:rPr>
            </w:pPr>
            <w:r>
              <w:rPr>
                <w:rFonts w:ascii="Arial" w:cs="Arial" w:eastAsia="Arial" w:hAnsi="Arial"/>
                <w:sz w:val="18"/>
                <w:szCs w:val="18"/>
                <w:color w:val="auto"/>
                <w:w w:val="97"/>
              </w:rPr>
              <w:t>Total fair</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Quoted prices</w:t>
            </w: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Significant other</w:t>
            </w:r>
          </w:p>
        </w:tc>
        <w:tc>
          <w:tcPr>
            <w:tcW w:w="1780" w:type="dxa"/>
            <w:vAlign w:val="bottom"/>
            <w:tcBorders>
              <w:top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8"/>
              </w:rPr>
              <w:t>Significant</w:t>
            </w:r>
          </w:p>
        </w:tc>
        <w:tc>
          <w:tcPr>
            <w:tcW w:w="20" w:type="dxa"/>
            <w:vAlign w:val="bottom"/>
          </w:tcPr>
          <w:p>
            <w:pPr>
              <w:spacing w:after="0"/>
              <w:rPr>
                <w:sz w:val="18"/>
                <w:szCs w:val="18"/>
                <w:color w:val="auto"/>
              </w:rPr>
            </w:pPr>
          </w:p>
        </w:tc>
      </w:tr>
      <w:tr>
        <w:trPr>
          <w:trHeight w:val="203"/>
        </w:trPr>
        <w:tc>
          <w:tcPr>
            <w:tcW w:w="3580" w:type="dxa"/>
            <w:vAlign w:val="bottom"/>
          </w:tcPr>
          <w:p>
            <w:pPr>
              <w:spacing w:after="0"/>
              <w:rPr>
                <w:sz w:val="17"/>
                <w:szCs w:val="17"/>
                <w:color w:val="auto"/>
              </w:rPr>
            </w:pPr>
          </w:p>
        </w:tc>
        <w:tc>
          <w:tcPr>
            <w:tcW w:w="2660" w:type="dxa"/>
            <w:vAlign w:val="bottom"/>
          </w:tcPr>
          <w:p>
            <w:pPr>
              <w:jc w:val="center"/>
              <w:ind w:left="670"/>
              <w:spacing w:after="0" w:line="202" w:lineRule="exact"/>
              <w:rPr>
                <w:sz w:val="20"/>
                <w:szCs w:val="20"/>
                <w:color w:val="auto"/>
              </w:rPr>
            </w:pPr>
            <w:r>
              <w:rPr>
                <w:rFonts w:ascii="Arial" w:cs="Arial" w:eastAsia="Arial" w:hAnsi="Arial"/>
                <w:sz w:val="18"/>
                <w:szCs w:val="18"/>
                <w:color w:val="auto"/>
                <w:w w:val="98"/>
              </w:rPr>
              <w:t>value at</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rPr>
              <w:t>in active markets</w:t>
            </w:r>
          </w:p>
        </w:tc>
        <w:tc>
          <w:tcPr>
            <w:tcW w:w="1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observable inputs</w:t>
            </w:r>
          </w:p>
        </w:tc>
        <w:tc>
          <w:tcPr>
            <w:tcW w:w="1800" w:type="dxa"/>
            <w:vAlign w:val="bottom"/>
            <w:gridSpan w:val="3"/>
          </w:tcPr>
          <w:p>
            <w:pPr>
              <w:jc w:val="center"/>
              <w:ind w:left="50"/>
              <w:spacing w:after="0" w:line="202" w:lineRule="exact"/>
              <w:rPr>
                <w:sz w:val="20"/>
                <w:szCs w:val="20"/>
                <w:color w:val="auto"/>
              </w:rPr>
            </w:pPr>
            <w:r>
              <w:rPr>
                <w:rFonts w:ascii="Arial" w:cs="Arial" w:eastAsia="Arial" w:hAnsi="Arial"/>
                <w:sz w:val="18"/>
                <w:szCs w:val="18"/>
                <w:color w:val="auto"/>
              </w:rPr>
              <w:t>unobservable inputs</w:t>
            </w: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2660" w:type="dxa"/>
            <w:vAlign w:val="bottom"/>
          </w:tcPr>
          <w:p>
            <w:pPr>
              <w:jc w:val="center"/>
              <w:ind w:left="670"/>
              <w:spacing w:after="0" w:line="203" w:lineRule="exact"/>
              <w:rPr>
                <w:sz w:val="20"/>
                <w:szCs w:val="20"/>
                <w:color w:val="auto"/>
              </w:rPr>
            </w:pPr>
            <w:r>
              <w:rPr>
                <w:rFonts w:ascii="Arial" w:cs="Arial" w:eastAsia="Arial" w:hAnsi="Arial"/>
                <w:sz w:val="18"/>
                <w:szCs w:val="18"/>
                <w:color w:val="auto"/>
                <w:w w:val="99"/>
              </w:rPr>
              <w:t>December 31, 2012</w:t>
            </w:r>
          </w:p>
        </w:tc>
        <w:tc>
          <w:tcPr>
            <w:tcW w:w="1680" w:type="dxa"/>
            <w:vAlign w:val="bottom"/>
          </w:tcPr>
          <w:p>
            <w:pPr>
              <w:jc w:val="center"/>
              <w:spacing w:after="0" w:line="203" w:lineRule="exact"/>
              <w:rPr>
                <w:sz w:val="20"/>
                <w:szCs w:val="20"/>
                <w:color w:val="auto"/>
              </w:rPr>
            </w:pPr>
            <w:r>
              <w:rPr>
                <w:rFonts w:ascii="Arial" w:cs="Arial" w:eastAsia="Arial" w:hAnsi="Arial"/>
                <w:sz w:val="18"/>
                <w:szCs w:val="18"/>
                <w:color w:val="auto"/>
                <w:w w:val="99"/>
              </w:rPr>
              <w:t>(Level 1)</w:t>
            </w:r>
          </w:p>
        </w:tc>
        <w:tc>
          <w:tcPr>
            <w:tcW w:w="1720" w:type="dxa"/>
            <w:vAlign w:val="bottom"/>
            <w:gridSpan w:val="2"/>
          </w:tcPr>
          <w:p>
            <w:pPr>
              <w:jc w:val="center"/>
              <w:spacing w:after="0" w:line="203" w:lineRule="exact"/>
              <w:rPr>
                <w:sz w:val="20"/>
                <w:szCs w:val="20"/>
                <w:color w:val="auto"/>
              </w:rPr>
            </w:pPr>
            <w:r>
              <w:rPr>
                <w:rFonts w:ascii="Arial" w:cs="Arial" w:eastAsia="Arial" w:hAnsi="Arial"/>
                <w:sz w:val="18"/>
                <w:szCs w:val="18"/>
                <w:color w:val="auto"/>
              </w:rPr>
              <w:t>(Level 2)</w:t>
            </w:r>
          </w:p>
        </w:tc>
        <w:tc>
          <w:tcPr>
            <w:tcW w:w="1800" w:type="dxa"/>
            <w:vAlign w:val="bottom"/>
            <w:gridSpan w:val="3"/>
          </w:tcPr>
          <w:p>
            <w:pPr>
              <w:jc w:val="center"/>
              <w:ind w:left="50"/>
              <w:spacing w:after="0" w:line="203" w:lineRule="exact"/>
              <w:rPr>
                <w:sz w:val="20"/>
                <w:szCs w:val="20"/>
                <w:color w:val="auto"/>
              </w:rPr>
            </w:pPr>
            <w:r>
              <w:rPr>
                <w:rFonts w:ascii="Arial" w:cs="Arial" w:eastAsia="Arial" w:hAnsi="Arial"/>
                <w:sz w:val="18"/>
                <w:szCs w:val="18"/>
                <w:color w:val="auto"/>
                <w:w w:val="99"/>
              </w:rPr>
              <w:t>(Level 3)</w:t>
            </w:r>
          </w:p>
        </w:tc>
      </w:tr>
      <w:tr>
        <w:trPr>
          <w:trHeight w:val="195"/>
        </w:trPr>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stocks</w:t>
            </w:r>
          </w:p>
        </w:tc>
        <w:tc>
          <w:tcPr>
            <w:tcW w:w="26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$46,625</w:t>
            </w:r>
          </w:p>
        </w:tc>
        <w:tc>
          <w:tcPr>
            <w:tcW w:w="16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$46,625</w:t>
            </w:r>
          </w:p>
        </w:tc>
        <w:tc>
          <w:tcPr>
            <w:tcW w:w="920" w:type="dxa"/>
            <w:vAlign w:val="bottom"/>
            <w:tcBorders>
              <w:top w:val="single" w:sz="8" w:color="auto"/>
            </w:tcBorders>
          </w:tcPr>
          <w:p>
            <w:pPr>
              <w:jc w:val="center"/>
              <w:ind w:left="69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114,136</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5"/>
              </w:rPr>
              <w:t>114,136</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Insurance contracts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2,542</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2,542</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7,556</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7,556</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Hedge funds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536</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536</w:t>
            </w:r>
          </w:p>
        </w:tc>
      </w:tr>
      <w:tr>
        <w:trPr>
          <w:trHeight w:val="203"/>
        </w:trPr>
        <w:tc>
          <w:tcPr>
            <w:tcW w:w="3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6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2,039</w:t>
            </w:r>
          </w:p>
        </w:tc>
        <w:tc>
          <w:tcPr>
            <w:tcW w:w="16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2,039</w:t>
            </w: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196"/>
        </w:trPr>
        <w:tc>
          <w:tcPr>
            <w:tcW w:w="3580" w:type="dxa"/>
            <w:vAlign w:val="bottom"/>
          </w:tcPr>
          <w:p>
            <w:pPr>
              <w:spacing w:after="0" w:line="196" w:lineRule="exact"/>
              <w:rPr>
                <w:sz w:val="20"/>
                <w:szCs w:val="20"/>
                <w:color w:val="auto"/>
              </w:rPr>
            </w:pPr>
            <w:r>
              <w:rPr>
                <w:rFonts w:ascii="Arial" w:cs="Arial" w:eastAsia="Arial" w:hAnsi="Arial"/>
                <w:sz w:val="18"/>
                <w:szCs w:val="18"/>
                <w:color w:val="auto"/>
              </w:rPr>
              <w:t>Total plan assets</w:t>
            </w:r>
          </w:p>
        </w:tc>
        <w:tc>
          <w:tcPr>
            <w:tcW w:w="26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$173,434</w:t>
            </w:r>
          </w:p>
        </w:tc>
        <w:tc>
          <w:tcPr>
            <w:tcW w:w="1680" w:type="dxa"/>
            <w:vAlign w:val="bottom"/>
          </w:tcPr>
          <w:p>
            <w:pPr>
              <w:jc w:val="right"/>
              <w:ind w:right="70"/>
              <w:spacing w:after="0" w:line="196" w:lineRule="exact"/>
              <w:rPr>
                <w:sz w:val="20"/>
                <w:szCs w:val="20"/>
                <w:color w:val="auto"/>
              </w:rPr>
            </w:pPr>
            <w:r>
              <w:rPr>
                <w:rFonts w:ascii="Arial" w:cs="Arial" w:eastAsia="Arial" w:hAnsi="Arial"/>
                <w:sz w:val="18"/>
                <w:szCs w:val="18"/>
                <w:color w:val="auto"/>
              </w:rPr>
              <w:t>$48,664</w:t>
            </w:r>
          </w:p>
        </w:tc>
        <w:tc>
          <w:tcPr>
            <w:tcW w:w="920" w:type="dxa"/>
            <w:vAlign w:val="bottom"/>
          </w:tcPr>
          <w:p>
            <w:pPr>
              <w:jc w:val="center"/>
              <w:ind w:left="7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5"/>
              </w:rPr>
              <w:t>114,136</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8"/>
              </w:rPr>
              <w:t>10,634</w:t>
            </w:r>
          </w:p>
        </w:tc>
      </w:tr>
      <w:tr>
        <w:trPr>
          <w:trHeight w:val="399"/>
        </w:trPr>
        <w:tc>
          <w:tcPr>
            <w:tcW w:w="358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62</w:t>
            </w:r>
          </w:p>
        </w:tc>
        <w:tc>
          <w:tcPr>
            <w:tcW w:w="16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5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20"/>
          </w:cols>
          <w:pgMar w:left="240" w:top="619"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left="650"/>
              <w:spacing w:after="0"/>
              <w:rPr>
                <w:sz w:val="20"/>
                <w:szCs w:val="20"/>
                <w:color w:val="auto"/>
              </w:rPr>
            </w:pPr>
            <w:r>
              <w:rPr>
                <w:rFonts w:ascii="Arial" w:cs="Arial" w:eastAsia="Arial" w:hAnsi="Arial"/>
                <w:sz w:val="18"/>
                <w:szCs w:val="18"/>
                <w:color w:val="auto"/>
                <w:w w:val="97"/>
              </w:rPr>
              <w:t>Total fair</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Quoted prices</w:t>
            </w: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Significant other</w:t>
            </w:r>
          </w:p>
        </w:tc>
        <w:tc>
          <w:tcPr>
            <w:tcW w:w="1780" w:type="dxa"/>
            <w:vAlign w:val="bottom"/>
            <w:tcBorders>
              <w:top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8"/>
              </w:rPr>
              <w:t>Significant</w:t>
            </w:r>
          </w:p>
        </w:tc>
        <w:tc>
          <w:tcPr>
            <w:tcW w:w="20" w:type="dxa"/>
            <w:vAlign w:val="bottom"/>
          </w:tcPr>
          <w:p>
            <w:pPr>
              <w:spacing w:after="0"/>
              <w:rPr>
                <w:sz w:val="18"/>
                <w:szCs w:val="18"/>
                <w:color w:val="auto"/>
              </w:rPr>
            </w:pPr>
          </w:p>
        </w:tc>
      </w:tr>
      <w:tr>
        <w:trPr>
          <w:trHeight w:val="203"/>
        </w:trPr>
        <w:tc>
          <w:tcPr>
            <w:tcW w:w="3580" w:type="dxa"/>
            <w:vAlign w:val="bottom"/>
          </w:tcPr>
          <w:p>
            <w:pPr>
              <w:spacing w:after="0"/>
              <w:rPr>
                <w:sz w:val="17"/>
                <w:szCs w:val="17"/>
                <w:color w:val="auto"/>
              </w:rPr>
            </w:pPr>
          </w:p>
        </w:tc>
        <w:tc>
          <w:tcPr>
            <w:tcW w:w="2660" w:type="dxa"/>
            <w:vAlign w:val="bottom"/>
          </w:tcPr>
          <w:p>
            <w:pPr>
              <w:jc w:val="center"/>
              <w:ind w:left="670"/>
              <w:spacing w:after="0" w:line="202" w:lineRule="exact"/>
              <w:rPr>
                <w:sz w:val="20"/>
                <w:szCs w:val="20"/>
                <w:color w:val="auto"/>
              </w:rPr>
            </w:pPr>
            <w:r>
              <w:rPr>
                <w:rFonts w:ascii="Arial" w:cs="Arial" w:eastAsia="Arial" w:hAnsi="Arial"/>
                <w:sz w:val="18"/>
                <w:szCs w:val="18"/>
                <w:color w:val="auto"/>
                <w:w w:val="98"/>
              </w:rPr>
              <w:t>value at</w:t>
            </w:r>
          </w:p>
        </w:tc>
        <w:tc>
          <w:tcPr>
            <w:tcW w:w="1680" w:type="dxa"/>
            <w:vAlign w:val="bottom"/>
          </w:tcPr>
          <w:p>
            <w:pPr>
              <w:jc w:val="center"/>
              <w:spacing w:after="0" w:line="202" w:lineRule="exact"/>
              <w:rPr>
                <w:sz w:val="20"/>
                <w:szCs w:val="20"/>
                <w:color w:val="auto"/>
              </w:rPr>
            </w:pPr>
            <w:r>
              <w:rPr>
                <w:rFonts w:ascii="Arial" w:cs="Arial" w:eastAsia="Arial" w:hAnsi="Arial"/>
                <w:sz w:val="18"/>
                <w:szCs w:val="18"/>
                <w:color w:val="auto"/>
              </w:rPr>
              <w:t>in active markets</w:t>
            </w:r>
          </w:p>
        </w:tc>
        <w:tc>
          <w:tcPr>
            <w:tcW w:w="17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observable inputs</w:t>
            </w:r>
          </w:p>
        </w:tc>
        <w:tc>
          <w:tcPr>
            <w:tcW w:w="1800" w:type="dxa"/>
            <w:vAlign w:val="bottom"/>
            <w:gridSpan w:val="3"/>
          </w:tcPr>
          <w:p>
            <w:pPr>
              <w:jc w:val="center"/>
              <w:ind w:left="50"/>
              <w:spacing w:after="0" w:line="202" w:lineRule="exact"/>
              <w:rPr>
                <w:sz w:val="20"/>
                <w:szCs w:val="20"/>
                <w:color w:val="auto"/>
              </w:rPr>
            </w:pPr>
            <w:r>
              <w:rPr>
                <w:rFonts w:ascii="Arial" w:cs="Arial" w:eastAsia="Arial" w:hAnsi="Arial"/>
                <w:sz w:val="18"/>
                <w:szCs w:val="18"/>
                <w:color w:val="auto"/>
              </w:rPr>
              <w:t>unobservable inputs</w:t>
            </w: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2660" w:type="dxa"/>
            <w:vAlign w:val="bottom"/>
          </w:tcPr>
          <w:p>
            <w:pPr>
              <w:jc w:val="center"/>
              <w:ind w:left="670"/>
              <w:spacing w:after="0" w:line="203" w:lineRule="exact"/>
              <w:rPr>
                <w:sz w:val="20"/>
                <w:szCs w:val="20"/>
                <w:color w:val="auto"/>
              </w:rPr>
            </w:pPr>
            <w:r>
              <w:rPr>
                <w:rFonts w:ascii="Arial" w:cs="Arial" w:eastAsia="Arial" w:hAnsi="Arial"/>
                <w:sz w:val="18"/>
                <w:szCs w:val="18"/>
                <w:color w:val="auto"/>
                <w:w w:val="99"/>
              </w:rPr>
              <w:t>December 31, 2011</w:t>
            </w:r>
          </w:p>
        </w:tc>
        <w:tc>
          <w:tcPr>
            <w:tcW w:w="1680" w:type="dxa"/>
            <w:vAlign w:val="bottom"/>
          </w:tcPr>
          <w:p>
            <w:pPr>
              <w:jc w:val="center"/>
              <w:spacing w:after="0" w:line="203" w:lineRule="exact"/>
              <w:rPr>
                <w:sz w:val="20"/>
                <w:szCs w:val="20"/>
                <w:color w:val="auto"/>
              </w:rPr>
            </w:pPr>
            <w:r>
              <w:rPr>
                <w:rFonts w:ascii="Arial" w:cs="Arial" w:eastAsia="Arial" w:hAnsi="Arial"/>
                <w:sz w:val="18"/>
                <w:szCs w:val="18"/>
                <w:color w:val="auto"/>
                <w:w w:val="99"/>
              </w:rPr>
              <w:t>(Level 1)</w:t>
            </w:r>
          </w:p>
        </w:tc>
        <w:tc>
          <w:tcPr>
            <w:tcW w:w="1720" w:type="dxa"/>
            <w:vAlign w:val="bottom"/>
            <w:gridSpan w:val="2"/>
          </w:tcPr>
          <w:p>
            <w:pPr>
              <w:jc w:val="center"/>
              <w:spacing w:after="0" w:line="203" w:lineRule="exact"/>
              <w:rPr>
                <w:sz w:val="20"/>
                <w:szCs w:val="20"/>
                <w:color w:val="auto"/>
              </w:rPr>
            </w:pPr>
            <w:r>
              <w:rPr>
                <w:rFonts w:ascii="Arial" w:cs="Arial" w:eastAsia="Arial" w:hAnsi="Arial"/>
                <w:sz w:val="18"/>
                <w:szCs w:val="18"/>
                <w:color w:val="auto"/>
              </w:rPr>
              <w:t>(Level 2)</w:t>
            </w:r>
          </w:p>
        </w:tc>
        <w:tc>
          <w:tcPr>
            <w:tcW w:w="1800" w:type="dxa"/>
            <w:vAlign w:val="bottom"/>
            <w:gridSpan w:val="3"/>
          </w:tcPr>
          <w:p>
            <w:pPr>
              <w:jc w:val="center"/>
              <w:ind w:left="50"/>
              <w:spacing w:after="0" w:line="203" w:lineRule="exact"/>
              <w:rPr>
                <w:sz w:val="20"/>
                <w:szCs w:val="20"/>
                <w:color w:val="auto"/>
              </w:rPr>
            </w:pPr>
            <w:r>
              <w:rPr>
                <w:rFonts w:ascii="Arial" w:cs="Arial" w:eastAsia="Arial" w:hAnsi="Arial"/>
                <w:sz w:val="18"/>
                <w:szCs w:val="18"/>
                <w:color w:val="auto"/>
                <w:w w:val="99"/>
              </w:rPr>
              <w:t>(Level 3)</w:t>
            </w:r>
          </w:p>
        </w:tc>
      </w:tr>
      <w:tr>
        <w:trPr>
          <w:trHeight w:val="195"/>
        </w:trPr>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stocks</w:t>
            </w:r>
          </w:p>
        </w:tc>
        <w:tc>
          <w:tcPr>
            <w:tcW w:w="26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$48,993</w:t>
            </w:r>
          </w:p>
        </w:tc>
        <w:tc>
          <w:tcPr>
            <w:tcW w:w="16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$48,993</w:t>
            </w:r>
          </w:p>
        </w:tc>
        <w:tc>
          <w:tcPr>
            <w:tcW w:w="920" w:type="dxa"/>
            <w:vAlign w:val="bottom"/>
            <w:tcBorders>
              <w:top w:val="single" w:sz="8" w:color="auto"/>
            </w:tcBorders>
          </w:tcPr>
          <w:p>
            <w:pPr>
              <w:jc w:val="center"/>
              <w:ind w:left="69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243,839</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5"/>
              </w:rPr>
              <w:t>243,839</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Insurance contracts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2,361</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2,361</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8,676</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8,676</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Hedge funds</w:t>
            </w:r>
          </w:p>
        </w:tc>
        <w:tc>
          <w:tcPr>
            <w:tcW w:w="26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557</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8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557</w:t>
            </w:r>
          </w:p>
        </w:tc>
      </w:tr>
      <w:tr>
        <w:trPr>
          <w:trHeight w:val="203"/>
        </w:trPr>
        <w:tc>
          <w:tcPr>
            <w:tcW w:w="3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6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232</w:t>
            </w:r>
          </w:p>
        </w:tc>
        <w:tc>
          <w:tcPr>
            <w:tcW w:w="16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232</w:t>
            </w: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196"/>
        </w:trPr>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plan assets</w:t>
            </w:r>
          </w:p>
        </w:tc>
        <w:tc>
          <w:tcPr>
            <w:tcW w:w="26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$304,658</w:t>
            </w:r>
          </w:p>
        </w:tc>
        <w:tc>
          <w:tcPr>
            <w:tcW w:w="16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$49,225</w:t>
            </w:r>
          </w:p>
        </w:tc>
        <w:tc>
          <w:tcPr>
            <w:tcW w:w="920" w:type="dxa"/>
            <w:vAlign w:val="bottom"/>
            <w:tcBorders>
              <w:bottom w:val="single" w:sz="8" w:color="auto"/>
            </w:tcBorders>
          </w:tcPr>
          <w:p>
            <w:pPr>
              <w:jc w:val="center"/>
              <w:ind w:left="7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5"/>
              </w:rPr>
              <w:t>243,839</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8"/>
              </w:rPr>
              <w:t>11,594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2012 and 2011: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Net purchases,</w:t>
            </w:r>
          </w:p>
        </w:tc>
        <w:tc>
          <w:tcPr>
            <w:tcW w:w="6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320" w:type="dxa"/>
            <w:vAlign w:val="bottom"/>
          </w:tcPr>
          <w:p>
            <w:pPr>
              <w:jc w:val="center"/>
              <w:ind w:left="933"/>
              <w:spacing w:after="0"/>
              <w:rPr>
                <w:sz w:val="20"/>
                <w:szCs w:val="20"/>
                <w:color w:val="auto"/>
              </w:rPr>
            </w:pPr>
            <w:r>
              <w:rPr>
                <w:rFonts w:ascii="Arial" w:cs="Arial" w:eastAsia="Arial" w:hAnsi="Arial"/>
                <w:sz w:val="16"/>
                <w:szCs w:val="16"/>
                <w:color w:val="auto"/>
              </w:rPr>
              <w:t>December 31,</w:t>
            </w:r>
          </w:p>
        </w:tc>
        <w:tc>
          <w:tcPr>
            <w:tcW w:w="1060" w:type="dxa"/>
            <w:vAlign w:val="bottom"/>
          </w:tcPr>
          <w:p>
            <w:pPr>
              <w:jc w:val="center"/>
              <w:ind w:left="34"/>
              <w:spacing w:after="0"/>
              <w:rPr>
                <w:sz w:val="20"/>
                <w:szCs w:val="20"/>
                <w:color w:val="auto"/>
              </w:rPr>
            </w:pPr>
            <w:r>
              <w:rPr>
                <w:rFonts w:ascii="Arial" w:cs="Arial" w:eastAsia="Arial" w:hAnsi="Arial"/>
                <w:sz w:val="16"/>
                <w:szCs w:val="16"/>
                <w:color w:val="auto"/>
              </w:rPr>
              <w:t>Net realized</w:t>
            </w:r>
          </w:p>
        </w:tc>
        <w:tc>
          <w:tcPr>
            <w:tcW w:w="180" w:type="dxa"/>
            <w:vAlign w:val="bottom"/>
          </w:tcPr>
          <w:p>
            <w:pPr>
              <w:spacing w:after="0"/>
              <w:rPr>
                <w:sz w:val="16"/>
                <w:szCs w:val="16"/>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color w:val="auto"/>
              </w:rPr>
              <w:t>Net unrealized</w:t>
            </w:r>
          </w:p>
        </w:tc>
        <w:tc>
          <w:tcPr>
            <w:tcW w:w="1340" w:type="dxa"/>
            <w:vAlign w:val="bottom"/>
          </w:tcPr>
          <w:p>
            <w:pPr>
              <w:jc w:val="center"/>
              <w:spacing w:after="0"/>
              <w:rPr>
                <w:sz w:val="20"/>
                <w:szCs w:val="20"/>
                <w:color w:val="auto"/>
              </w:rPr>
            </w:pPr>
            <w:r>
              <w:rPr>
                <w:rFonts w:ascii="Arial" w:cs="Arial" w:eastAsia="Arial" w:hAnsi="Arial"/>
                <w:sz w:val="16"/>
                <w:szCs w:val="16"/>
                <w:color w:val="auto"/>
              </w:rPr>
              <w:t>issuances and</w:t>
            </w: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rPr>
              <w:t>Net transfers</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87"/>
        </w:trPr>
        <w:tc>
          <w:tcPr>
            <w:tcW w:w="280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center"/>
              <w:ind w:left="953"/>
              <w:spacing w:after="0"/>
              <w:rPr>
                <w:sz w:val="20"/>
                <w:szCs w:val="20"/>
                <w:color w:val="auto"/>
              </w:rPr>
            </w:pPr>
            <w:r>
              <w:rPr>
                <w:rFonts w:ascii="Arial" w:cs="Arial" w:eastAsia="Arial" w:hAnsi="Arial"/>
                <w:sz w:val="16"/>
                <w:szCs w:val="16"/>
                <w:color w:val="auto"/>
              </w:rPr>
              <w:t>2011</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(losses)/ gains</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color w:val="auto"/>
              </w:rPr>
              <w:t>gains/(losses)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settlements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(out of) Level 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0" w:type="dxa"/>
            <w:vAlign w:val="bottom"/>
          </w:tcPr>
          <w:p>
            <w:pPr>
              <w:spacing w:after="0" w:line="195" w:lineRule="exact"/>
              <w:rPr>
                <w:sz w:val="20"/>
                <w:szCs w:val="20"/>
                <w:color w:val="auto"/>
              </w:rPr>
            </w:pPr>
            <w:r>
              <w:rPr>
                <w:rFonts w:ascii="Arial" w:cs="Arial" w:eastAsia="Arial" w:hAnsi="Arial"/>
                <w:sz w:val="18"/>
                <w:szCs w:val="18"/>
                <w:color w:val="auto"/>
              </w:rPr>
              <w:t>Insurance contracts</w:t>
            </w:r>
          </w:p>
        </w:tc>
        <w:tc>
          <w:tcPr>
            <w:tcW w:w="2320" w:type="dxa"/>
            <w:vAlign w:val="bottom"/>
          </w:tcPr>
          <w:p>
            <w:pPr>
              <w:jc w:val="right"/>
              <w:ind w:right="13"/>
              <w:spacing w:after="0" w:line="195" w:lineRule="exact"/>
              <w:rPr>
                <w:sz w:val="20"/>
                <w:szCs w:val="20"/>
                <w:color w:val="auto"/>
              </w:rPr>
            </w:pPr>
            <w:r>
              <w:rPr>
                <w:rFonts w:ascii="Arial" w:cs="Arial" w:eastAsia="Arial" w:hAnsi="Arial"/>
                <w:sz w:val="18"/>
                <w:szCs w:val="18"/>
                <w:color w:val="auto"/>
              </w:rPr>
              <w:t>$2,361</w:t>
            </w:r>
          </w:p>
        </w:tc>
        <w:tc>
          <w:tcPr>
            <w:tcW w:w="1060" w:type="dxa"/>
            <w:vAlign w:val="bottom"/>
          </w:tcPr>
          <w:p>
            <w:pPr>
              <w:jc w:val="right"/>
              <w:ind w:right="234"/>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line="195" w:lineRule="exact"/>
              <w:rPr>
                <w:sz w:val="20"/>
                <w:szCs w:val="20"/>
                <w:color w:val="auto"/>
              </w:rPr>
            </w:pPr>
            <w:r>
              <w:rPr>
                <w:rFonts w:ascii="Arial" w:cs="Arial" w:eastAsia="Arial" w:hAnsi="Arial"/>
                <w:sz w:val="18"/>
                <w:szCs w:val="18"/>
                <w:color w:val="auto"/>
              </w:rPr>
              <w:t>$39</w:t>
            </w:r>
          </w:p>
        </w:tc>
        <w:tc>
          <w:tcPr>
            <w:tcW w:w="1340" w:type="dxa"/>
            <w:vAlign w:val="bottom"/>
          </w:tcPr>
          <w:p>
            <w:pPr>
              <w:jc w:val="right"/>
              <w:ind w:right="14"/>
              <w:spacing w:after="0" w:line="195" w:lineRule="exact"/>
              <w:rPr>
                <w:sz w:val="20"/>
                <w:szCs w:val="20"/>
                <w:color w:val="auto"/>
              </w:rPr>
            </w:pPr>
            <w:r>
              <w:rPr>
                <w:rFonts w:ascii="Arial" w:cs="Arial" w:eastAsia="Arial" w:hAnsi="Arial"/>
                <w:sz w:val="18"/>
                <w:szCs w:val="18"/>
                <w:color w:val="auto"/>
              </w:rPr>
              <w:t>$142</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2,542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3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8,676</w:t>
            </w:r>
          </w:p>
        </w:tc>
        <w:tc>
          <w:tcPr>
            <w:tcW w:w="1060" w:type="dxa"/>
            <w:vAlign w:val="bottom"/>
          </w:tcPr>
          <w:p>
            <w:pPr>
              <w:spacing w:after="0"/>
              <w:rPr>
                <w:sz w:val="17"/>
                <w:szCs w:val="17"/>
                <w:color w:val="auto"/>
              </w:rPr>
            </w:pPr>
          </w:p>
        </w:tc>
        <w:tc>
          <w:tcPr>
            <w:tcW w:w="18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521</w:t>
            </w:r>
          </w:p>
        </w:tc>
        <w:tc>
          <w:tcPr>
            <w:tcW w:w="13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(1,641)</w:t>
            </w:r>
          </w:p>
        </w:tc>
        <w:tc>
          <w:tcPr>
            <w:tcW w:w="6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Hedge funds</w:t>
            </w:r>
          </w:p>
        </w:tc>
        <w:tc>
          <w:tcPr>
            <w:tcW w:w="232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557</w:t>
            </w: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32</w:t>
            </w:r>
          </w:p>
        </w:tc>
        <w:tc>
          <w:tcPr>
            <w:tcW w:w="134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(53)</w:t>
            </w:r>
          </w:p>
        </w:tc>
        <w:tc>
          <w:tcPr>
            <w:tcW w:w="6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$11,594</w:t>
            </w:r>
          </w:p>
        </w:tc>
        <w:tc>
          <w:tcPr>
            <w:tcW w:w="1060" w:type="dxa"/>
            <w:vAlign w:val="bottom"/>
            <w:tcBorders>
              <w:bottom w:val="single" w:sz="8" w:color="auto"/>
            </w:tcBorders>
          </w:tcPr>
          <w:p>
            <w:pPr>
              <w:jc w:val="right"/>
              <w:ind w:right="23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$592</w:t>
            </w:r>
          </w:p>
        </w:tc>
        <w:tc>
          <w:tcPr>
            <w:tcW w:w="13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($1,552)</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Net purchases,</w:t>
            </w: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320" w:type="dxa"/>
            <w:vAlign w:val="bottom"/>
          </w:tcPr>
          <w:p>
            <w:pPr>
              <w:jc w:val="center"/>
              <w:ind w:left="933"/>
              <w:spacing w:after="0"/>
              <w:rPr>
                <w:sz w:val="20"/>
                <w:szCs w:val="20"/>
                <w:color w:val="auto"/>
              </w:rPr>
            </w:pPr>
            <w:r>
              <w:rPr>
                <w:rFonts w:ascii="Arial" w:cs="Arial" w:eastAsia="Arial" w:hAnsi="Arial"/>
                <w:sz w:val="16"/>
                <w:szCs w:val="16"/>
                <w:color w:val="auto"/>
              </w:rPr>
              <w:t>December 31,</w:t>
            </w:r>
          </w:p>
        </w:tc>
        <w:tc>
          <w:tcPr>
            <w:tcW w:w="1060" w:type="dxa"/>
            <w:vAlign w:val="bottom"/>
          </w:tcPr>
          <w:p>
            <w:pPr>
              <w:jc w:val="center"/>
              <w:ind w:left="34"/>
              <w:spacing w:after="0"/>
              <w:rPr>
                <w:sz w:val="20"/>
                <w:szCs w:val="20"/>
                <w:color w:val="auto"/>
              </w:rPr>
            </w:pPr>
            <w:r>
              <w:rPr>
                <w:rFonts w:ascii="Arial" w:cs="Arial" w:eastAsia="Arial" w:hAnsi="Arial"/>
                <w:sz w:val="16"/>
                <w:szCs w:val="16"/>
                <w:color w:val="auto"/>
              </w:rPr>
              <w:t>Net realized</w:t>
            </w:r>
          </w:p>
        </w:tc>
        <w:tc>
          <w:tcPr>
            <w:tcW w:w="180" w:type="dxa"/>
            <w:vAlign w:val="bottom"/>
          </w:tcPr>
          <w:p>
            <w:pPr>
              <w:spacing w:after="0"/>
              <w:rPr>
                <w:sz w:val="16"/>
                <w:szCs w:val="16"/>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color w:val="auto"/>
              </w:rPr>
              <w:t>Net unrealized</w:t>
            </w:r>
          </w:p>
        </w:tc>
        <w:tc>
          <w:tcPr>
            <w:tcW w:w="1340" w:type="dxa"/>
            <w:vAlign w:val="bottom"/>
          </w:tcPr>
          <w:p>
            <w:pPr>
              <w:jc w:val="center"/>
              <w:spacing w:after="0"/>
              <w:rPr>
                <w:sz w:val="20"/>
                <w:szCs w:val="20"/>
                <w:color w:val="auto"/>
              </w:rPr>
            </w:pPr>
            <w:r>
              <w:rPr>
                <w:rFonts w:ascii="Arial" w:cs="Arial" w:eastAsia="Arial" w:hAnsi="Arial"/>
                <w:sz w:val="16"/>
                <w:szCs w:val="16"/>
                <w:color w:val="auto"/>
              </w:rPr>
              <w:t>issuances and</w:t>
            </w: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rPr>
              <w:t>Net transfers</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87"/>
        </w:trPr>
        <w:tc>
          <w:tcPr>
            <w:tcW w:w="280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jc w:val="center"/>
              <w:ind w:left="953"/>
              <w:spacing w:after="0"/>
              <w:rPr>
                <w:sz w:val="20"/>
                <w:szCs w:val="20"/>
                <w:color w:val="auto"/>
              </w:rPr>
            </w:pPr>
            <w:r>
              <w:rPr>
                <w:rFonts w:ascii="Arial" w:cs="Arial" w:eastAsia="Arial" w:hAnsi="Arial"/>
                <w:sz w:val="16"/>
                <w:szCs w:val="16"/>
                <w:color w:val="auto"/>
              </w:rPr>
              <w:t>2010</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(losses)/ gains</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color w:val="auto"/>
              </w:rPr>
              <w:t>gains/(losses)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settlements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(out of) Level 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0" w:type="dxa"/>
            <w:vAlign w:val="bottom"/>
          </w:tcPr>
          <w:p>
            <w:pPr>
              <w:spacing w:after="0" w:line="195" w:lineRule="exact"/>
              <w:rPr>
                <w:sz w:val="20"/>
                <w:szCs w:val="20"/>
                <w:color w:val="auto"/>
              </w:rPr>
            </w:pPr>
            <w:r>
              <w:rPr>
                <w:rFonts w:ascii="Arial" w:cs="Arial" w:eastAsia="Arial" w:hAnsi="Arial"/>
                <w:sz w:val="18"/>
                <w:szCs w:val="18"/>
                <w:color w:val="auto"/>
              </w:rPr>
              <w:t>Insurance contracts</w:t>
            </w:r>
          </w:p>
        </w:tc>
        <w:tc>
          <w:tcPr>
            <w:tcW w:w="2320" w:type="dxa"/>
            <w:vAlign w:val="bottom"/>
          </w:tcPr>
          <w:p>
            <w:pPr>
              <w:jc w:val="right"/>
              <w:ind w:right="13"/>
              <w:spacing w:after="0" w:line="195" w:lineRule="exact"/>
              <w:rPr>
                <w:sz w:val="20"/>
                <w:szCs w:val="20"/>
                <w:color w:val="auto"/>
              </w:rPr>
            </w:pPr>
            <w:r>
              <w:rPr>
                <w:rFonts w:ascii="Arial" w:cs="Arial" w:eastAsia="Arial" w:hAnsi="Arial"/>
                <w:sz w:val="18"/>
                <w:szCs w:val="18"/>
                <w:color w:val="auto"/>
              </w:rPr>
              <w:t>$2,050</w:t>
            </w:r>
          </w:p>
        </w:tc>
        <w:tc>
          <w:tcPr>
            <w:tcW w:w="1060" w:type="dxa"/>
            <w:vAlign w:val="bottom"/>
          </w:tcPr>
          <w:p>
            <w:pPr>
              <w:jc w:val="right"/>
              <w:ind w:right="34"/>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10"/>
              <w:spacing w:after="0" w:line="195"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line="195" w:lineRule="exact"/>
              <w:rPr>
                <w:sz w:val="20"/>
                <w:szCs w:val="20"/>
                <w:color w:val="auto"/>
              </w:rPr>
            </w:pPr>
            <w:r>
              <w:rPr>
                <w:rFonts w:ascii="Arial" w:cs="Arial" w:eastAsia="Arial" w:hAnsi="Arial"/>
                <w:sz w:val="18"/>
                <w:szCs w:val="18"/>
                <w:color w:val="auto"/>
              </w:rPr>
              <w:t>$85</w:t>
            </w:r>
          </w:p>
        </w:tc>
        <w:tc>
          <w:tcPr>
            <w:tcW w:w="1340" w:type="dxa"/>
            <w:vAlign w:val="bottom"/>
          </w:tcPr>
          <w:p>
            <w:pPr>
              <w:jc w:val="right"/>
              <w:ind w:right="14"/>
              <w:spacing w:after="0" w:line="195" w:lineRule="exact"/>
              <w:rPr>
                <w:sz w:val="20"/>
                <w:szCs w:val="20"/>
                <w:color w:val="auto"/>
              </w:rPr>
            </w:pPr>
            <w:r>
              <w:rPr>
                <w:rFonts w:ascii="Arial" w:cs="Arial" w:eastAsia="Arial" w:hAnsi="Arial"/>
                <w:sz w:val="18"/>
                <w:szCs w:val="18"/>
                <w:color w:val="auto"/>
              </w:rPr>
              <w:t>$226</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$2,361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Limited partnerships</w:t>
            </w:r>
          </w:p>
        </w:tc>
        <w:tc>
          <w:tcPr>
            <w:tcW w:w="23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9,115</w:t>
            </w:r>
          </w:p>
        </w:tc>
        <w:tc>
          <w:tcPr>
            <w:tcW w:w="12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107</w:t>
            </w:r>
          </w:p>
        </w:tc>
        <w:tc>
          <w:tcPr>
            <w:tcW w:w="12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235</w:t>
            </w:r>
          </w:p>
        </w:tc>
        <w:tc>
          <w:tcPr>
            <w:tcW w:w="13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(781)</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Hedge funds</w:t>
            </w:r>
          </w:p>
        </w:tc>
        <w:tc>
          <w:tcPr>
            <w:tcW w:w="232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10,699</w:t>
            </w:r>
          </w:p>
        </w:tc>
        <w:tc>
          <w:tcPr>
            <w:tcW w:w="1240" w:type="dxa"/>
            <w:vAlign w:val="bottom"/>
            <w:tcBorders>
              <w:bottom w:val="single" w:sz="8" w:color="auto"/>
            </w:tcBorders>
            <w:gridSpan w:val="2"/>
          </w:tcPr>
          <w:p>
            <w:pPr>
              <w:jc w:val="right"/>
              <w:ind w:right="10"/>
              <w:spacing w:after="0" w:line="203" w:lineRule="exact"/>
              <w:rPr>
                <w:sz w:val="20"/>
                <w:szCs w:val="20"/>
                <w:color w:val="auto"/>
              </w:rPr>
            </w:pPr>
            <w:r>
              <w:rPr>
                <w:rFonts w:ascii="Arial" w:cs="Arial" w:eastAsia="Arial" w:hAnsi="Arial"/>
                <w:sz w:val="18"/>
                <w:szCs w:val="18"/>
                <w:color w:val="auto"/>
              </w:rPr>
              <w:t>(19)</w:t>
            </w:r>
          </w:p>
        </w:tc>
        <w:tc>
          <w:tcPr>
            <w:tcW w:w="128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(132)</w:t>
            </w:r>
          </w:p>
        </w:tc>
        <w:tc>
          <w:tcPr>
            <w:tcW w:w="1340" w:type="dxa"/>
            <w:vAlign w:val="bottom"/>
            <w:tcBorders>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8"/>
              </w:rPr>
              <w:t>(9,991)</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$21,864</w:t>
            </w:r>
          </w:p>
        </w:tc>
        <w:tc>
          <w:tcPr>
            <w:tcW w:w="124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$88</w:t>
            </w:r>
          </w:p>
        </w:tc>
        <w:tc>
          <w:tcPr>
            <w:tcW w:w="12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$188</w:t>
            </w:r>
          </w:p>
        </w:tc>
        <w:tc>
          <w:tcPr>
            <w:tcW w:w="13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$226</w:t>
            </w:r>
          </w:p>
        </w:tc>
        <w:tc>
          <w:tcPr>
            <w:tcW w:w="128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($10,772)</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asset allocation for the Company’s U.S. and non-U.S. pension plans for 2012 and 2011, and the target allocation for 2013, by asset category,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United States Plan</w:t>
            </w:r>
          </w:p>
        </w:tc>
        <w:tc>
          <w:tcPr>
            <w:tcW w:w="17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Non-U.S. Plans</w:t>
            </w:r>
          </w:p>
        </w:tc>
        <w:tc>
          <w:tcPr>
            <w:tcW w:w="9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280" w:type="dxa"/>
            <w:vAlign w:val="bottom"/>
          </w:tcPr>
          <w:p>
            <w:pPr>
              <w:spacing w:after="0"/>
              <w:rPr>
                <w:sz w:val="16"/>
                <w:szCs w:val="16"/>
                <w:color w:val="auto"/>
              </w:rPr>
            </w:pPr>
          </w:p>
        </w:tc>
        <w:tc>
          <w:tcPr>
            <w:tcW w:w="1780" w:type="dxa"/>
            <w:vAlign w:val="bottom"/>
          </w:tcPr>
          <w:p>
            <w:pPr>
              <w:jc w:val="right"/>
              <w:spacing w:after="0" w:line="195" w:lineRule="exact"/>
              <w:rPr>
                <w:sz w:val="20"/>
                <w:szCs w:val="20"/>
                <w:color w:val="auto"/>
              </w:rPr>
            </w:pPr>
            <w:r>
              <w:rPr>
                <w:rFonts w:ascii="Arial" w:cs="Arial" w:eastAsia="Arial" w:hAnsi="Arial"/>
                <w:sz w:val="18"/>
                <w:szCs w:val="18"/>
                <w:color w:val="auto"/>
              </w:rPr>
              <w:t>Target</w:t>
            </w:r>
          </w:p>
        </w:tc>
        <w:tc>
          <w:tcPr>
            <w:tcW w:w="3260" w:type="dxa"/>
            <w:vAlign w:val="bottom"/>
            <w:gridSpan w:val="2"/>
          </w:tcPr>
          <w:p>
            <w:pPr>
              <w:jc w:val="right"/>
              <w:ind w:right="590"/>
              <w:spacing w:after="0" w:line="195" w:lineRule="exact"/>
              <w:rPr>
                <w:sz w:val="20"/>
                <w:szCs w:val="20"/>
                <w:color w:val="auto"/>
              </w:rPr>
            </w:pPr>
            <w:r>
              <w:rPr>
                <w:rFonts w:ascii="Arial" w:cs="Arial" w:eastAsia="Arial" w:hAnsi="Arial"/>
                <w:sz w:val="18"/>
                <w:szCs w:val="18"/>
                <w:color w:val="auto"/>
              </w:rPr>
              <w:t>Percentage of plan assets</w:t>
            </w:r>
          </w:p>
        </w:tc>
        <w:tc>
          <w:tcPr>
            <w:tcW w:w="12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Target</w:t>
            </w:r>
          </w:p>
        </w:tc>
        <w:tc>
          <w:tcPr>
            <w:tcW w:w="2840" w:type="dxa"/>
            <w:vAlign w:val="bottom"/>
            <w:gridSpan w:val="2"/>
          </w:tcPr>
          <w:p>
            <w:pPr>
              <w:jc w:val="right"/>
              <w:ind w:right="230"/>
              <w:spacing w:after="0" w:line="195" w:lineRule="exact"/>
              <w:rPr>
                <w:sz w:val="20"/>
                <w:szCs w:val="20"/>
                <w:color w:val="auto"/>
              </w:rPr>
            </w:pPr>
            <w:r>
              <w:rPr>
                <w:rFonts w:ascii="Arial" w:cs="Arial" w:eastAsia="Arial" w:hAnsi="Arial"/>
                <w:sz w:val="18"/>
                <w:szCs w:val="18"/>
                <w:color w:val="auto"/>
              </w:rPr>
              <w:t>Percentage of plan assets</w:t>
            </w:r>
          </w:p>
        </w:tc>
        <w:tc>
          <w:tcPr>
            <w:tcW w:w="20" w:type="dxa"/>
            <w:vAlign w:val="bottom"/>
          </w:tcPr>
          <w:p>
            <w:pPr>
              <w:spacing w:after="0"/>
              <w:rPr>
                <w:sz w:val="16"/>
                <w:szCs w:val="16"/>
                <w:color w:val="auto"/>
              </w:rPr>
            </w:pPr>
          </w:p>
        </w:tc>
      </w:tr>
      <w:tr>
        <w:trPr>
          <w:trHeight w:val="181"/>
        </w:trPr>
        <w:tc>
          <w:tcPr>
            <w:tcW w:w="2280" w:type="dxa"/>
            <w:vAlign w:val="bottom"/>
          </w:tcPr>
          <w:p>
            <w:pPr>
              <w:spacing w:after="0"/>
              <w:rPr>
                <w:sz w:val="15"/>
                <w:szCs w:val="15"/>
                <w:color w:val="auto"/>
              </w:rPr>
            </w:pPr>
          </w:p>
        </w:tc>
        <w:tc>
          <w:tcPr>
            <w:tcW w:w="1780" w:type="dxa"/>
            <w:vAlign w:val="bottom"/>
          </w:tcPr>
          <w:p>
            <w:pPr>
              <w:jc w:val="right"/>
              <w:spacing w:after="0" w:line="181" w:lineRule="exact"/>
              <w:rPr>
                <w:sz w:val="20"/>
                <w:szCs w:val="20"/>
                <w:color w:val="auto"/>
              </w:rPr>
            </w:pPr>
            <w:r>
              <w:rPr>
                <w:rFonts w:ascii="Arial" w:cs="Arial" w:eastAsia="Arial" w:hAnsi="Arial"/>
                <w:sz w:val="18"/>
                <w:szCs w:val="18"/>
                <w:color w:val="auto"/>
              </w:rPr>
              <w:t>Allocation</w:t>
            </w:r>
          </w:p>
        </w:tc>
        <w:tc>
          <w:tcPr>
            <w:tcW w:w="3260" w:type="dxa"/>
            <w:vAlign w:val="bottom"/>
            <w:gridSpan w:val="2"/>
          </w:tcPr>
          <w:p>
            <w:pPr>
              <w:jc w:val="right"/>
              <w:ind w:right="570"/>
              <w:spacing w:after="0" w:line="181" w:lineRule="exact"/>
              <w:rPr>
                <w:sz w:val="20"/>
                <w:szCs w:val="20"/>
                <w:color w:val="auto"/>
              </w:rPr>
            </w:pPr>
            <w:r>
              <w:rPr>
                <w:rFonts w:ascii="Arial" w:cs="Arial" w:eastAsia="Arial" w:hAnsi="Arial"/>
                <w:sz w:val="18"/>
                <w:szCs w:val="18"/>
                <w:color w:val="auto"/>
              </w:rPr>
              <w:t>at plan measurement date</w:t>
            </w:r>
          </w:p>
        </w:tc>
        <w:tc>
          <w:tcPr>
            <w:tcW w:w="1260" w:type="dxa"/>
            <w:vAlign w:val="bottom"/>
          </w:tcPr>
          <w:p>
            <w:pPr>
              <w:jc w:val="right"/>
              <w:ind w:right="30"/>
              <w:spacing w:after="0" w:line="181" w:lineRule="exact"/>
              <w:rPr>
                <w:sz w:val="20"/>
                <w:szCs w:val="20"/>
                <w:color w:val="auto"/>
              </w:rPr>
            </w:pPr>
            <w:r>
              <w:rPr>
                <w:rFonts w:ascii="Arial" w:cs="Arial" w:eastAsia="Arial" w:hAnsi="Arial"/>
                <w:sz w:val="18"/>
                <w:szCs w:val="18"/>
                <w:color w:val="auto"/>
              </w:rPr>
              <w:t>Allocation</w:t>
            </w:r>
          </w:p>
        </w:tc>
        <w:tc>
          <w:tcPr>
            <w:tcW w:w="2860" w:type="dxa"/>
            <w:vAlign w:val="bottom"/>
            <w:gridSpan w:val="3"/>
          </w:tcPr>
          <w:p>
            <w:pPr>
              <w:jc w:val="right"/>
              <w:ind w:right="340"/>
              <w:spacing w:after="0" w:line="181" w:lineRule="exact"/>
              <w:rPr>
                <w:sz w:val="20"/>
                <w:szCs w:val="20"/>
                <w:color w:val="auto"/>
              </w:rPr>
            </w:pPr>
            <w:r>
              <w:rPr>
                <w:rFonts w:ascii="Arial" w:cs="Arial" w:eastAsia="Arial" w:hAnsi="Arial"/>
                <w:sz w:val="18"/>
                <w:szCs w:val="18"/>
                <w:color w:val="auto"/>
              </w:rPr>
              <w:t>at plan measurement date</w:t>
            </w:r>
          </w:p>
        </w:tc>
      </w:tr>
      <w:tr>
        <w:trPr>
          <w:trHeight w:val="225"/>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category</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19"/>
                <w:szCs w:val="19"/>
                <w:color w:val="auto"/>
              </w:rPr>
            </w:pPr>
          </w:p>
        </w:tc>
      </w:tr>
      <w:tr>
        <w:trPr>
          <w:trHeight w:val="376"/>
        </w:trPr>
        <w:tc>
          <w:tcPr>
            <w:tcW w:w="2280" w:type="dxa"/>
            <w:vAlign w:val="bottom"/>
          </w:tcPr>
          <w:p>
            <w:pPr>
              <w:spacing w:after="0"/>
              <w:rPr>
                <w:sz w:val="20"/>
                <w:szCs w:val="20"/>
                <w:color w:val="auto"/>
              </w:rPr>
            </w:pPr>
            <w:r>
              <w:rPr>
                <w:rFonts w:ascii="Arial" w:cs="Arial" w:eastAsia="Arial" w:hAnsi="Arial"/>
                <w:sz w:val="18"/>
                <w:szCs w:val="18"/>
                <w:color w:val="auto"/>
              </w:rPr>
              <w:t>Equity securities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w:t>
            </w:r>
          </w:p>
        </w:tc>
        <w:tc>
          <w:tcPr>
            <w:tcW w:w="1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88%</w:t>
            </w:r>
          </w:p>
        </w:tc>
        <w:tc>
          <w:tcPr>
            <w:tcW w:w="17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92%</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56%</w:t>
            </w:r>
          </w:p>
        </w:tc>
        <w:tc>
          <w:tcPr>
            <w:tcW w:w="18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r>
      <w:tr>
        <w:trPr>
          <w:trHeight w:val="203"/>
        </w:trPr>
        <w:tc>
          <w:tcPr>
            <w:tcW w:w="2280" w:type="dxa"/>
            <w:vAlign w:val="bottom"/>
          </w:tcPr>
          <w:p>
            <w:pPr>
              <w:spacing w:after="0" w:line="202" w:lineRule="exact"/>
              <w:rPr>
                <w:sz w:val="20"/>
                <w:szCs w:val="20"/>
                <w:color w:val="auto"/>
              </w:rPr>
            </w:pPr>
            <w:r>
              <w:rPr>
                <w:rFonts w:ascii="Arial" w:cs="Arial" w:eastAsia="Arial" w:hAnsi="Arial"/>
                <w:sz w:val="18"/>
                <w:szCs w:val="18"/>
                <w:color w:val="auto"/>
              </w:rPr>
              <w:t>Real estate</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7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w:t>
            </w:r>
          </w:p>
        </w:tc>
        <w:tc>
          <w:tcPr>
            <w:tcW w:w="12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w:t>
            </w:r>
          </w:p>
        </w:tc>
        <w:tc>
          <w:tcPr>
            <w:tcW w:w="18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25"/>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(1)</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196"/>
        </w:trPr>
        <w:tc>
          <w:tcPr>
            <w:tcW w:w="2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15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100%</w:t>
            </w:r>
          </w:p>
        </w:tc>
        <w:tc>
          <w:tcPr>
            <w:tcW w:w="17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100%</w:t>
            </w:r>
          </w:p>
        </w:tc>
        <w:tc>
          <w:tcPr>
            <w:tcW w:w="18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100%</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399"/>
        </w:trPr>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jc w:val="right"/>
              <w:ind w:right="1410"/>
              <w:spacing w:after="0"/>
              <w:rPr>
                <w:sz w:val="20"/>
                <w:szCs w:val="20"/>
                <w:color w:val="auto"/>
              </w:rPr>
            </w:pPr>
            <w:r>
              <w:rPr>
                <w:rFonts w:ascii="Arial" w:cs="Arial" w:eastAsia="Arial" w:hAnsi="Arial"/>
                <w:sz w:val="18"/>
                <w:szCs w:val="18"/>
                <w:color w:val="auto"/>
                <w:w w:val="89"/>
              </w:rPr>
              <w:t>63</w:t>
            </w: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20"/>
          </w:cols>
          <w:pgMar w:left="240" w:top="619" w:right="239" w:bottom="1440" w:gutter="0" w:footer="0" w:header="0"/>
        </w:sectPr>
      </w:pPr>
    </w:p>
    <w:bookmarkStart w:id="63" w:name="page64"/>
    <w:bookmarkEnd w:id="63"/>
    <w:p>
      <w:pPr>
        <w:ind w:left="720" w:right="160" w:hanging="361"/>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includes hedged equity and absolute return strategies, and private equity. The Company has procedures to closely monitor the performance of these investments and compares asset valuations to audited financial statements of the funds.</w:t>
      </w:r>
    </w:p>
    <w:p>
      <w:pPr>
        <w:spacing w:after="0" w:line="143"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The targeted plan asset allocation is based on an analysis of the actuarial liabilities, a review of viable asset classes, and an analysis of the expected rate of return, risk, and other investment characteristics of various investment asset classes.</w:t>
      </w:r>
    </w:p>
    <w:p>
      <w:pPr>
        <w:spacing w:after="0" w:line="143" w:lineRule="exact"/>
        <w:rPr>
          <w:sz w:val="20"/>
          <w:szCs w:val="20"/>
          <w:color w:val="auto"/>
        </w:rPr>
      </w:pPr>
    </w:p>
    <w:p>
      <w:pPr>
        <w:ind w:right="420" w:firstLine="360"/>
        <w:spacing w:after="0" w:line="246" w:lineRule="auto"/>
        <w:rPr>
          <w:sz w:val="20"/>
          <w:szCs w:val="20"/>
          <w:color w:val="auto"/>
        </w:rPr>
      </w:pPr>
      <w:r>
        <w:rPr>
          <w:rFonts w:ascii="Arial" w:cs="Arial" w:eastAsia="Arial" w:hAnsi="Arial"/>
          <w:sz w:val="18"/>
          <w:szCs w:val="18"/>
          <w:color w:val="auto"/>
        </w:rPr>
        <w:t>At the end of 2012 and 2011, the projected benefit obligation, accumulated benefit obligation, and fair value of plan assets for pension plans with projected benefit obligation and an accumulated benefit obligation in excess of plan assets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gridSpan w:val="2"/>
          </w:tcPr>
          <w:p>
            <w:pPr>
              <w:jc w:val="center"/>
              <w:ind w:left="270"/>
              <w:spacing w:after="0"/>
              <w:rPr>
                <w:sz w:val="20"/>
                <w:szCs w:val="20"/>
                <w:color w:val="auto"/>
              </w:rPr>
            </w:pPr>
            <w:r>
              <w:rPr>
                <w:rFonts w:ascii="Arial" w:cs="Arial" w:eastAsia="Arial" w:hAnsi="Arial"/>
                <w:sz w:val="18"/>
                <w:szCs w:val="18"/>
                <w:color w:val="auto"/>
                <w:w w:val="99"/>
              </w:rPr>
              <w:t>Plans with projected benefit obligation</w:t>
            </w:r>
          </w:p>
        </w:tc>
        <w:tc>
          <w:tcPr>
            <w:tcW w:w="20" w:type="dxa"/>
            <w:vAlign w:val="bottom"/>
          </w:tcPr>
          <w:p>
            <w:pPr>
              <w:spacing w:after="0"/>
              <w:rPr>
                <w:sz w:val="18"/>
                <w:szCs w:val="18"/>
                <w:color w:val="auto"/>
              </w:rPr>
            </w:pPr>
          </w:p>
        </w:tc>
      </w:tr>
      <w:tr>
        <w:trPr>
          <w:trHeight w:val="181"/>
        </w:trPr>
        <w:tc>
          <w:tcPr>
            <w:tcW w:w="3320" w:type="dxa"/>
            <w:vAlign w:val="bottom"/>
          </w:tcPr>
          <w:p>
            <w:pPr>
              <w:spacing w:after="0"/>
              <w:rPr>
                <w:sz w:val="15"/>
                <w:szCs w:val="15"/>
                <w:color w:val="auto"/>
              </w:rPr>
            </w:pPr>
          </w:p>
        </w:tc>
        <w:tc>
          <w:tcPr>
            <w:tcW w:w="3700" w:type="dxa"/>
            <w:vAlign w:val="bottom"/>
          </w:tcPr>
          <w:p>
            <w:pPr>
              <w:jc w:val="center"/>
              <w:ind w:left="1250"/>
              <w:spacing w:after="0" w:line="181" w:lineRule="exact"/>
              <w:rPr>
                <w:sz w:val="20"/>
                <w:szCs w:val="20"/>
                <w:color w:val="auto"/>
              </w:rPr>
            </w:pPr>
            <w:r>
              <w:rPr>
                <w:rFonts w:ascii="Arial" w:cs="Arial" w:eastAsia="Arial" w:hAnsi="Arial"/>
                <w:sz w:val="18"/>
                <w:szCs w:val="18"/>
                <w:color w:val="auto"/>
              </w:rPr>
              <w:t>in excess of plan assets</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7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173"/>
        </w:trPr>
        <w:tc>
          <w:tcPr>
            <w:tcW w:w="3320" w:type="dxa"/>
            <w:vAlign w:val="bottom"/>
          </w:tcPr>
          <w:p>
            <w:pPr>
              <w:spacing w:after="0" w:line="173" w:lineRule="exact"/>
              <w:rPr>
                <w:sz w:val="20"/>
                <w:szCs w:val="20"/>
                <w:color w:val="auto"/>
              </w:rPr>
            </w:pPr>
            <w:r>
              <w:rPr>
                <w:rFonts w:ascii="Arial" w:cs="Arial" w:eastAsia="Arial" w:hAnsi="Arial"/>
                <w:sz w:val="18"/>
                <w:szCs w:val="18"/>
                <w:color w:val="auto"/>
              </w:rPr>
              <w:t>Projected benefit obligation</w:t>
            </w:r>
          </w:p>
        </w:tc>
        <w:tc>
          <w:tcPr>
            <w:tcW w:w="3700" w:type="dxa"/>
            <w:vAlign w:val="bottom"/>
          </w:tcPr>
          <w:p>
            <w:pPr>
              <w:jc w:val="right"/>
              <w:ind w:right="1170"/>
              <w:spacing w:after="0" w:line="173" w:lineRule="exact"/>
              <w:rPr>
                <w:sz w:val="20"/>
                <w:szCs w:val="20"/>
                <w:color w:val="auto"/>
              </w:rPr>
            </w:pPr>
            <w:r>
              <w:rPr>
                <w:rFonts w:ascii="Arial" w:cs="Arial" w:eastAsia="Arial" w:hAnsi="Arial"/>
                <w:sz w:val="18"/>
                <w:szCs w:val="18"/>
                <w:b w:val="1"/>
                <w:bCs w:val="1"/>
                <w:color w:val="auto"/>
              </w:rPr>
              <w:t>$183,765</w:t>
            </w:r>
          </w:p>
        </w:tc>
        <w:tc>
          <w:tcPr>
            <w:tcW w:w="98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$376,595</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3700" w:type="dxa"/>
            <w:vAlign w:val="bottom"/>
          </w:tcPr>
          <w:p>
            <w:pPr>
              <w:jc w:val="right"/>
              <w:ind w:right="1170"/>
              <w:spacing w:after="0" w:line="202" w:lineRule="exact"/>
              <w:rPr>
                <w:sz w:val="20"/>
                <w:szCs w:val="20"/>
                <w:color w:val="auto"/>
              </w:rPr>
            </w:pPr>
            <w:r>
              <w:rPr>
                <w:rFonts w:ascii="Arial" w:cs="Arial" w:eastAsia="Arial" w:hAnsi="Arial"/>
                <w:sz w:val="18"/>
                <w:szCs w:val="18"/>
                <w:b w:val="1"/>
                <w:bCs w:val="1"/>
                <w:color w:val="auto"/>
              </w:rPr>
              <w:t>169,396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363,228</w:t>
            </w:r>
          </w:p>
        </w:tc>
        <w:tc>
          <w:tcPr>
            <w:tcW w:w="20" w:type="dxa"/>
            <w:vAlign w:val="bottom"/>
          </w:tcPr>
          <w:p>
            <w:pPr>
              <w:spacing w:after="0"/>
              <w:rPr>
                <w:sz w:val="17"/>
                <w:szCs w:val="17"/>
                <w:color w:val="auto"/>
              </w:rPr>
            </w:pPr>
          </w:p>
        </w:tc>
      </w:tr>
      <w:tr>
        <w:trPr>
          <w:trHeight w:val="239"/>
        </w:trPr>
        <w:tc>
          <w:tcPr>
            <w:tcW w:w="332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3700" w:type="dxa"/>
            <w:vAlign w:val="bottom"/>
          </w:tcPr>
          <w:p>
            <w:pPr>
              <w:jc w:val="right"/>
              <w:ind w:right="1170"/>
              <w:spacing w:after="0"/>
              <w:rPr>
                <w:sz w:val="20"/>
                <w:szCs w:val="20"/>
                <w:color w:val="auto"/>
              </w:rPr>
            </w:pPr>
            <w:r>
              <w:rPr>
                <w:rFonts w:ascii="Arial" w:cs="Arial" w:eastAsia="Arial" w:hAnsi="Arial"/>
                <w:sz w:val="18"/>
                <w:szCs w:val="18"/>
                <w:b w:val="1"/>
                <w:bCs w:val="1"/>
                <w:color w:val="auto"/>
              </w:rPr>
              <w:t>131,626</w:t>
            </w:r>
          </w:p>
        </w:tc>
        <w:tc>
          <w:tcPr>
            <w:tcW w:w="960" w:type="dxa"/>
            <w:vAlign w:val="bottom"/>
          </w:tcPr>
          <w:p>
            <w:pPr>
              <w:jc w:val="right"/>
              <w:spacing w:after="0"/>
              <w:rPr>
                <w:sz w:val="20"/>
                <w:szCs w:val="20"/>
                <w:color w:val="auto"/>
              </w:rPr>
            </w:pPr>
            <w:r>
              <w:rPr>
                <w:rFonts w:ascii="Arial" w:cs="Arial" w:eastAsia="Arial" w:hAnsi="Arial"/>
                <w:sz w:val="18"/>
                <w:szCs w:val="18"/>
                <w:color w:val="auto"/>
              </w:rPr>
              <w:t>267,594</w:t>
            </w:r>
          </w:p>
        </w:tc>
        <w:tc>
          <w:tcPr>
            <w:tcW w:w="20" w:type="dxa"/>
            <w:vAlign w:val="bottom"/>
          </w:tcPr>
          <w:p>
            <w:pPr>
              <w:spacing w:after="0"/>
              <w:rPr>
                <w:sz w:val="20"/>
                <w:szCs w:val="20"/>
                <w:color w:val="auto"/>
              </w:rPr>
            </w:pPr>
          </w:p>
        </w:tc>
      </w:tr>
      <w:tr>
        <w:trPr>
          <w:trHeight w:val="189"/>
        </w:trPr>
        <w:tc>
          <w:tcPr>
            <w:tcW w:w="3320" w:type="dxa"/>
            <w:vAlign w:val="bottom"/>
          </w:tcPr>
          <w:p>
            <w:pPr>
              <w:spacing w:after="0"/>
              <w:rPr>
                <w:sz w:val="16"/>
                <w:szCs w:val="16"/>
                <w:color w:val="auto"/>
              </w:rPr>
            </w:pPr>
          </w:p>
        </w:tc>
        <w:tc>
          <w:tcPr>
            <w:tcW w:w="4680" w:type="dxa"/>
            <w:vAlign w:val="bottom"/>
            <w:gridSpan w:val="3"/>
          </w:tcPr>
          <w:p>
            <w:pPr>
              <w:spacing w:after="0"/>
              <w:rPr>
                <w:sz w:val="16"/>
                <w:szCs w:val="16"/>
                <w:color w:val="auto"/>
              </w:rPr>
            </w:pPr>
          </w:p>
        </w:tc>
      </w:tr>
      <w:tr>
        <w:trPr>
          <w:trHeight w:val="399"/>
        </w:trPr>
        <w:tc>
          <w:tcPr>
            <w:tcW w:w="3320" w:type="dxa"/>
            <w:vAlign w:val="bottom"/>
            <w:tcBorders>
              <w:top w:val="single" w:sz="8" w:color="auto"/>
              <w:bottom w:val="single" w:sz="8" w:color="auto"/>
            </w:tcBorders>
          </w:tcPr>
          <w:p>
            <w:pPr>
              <w:spacing w:after="0"/>
              <w:rPr>
                <w:sz w:val="24"/>
                <w:szCs w:val="24"/>
                <w:color w:val="auto"/>
              </w:rPr>
            </w:pPr>
          </w:p>
        </w:tc>
        <w:tc>
          <w:tcPr>
            <w:tcW w:w="37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3320" w:type="dxa"/>
            <w:vAlign w:val="bottom"/>
          </w:tcPr>
          <w:p>
            <w:pPr>
              <w:spacing w:after="0"/>
              <w:rPr>
                <w:sz w:val="16"/>
                <w:szCs w:val="16"/>
                <w:color w:val="auto"/>
              </w:rPr>
            </w:pPr>
          </w:p>
        </w:tc>
        <w:tc>
          <w:tcPr>
            <w:tcW w:w="4660" w:type="dxa"/>
            <w:vAlign w:val="bottom"/>
            <w:gridSpan w:val="2"/>
          </w:tcPr>
          <w:p>
            <w:pPr>
              <w:jc w:val="center"/>
              <w:ind w:left="270"/>
              <w:spacing w:after="0" w:line="195" w:lineRule="exact"/>
              <w:rPr>
                <w:sz w:val="20"/>
                <w:szCs w:val="20"/>
                <w:color w:val="auto"/>
              </w:rPr>
            </w:pPr>
            <w:r>
              <w:rPr>
                <w:rFonts w:ascii="Arial" w:cs="Arial" w:eastAsia="Arial" w:hAnsi="Arial"/>
                <w:sz w:val="18"/>
                <w:szCs w:val="18"/>
                <w:color w:val="auto"/>
                <w:w w:val="99"/>
              </w:rPr>
              <w:t>Plans with accumulated benefit obligation</w:t>
            </w:r>
          </w:p>
        </w:tc>
        <w:tc>
          <w:tcPr>
            <w:tcW w:w="20" w:type="dxa"/>
            <w:vAlign w:val="bottom"/>
          </w:tcPr>
          <w:p>
            <w:pPr>
              <w:spacing w:after="0"/>
              <w:rPr>
                <w:sz w:val="16"/>
                <w:szCs w:val="16"/>
                <w:color w:val="auto"/>
              </w:rPr>
            </w:pPr>
          </w:p>
        </w:tc>
      </w:tr>
      <w:tr>
        <w:trPr>
          <w:trHeight w:val="181"/>
        </w:trPr>
        <w:tc>
          <w:tcPr>
            <w:tcW w:w="3320" w:type="dxa"/>
            <w:vAlign w:val="bottom"/>
          </w:tcPr>
          <w:p>
            <w:pPr>
              <w:spacing w:after="0"/>
              <w:rPr>
                <w:sz w:val="15"/>
                <w:szCs w:val="15"/>
                <w:color w:val="auto"/>
              </w:rPr>
            </w:pPr>
          </w:p>
        </w:tc>
        <w:tc>
          <w:tcPr>
            <w:tcW w:w="3700" w:type="dxa"/>
            <w:vAlign w:val="bottom"/>
          </w:tcPr>
          <w:p>
            <w:pPr>
              <w:jc w:val="center"/>
              <w:ind w:left="1250"/>
              <w:spacing w:after="0" w:line="181" w:lineRule="exact"/>
              <w:rPr>
                <w:sz w:val="20"/>
                <w:szCs w:val="20"/>
                <w:color w:val="auto"/>
              </w:rPr>
            </w:pPr>
            <w:r>
              <w:rPr>
                <w:rFonts w:ascii="Arial" w:cs="Arial" w:eastAsia="Arial" w:hAnsi="Arial"/>
                <w:sz w:val="18"/>
                <w:szCs w:val="18"/>
                <w:color w:val="auto"/>
              </w:rPr>
              <w:t>in excess of plan assets</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7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2012</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2011</w:t>
            </w:r>
          </w:p>
        </w:tc>
      </w:tr>
      <w:tr>
        <w:trPr>
          <w:trHeight w:val="173"/>
        </w:trPr>
        <w:tc>
          <w:tcPr>
            <w:tcW w:w="3320" w:type="dxa"/>
            <w:vAlign w:val="bottom"/>
          </w:tcPr>
          <w:p>
            <w:pPr>
              <w:spacing w:after="0" w:line="173" w:lineRule="exact"/>
              <w:rPr>
                <w:sz w:val="20"/>
                <w:szCs w:val="20"/>
                <w:color w:val="auto"/>
              </w:rPr>
            </w:pPr>
            <w:r>
              <w:rPr>
                <w:rFonts w:ascii="Arial" w:cs="Arial" w:eastAsia="Arial" w:hAnsi="Arial"/>
                <w:sz w:val="18"/>
                <w:szCs w:val="18"/>
                <w:color w:val="auto"/>
              </w:rPr>
              <w:t>Projected benefit obligation</w:t>
            </w:r>
          </w:p>
        </w:tc>
        <w:tc>
          <w:tcPr>
            <w:tcW w:w="3700" w:type="dxa"/>
            <w:vAlign w:val="bottom"/>
          </w:tcPr>
          <w:p>
            <w:pPr>
              <w:jc w:val="right"/>
              <w:ind w:right="1170"/>
              <w:spacing w:after="0" w:line="173" w:lineRule="exact"/>
              <w:rPr>
                <w:sz w:val="20"/>
                <w:szCs w:val="20"/>
                <w:color w:val="auto"/>
              </w:rPr>
            </w:pPr>
            <w:r>
              <w:rPr>
                <w:rFonts w:ascii="Arial" w:cs="Arial" w:eastAsia="Arial" w:hAnsi="Arial"/>
                <w:sz w:val="18"/>
                <w:szCs w:val="18"/>
                <w:b w:val="1"/>
                <w:bCs w:val="1"/>
                <w:color w:val="auto"/>
              </w:rPr>
              <w:t>$136,329</w:t>
            </w:r>
          </w:p>
        </w:tc>
        <w:tc>
          <w:tcPr>
            <w:tcW w:w="98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$376,595</w:t>
            </w: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3700" w:type="dxa"/>
            <w:vAlign w:val="bottom"/>
          </w:tcPr>
          <w:p>
            <w:pPr>
              <w:jc w:val="right"/>
              <w:ind w:right="1170"/>
              <w:spacing w:after="0" w:line="202" w:lineRule="exact"/>
              <w:rPr>
                <w:sz w:val="20"/>
                <w:szCs w:val="20"/>
                <w:color w:val="auto"/>
              </w:rPr>
            </w:pPr>
            <w:r>
              <w:rPr>
                <w:rFonts w:ascii="Arial" w:cs="Arial" w:eastAsia="Arial" w:hAnsi="Arial"/>
                <w:sz w:val="18"/>
                <w:szCs w:val="18"/>
                <w:b w:val="1"/>
                <w:bCs w:val="1"/>
                <w:color w:val="auto"/>
              </w:rPr>
              <w:t>132,396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363,228</w:t>
            </w:r>
          </w:p>
        </w:tc>
        <w:tc>
          <w:tcPr>
            <w:tcW w:w="20" w:type="dxa"/>
            <w:vAlign w:val="bottom"/>
          </w:tcPr>
          <w:p>
            <w:pPr>
              <w:spacing w:after="0"/>
              <w:rPr>
                <w:sz w:val="17"/>
                <w:szCs w:val="17"/>
                <w:color w:val="auto"/>
              </w:rPr>
            </w:pPr>
          </w:p>
        </w:tc>
      </w:tr>
      <w:tr>
        <w:trPr>
          <w:trHeight w:val="239"/>
        </w:trPr>
        <w:tc>
          <w:tcPr>
            <w:tcW w:w="332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3700" w:type="dxa"/>
            <w:vAlign w:val="bottom"/>
          </w:tcPr>
          <w:p>
            <w:pPr>
              <w:jc w:val="right"/>
              <w:ind w:right="1170"/>
              <w:spacing w:after="0"/>
              <w:rPr>
                <w:sz w:val="20"/>
                <w:szCs w:val="20"/>
                <w:color w:val="auto"/>
              </w:rPr>
            </w:pPr>
            <w:r>
              <w:rPr>
                <w:rFonts w:ascii="Arial" w:cs="Arial" w:eastAsia="Arial" w:hAnsi="Arial"/>
                <w:sz w:val="18"/>
                <w:szCs w:val="18"/>
                <w:b w:val="1"/>
                <w:bCs w:val="1"/>
                <w:color w:val="auto"/>
              </w:rPr>
              <w:t>86,835</w:t>
            </w:r>
          </w:p>
        </w:tc>
        <w:tc>
          <w:tcPr>
            <w:tcW w:w="960" w:type="dxa"/>
            <w:vAlign w:val="bottom"/>
          </w:tcPr>
          <w:p>
            <w:pPr>
              <w:jc w:val="right"/>
              <w:spacing w:after="0"/>
              <w:rPr>
                <w:sz w:val="20"/>
                <w:szCs w:val="20"/>
                <w:color w:val="auto"/>
              </w:rPr>
            </w:pPr>
            <w:r>
              <w:rPr>
                <w:rFonts w:ascii="Arial" w:cs="Arial" w:eastAsia="Arial" w:hAnsi="Arial"/>
                <w:sz w:val="18"/>
                <w:szCs w:val="18"/>
                <w:color w:val="auto"/>
              </w:rPr>
              <w:t>267,594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0685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expected cash flows for the pension and other benefit obligations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Pension plans</w:t>
            </w:r>
          </w:p>
        </w:tc>
        <w:tc>
          <w:tcPr>
            <w:tcW w:w="2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Other postretirement benefits</w:t>
            </w:r>
          </w:p>
        </w:tc>
        <w:tc>
          <w:tcPr>
            <w:tcW w:w="20" w:type="dxa"/>
            <w:vAlign w:val="bottom"/>
          </w:tcPr>
          <w:p>
            <w:pPr>
              <w:spacing w:after="0"/>
              <w:rPr>
                <w:sz w:val="18"/>
                <w:szCs w:val="18"/>
                <w:color w:val="auto"/>
              </w:rPr>
            </w:pPr>
          </w:p>
        </w:tc>
      </w:tr>
      <w:tr>
        <w:trPr>
          <w:trHeight w:val="196"/>
        </w:trPr>
        <w:tc>
          <w:tcPr>
            <w:tcW w:w="5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Expected employer contributions in the next fiscal year</w:t>
            </w:r>
          </w:p>
        </w:tc>
        <w:tc>
          <w:tcPr>
            <w:tcW w:w="28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$4,560</w:t>
            </w:r>
          </w:p>
        </w:tc>
        <w:tc>
          <w:tcPr>
            <w:tcW w:w="2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$5,592</w:t>
            </w:r>
          </w:p>
        </w:tc>
        <w:tc>
          <w:tcPr>
            <w:tcW w:w="20" w:type="dxa"/>
            <w:vAlign w:val="bottom"/>
          </w:tcPr>
          <w:p>
            <w:pPr>
              <w:spacing w:after="0"/>
              <w:rPr>
                <w:sz w:val="17"/>
                <w:szCs w:val="17"/>
                <w:color w:val="auto"/>
              </w:rPr>
            </w:pPr>
          </w:p>
        </w:tc>
      </w:tr>
      <w:tr>
        <w:trPr>
          <w:trHeight w:val="398"/>
        </w:trPr>
        <w:tc>
          <w:tcPr>
            <w:tcW w:w="5900" w:type="dxa"/>
            <w:vAlign w:val="bottom"/>
          </w:tcPr>
          <w:p>
            <w:pPr>
              <w:spacing w:after="0"/>
              <w:rPr>
                <w:sz w:val="20"/>
                <w:szCs w:val="20"/>
                <w:color w:val="auto"/>
              </w:rPr>
            </w:pPr>
            <w:r>
              <w:rPr>
                <w:rFonts w:ascii="Arial" w:cs="Arial" w:eastAsia="Arial" w:hAnsi="Arial"/>
                <w:sz w:val="18"/>
                <w:szCs w:val="18"/>
                <w:color w:val="auto"/>
              </w:rPr>
              <w:t>Expected benefit payments</w:t>
            </w:r>
          </w:p>
        </w:tc>
        <w:tc>
          <w:tcPr>
            <w:tcW w:w="2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9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2013</w:t>
            </w:r>
          </w:p>
        </w:tc>
        <w:tc>
          <w:tcPr>
            <w:tcW w:w="2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$5,786</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$5,592</w:t>
            </w:r>
          </w:p>
        </w:tc>
      </w:tr>
      <w:tr>
        <w:trPr>
          <w:trHeight w:val="203"/>
        </w:trPr>
        <w:tc>
          <w:tcPr>
            <w:tcW w:w="59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2014</w:t>
            </w:r>
          </w:p>
        </w:tc>
        <w:tc>
          <w:tcPr>
            <w:tcW w:w="2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5,548</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5,434</w:t>
            </w:r>
          </w:p>
        </w:tc>
      </w:tr>
      <w:tr>
        <w:trPr>
          <w:trHeight w:val="203"/>
        </w:trPr>
        <w:tc>
          <w:tcPr>
            <w:tcW w:w="59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2015</w:t>
            </w:r>
          </w:p>
        </w:tc>
        <w:tc>
          <w:tcPr>
            <w:tcW w:w="2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5,938</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5,245</w:t>
            </w:r>
          </w:p>
        </w:tc>
      </w:tr>
      <w:tr>
        <w:trPr>
          <w:trHeight w:val="203"/>
        </w:trPr>
        <w:tc>
          <w:tcPr>
            <w:tcW w:w="59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2016</w:t>
            </w:r>
          </w:p>
        </w:tc>
        <w:tc>
          <w:tcPr>
            <w:tcW w:w="2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6,542</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5,091</w:t>
            </w:r>
          </w:p>
        </w:tc>
      </w:tr>
      <w:tr>
        <w:trPr>
          <w:trHeight w:val="203"/>
        </w:trPr>
        <w:tc>
          <w:tcPr>
            <w:tcW w:w="59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9"/>
              </w:rPr>
              <w:t>2017</w:t>
            </w:r>
          </w:p>
        </w:tc>
        <w:tc>
          <w:tcPr>
            <w:tcW w:w="28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8,168</w:t>
            </w:r>
          </w:p>
        </w:tc>
        <w:tc>
          <w:tcPr>
            <w:tcW w:w="2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4,976</w:t>
            </w:r>
          </w:p>
        </w:tc>
      </w:tr>
      <w:tr>
        <w:trPr>
          <w:trHeight w:val="203"/>
        </w:trPr>
        <w:tc>
          <w:tcPr>
            <w:tcW w:w="5900" w:type="dxa"/>
            <w:vAlign w:val="bottom"/>
            <w:tcBorders>
              <w:bottom w:val="single" w:sz="8" w:color="auto"/>
            </w:tcBorders>
          </w:tcPr>
          <w:p>
            <w:pPr>
              <w:jc w:val="center"/>
              <w:ind w:right="70"/>
              <w:spacing w:after="0" w:line="203" w:lineRule="exact"/>
              <w:rPr>
                <w:sz w:val="20"/>
                <w:szCs w:val="20"/>
                <w:color w:val="auto"/>
              </w:rPr>
            </w:pPr>
            <w:r>
              <w:rPr>
                <w:rFonts w:ascii="Arial" w:cs="Arial" w:eastAsia="Arial" w:hAnsi="Arial"/>
                <w:sz w:val="18"/>
                <w:szCs w:val="18"/>
                <w:color w:val="auto"/>
                <w:w w:val="99"/>
              </w:rPr>
              <w:t>2018-2022</w:t>
            </w:r>
          </w:p>
        </w:tc>
        <w:tc>
          <w:tcPr>
            <w:tcW w:w="280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44,506</w:t>
            </w:r>
          </w:p>
        </w:tc>
        <w:tc>
          <w:tcPr>
            <w:tcW w:w="27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24,617</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80" w:lineRule="exact"/>
        <w:rPr>
          <w:sz w:val="20"/>
          <w:szCs w:val="20"/>
          <w:color w:val="auto"/>
        </w:rPr>
      </w:pPr>
    </w:p>
    <w:p>
      <w:pPr>
        <w:ind w:right="120" w:firstLine="360"/>
        <w:spacing w:after="0" w:line="239" w:lineRule="auto"/>
        <w:rPr>
          <w:sz w:val="20"/>
          <w:szCs w:val="20"/>
          <w:color w:val="auto"/>
        </w:rPr>
      </w:pPr>
      <w:r>
        <w:rPr>
          <w:rFonts w:ascii="Arial" w:cs="Arial" w:eastAsia="Arial" w:hAnsi="Arial"/>
          <w:sz w:val="18"/>
          <w:szCs w:val="18"/>
          <w:color w:val="auto"/>
        </w:rPr>
        <w:t>Restructuring expenses in 2012 were principally related to a reduction in workforce in Sweden and France, and the previously announced curtailment of manufacturing in New York and Wisconsin. The restructuring activities were related to the lower demand for paper machine clothing. Those costs were partially offset by a reduction in accruals related to the Company’s headquarters. Restructuring costs totaled $7.1 million, including a reduction to expense of $0.7 million that resulted from the sale of property in Albany, New York.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64" w:name="page65"/>
    <w:bookmarkEnd w:id="64"/>
    <w:p>
      <w:pPr>
        <w:ind w:right="180" w:firstLine="360"/>
        <w:spacing w:after="0"/>
        <w:rPr>
          <w:sz w:val="20"/>
          <w:szCs w:val="20"/>
          <w:color w:val="auto"/>
        </w:rPr>
      </w:pPr>
      <w:r>
        <w:rPr>
          <w:rFonts w:ascii="Arial" w:cs="Arial" w:eastAsia="Arial" w:hAnsi="Arial"/>
          <w:sz w:val="18"/>
          <w:szCs w:val="18"/>
          <w:color w:val="auto"/>
        </w:rPr>
        <w:t>In November 2012, we announced that our subsidiary in France had initiated discussions with the employee Works Council regarding a proposal to restructure operations at the Company’s Machine Clothing production facilities in Selestat and St. Junien. The consultation will be completed in accordance with applicable French legislation. No accrual has been recorded in regard to the proposed actions.</w:t>
      </w:r>
    </w:p>
    <w:p>
      <w:pPr>
        <w:spacing w:after="0" w:line="149" w:lineRule="exact"/>
        <w:rPr>
          <w:sz w:val="20"/>
          <w:szCs w:val="20"/>
          <w:color w:val="auto"/>
        </w:rPr>
      </w:pPr>
    </w:p>
    <w:p>
      <w:pPr>
        <w:ind w:right="200" w:firstLine="360"/>
        <w:spacing w:after="0" w:line="239" w:lineRule="auto"/>
        <w:rPr>
          <w:sz w:val="20"/>
          <w:szCs w:val="20"/>
          <w:color w:val="auto"/>
        </w:rPr>
      </w:pPr>
      <w:r>
        <w:rPr>
          <w:rFonts w:ascii="Arial" w:cs="Arial" w:eastAsia="Arial" w:hAnsi="Arial"/>
          <w:sz w:val="18"/>
          <w:szCs w:val="18"/>
          <w:color w:val="auto"/>
        </w:rPr>
        <w:t>Restructuring expenses for 2010 and 2011 were the result of restructuring and performance improvement plans affecting each of our reportable segments. The restructuring activities were driven by the need for us to balance our manufacturing capacity with anticipated demand, to improve efficiency in all aspects of our business, and to strengthen our competitive position. We also took actions to reduce costs and to create process efficiencies within administrative functions.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20"/>
                <w:szCs w:val="20"/>
                <w:color w:val="auto"/>
              </w:rPr>
            </w:pPr>
            <w:r>
              <w:rPr>
                <w:rFonts w:ascii="Arial" w:cs="Arial" w:eastAsia="Arial" w:hAnsi="Arial"/>
                <w:sz w:val="14"/>
                <w:szCs w:val="14"/>
                <w:b w:val="1"/>
                <w:bCs w:val="1"/>
                <w:color w:val="auto"/>
              </w:rPr>
              <w:t>Year ended December 31, 2012</w:t>
            </w:r>
          </w:p>
        </w:tc>
        <w:tc>
          <w:tcPr>
            <w:tcW w:w="3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Benefit plan</w:t>
            </w: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304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 restructuring</w:t>
            </w:r>
          </w:p>
        </w:tc>
        <w:tc>
          <w:tcPr>
            <w:tcW w:w="1600" w:type="dxa"/>
            <w:vAlign w:val="bottom"/>
          </w:tcPr>
          <w:p>
            <w:pPr>
              <w:jc w:val="right"/>
              <w:ind w:right="96"/>
              <w:spacing w:after="0"/>
              <w:rPr>
                <w:sz w:val="20"/>
                <w:szCs w:val="20"/>
                <w:color w:val="auto"/>
              </w:rPr>
            </w:pPr>
            <w:r>
              <w:rPr>
                <w:rFonts w:ascii="Arial" w:cs="Arial" w:eastAsia="Arial" w:hAnsi="Arial"/>
                <w:sz w:val="14"/>
                <w:szCs w:val="14"/>
                <w:b w:val="1"/>
                <w:bCs w:val="1"/>
                <w:color w:val="auto"/>
              </w:rPr>
              <w:t>Termination and</w:t>
            </w:r>
          </w:p>
        </w:tc>
        <w:tc>
          <w:tcPr>
            <w:tcW w:w="19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Impairment of plant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curtailment/</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costs incurred</w:t>
            </w:r>
          </w:p>
        </w:tc>
        <w:tc>
          <w:tcPr>
            <w:tcW w:w="1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other costs</w:t>
            </w:r>
          </w:p>
        </w:tc>
        <w:tc>
          <w:tcPr>
            <w:tcW w:w="19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and equipment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settlement</w:t>
            </w:r>
          </w:p>
        </w:tc>
        <w:tc>
          <w:tcPr>
            <w:tcW w:w="0" w:type="dxa"/>
            <w:vAlign w:val="bottom"/>
          </w:tcPr>
          <w:p>
            <w:pPr>
              <w:spacing w:after="0"/>
              <w:rPr>
                <w:sz w:val="1"/>
                <w:szCs w:val="1"/>
                <w:color w:val="auto"/>
              </w:rPr>
            </w:pP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3040" w:type="dxa"/>
            <w:vAlign w:val="bottom"/>
          </w:tcPr>
          <w:p>
            <w:pPr>
              <w:jc w:val="right"/>
              <w:ind w:right="336"/>
              <w:spacing w:after="0" w:line="195" w:lineRule="exact"/>
              <w:rPr>
                <w:sz w:val="20"/>
                <w:szCs w:val="20"/>
                <w:color w:val="auto"/>
              </w:rPr>
            </w:pPr>
            <w:r>
              <w:rPr>
                <w:rFonts w:ascii="Arial" w:cs="Arial" w:eastAsia="Arial" w:hAnsi="Arial"/>
                <w:sz w:val="18"/>
                <w:szCs w:val="18"/>
                <w:color w:val="auto"/>
              </w:rPr>
              <w:t>$7,386</w:t>
            </w:r>
          </w:p>
        </w:tc>
        <w:tc>
          <w:tcPr>
            <w:tcW w:w="1600" w:type="dxa"/>
            <w:vAlign w:val="bottom"/>
          </w:tcPr>
          <w:p>
            <w:pPr>
              <w:jc w:val="right"/>
              <w:ind w:right="216"/>
              <w:spacing w:after="0" w:line="195" w:lineRule="exact"/>
              <w:rPr>
                <w:sz w:val="20"/>
                <w:szCs w:val="20"/>
                <w:color w:val="auto"/>
              </w:rPr>
            </w:pPr>
            <w:r>
              <w:rPr>
                <w:rFonts w:ascii="Arial" w:cs="Arial" w:eastAsia="Arial" w:hAnsi="Arial"/>
                <w:sz w:val="18"/>
                <w:szCs w:val="18"/>
                <w:color w:val="auto"/>
              </w:rPr>
              <w:t>$7,386</w:t>
            </w:r>
          </w:p>
        </w:tc>
        <w:tc>
          <w:tcPr>
            <w:tcW w:w="1220" w:type="dxa"/>
            <w:vAlign w:val="bottom"/>
          </w:tcPr>
          <w:p>
            <w:pPr>
              <w:jc w:val="right"/>
              <w:ind w:right="38"/>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304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7"/>
                <w:szCs w:val="17"/>
                <w:color w:val="auto"/>
              </w:rPr>
            </w:pPr>
          </w:p>
        </w:tc>
        <w:tc>
          <w:tcPr>
            <w:tcW w:w="7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Unallocated expenses</w:t>
            </w:r>
          </w:p>
        </w:tc>
        <w:tc>
          <w:tcPr>
            <w:tcW w:w="3040" w:type="dxa"/>
            <w:vAlign w:val="bottom"/>
            <w:tcBorders>
              <w:bottom w:val="single" w:sz="8" w:color="auto"/>
            </w:tcBorders>
          </w:tcPr>
          <w:p>
            <w:pPr>
              <w:jc w:val="right"/>
              <w:ind w:right="276"/>
              <w:spacing w:after="0" w:line="203" w:lineRule="exact"/>
              <w:rPr>
                <w:sz w:val="20"/>
                <w:szCs w:val="20"/>
                <w:color w:val="auto"/>
              </w:rPr>
            </w:pPr>
            <w:r>
              <w:rPr>
                <w:rFonts w:ascii="Arial" w:cs="Arial" w:eastAsia="Arial" w:hAnsi="Arial"/>
                <w:sz w:val="18"/>
                <w:szCs w:val="18"/>
                <w:color w:val="auto"/>
              </w:rPr>
              <w:t>(325)</w:t>
            </w:r>
          </w:p>
        </w:tc>
        <w:tc>
          <w:tcPr>
            <w:tcW w:w="1600" w:type="dxa"/>
            <w:vAlign w:val="bottom"/>
            <w:tcBorders>
              <w:bottom w:val="single" w:sz="8" w:color="auto"/>
            </w:tcBorders>
          </w:tcPr>
          <w:p>
            <w:pPr>
              <w:jc w:val="right"/>
              <w:ind w:right="216"/>
              <w:spacing w:after="0" w:line="203" w:lineRule="exact"/>
              <w:rPr>
                <w:sz w:val="20"/>
                <w:szCs w:val="20"/>
                <w:color w:val="auto"/>
              </w:rPr>
            </w:pPr>
            <w:r>
              <w:rPr>
                <w:rFonts w:ascii="Arial" w:cs="Arial" w:eastAsia="Arial" w:hAnsi="Arial"/>
                <w:sz w:val="18"/>
                <w:szCs w:val="18"/>
                <w:color w:val="auto"/>
              </w:rPr>
              <w:t>380</w:t>
            </w:r>
          </w:p>
        </w:tc>
        <w:tc>
          <w:tcPr>
            <w:tcW w:w="1940" w:type="dxa"/>
            <w:vAlign w:val="bottom"/>
            <w:tcBorders>
              <w:bottom w:val="single" w:sz="8" w:color="auto"/>
            </w:tcBorders>
            <w:gridSpan w:val="2"/>
          </w:tcPr>
          <w:p>
            <w:pPr>
              <w:jc w:val="right"/>
              <w:ind w:right="390"/>
              <w:spacing w:after="0" w:line="203" w:lineRule="exact"/>
              <w:rPr>
                <w:sz w:val="20"/>
                <w:szCs w:val="20"/>
                <w:color w:val="auto"/>
              </w:rPr>
            </w:pPr>
            <w:r>
              <w:rPr>
                <w:rFonts w:ascii="Arial" w:cs="Arial" w:eastAsia="Arial" w:hAnsi="Arial"/>
                <w:sz w:val="18"/>
                <w:szCs w:val="18"/>
                <w:color w:val="auto"/>
              </w:rPr>
              <w:t>(705)</w:t>
            </w: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336"/>
              <w:spacing w:after="0" w:line="196" w:lineRule="exact"/>
              <w:rPr>
                <w:sz w:val="20"/>
                <w:szCs w:val="20"/>
                <w:color w:val="auto"/>
              </w:rPr>
            </w:pPr>
            <w:r>
              <w:rPr>
                <w:rFonts w:ascii="Arial" w:cs="Arial" w:eastAsia="Arial" w:hAnsi="Arial"/>
                <w:sz w:val="18"/>
                <w:szCs w:val="18"/>
                <w:color w:val="auto"/>
              </w:rPr>
              <w:t>$7,061</w:t>
            </w:r>
          </w:p>
        </w:tc>
        <w:tc>
          <w:tcPr>
            <w:tcW w:w="1600" w:type="dxa"/>
            <w:vAlign w:val="bottom"/>
            <w:tcBorders>
              <w:bottom w:val="single" w:sz="8" w:color="auto"/>
            </w:tcBorders>
          </w:tcPr>
          <w:p>
            <w:pPr>
              <w:jc w:val="right"/>
              <w:ind w:right="216"/>
              <w:spacing w:after="0" w:line="196" w:lineRule="exact"/>
              <w:rPr>
                <w:sz w:val="20"/>
                <w:szCs w:val="20"/>
                <w:color w:val="auto"/>
              </w:rPr>
            </w:pPr>
            <w:r>
              <w:rPr>
                <w:rFonts w:ascii="Arial" w:cs="Arial" w:eastAsia="Arial" w:hAnsi="Arial"/>
                <w:sz w:val="18"/>
                <w:szCs w:val="18"/>
                <w:color w:val="auto"/>
              </w:rPr>
              <w:t>$7,766</w:t>
            </w:r>
          </w:p>
        </w:tc>
        <w:tc>
          <w:tcPr>
            <w:tcW w:w="1940" w:type="dxa"/>
            <w:vAlign w:val="bottom"/>
            <w:tcBorders>
              <w:bottom w:val="single" w:sz="8" w:color="auto"/>
            </w:tcBorders>
            <w:gridSpan w:val="2"/>
          </w:tcPr>
          <w:p>
            <w:pPr>
              <w:jc w:val="right"/>
              <w:ind w:right="390"/>
              <w:spacing w:after="0" w:line="196" w:lineRule="exact"/>
              <w:rPr>
                <w:sz w:val="20"/>
                <w:szCs w:val="20"/>
                <w:color w:val="auto"/>
              </w:rPr>
            </w:pPr>
            <w:r>
              <w:rPr>
                <w:rFonts w:ascii="Arial" w:cs="Arial" w:eastAsia="Arial" w:hAnsi="Arial"/>
                <w:sz w:val="18"/>
                <w:szCs w:val="18"/>
                <w:color w:val="auto"/>
              </w:rPr>
              <w:t>($705)</w:t>
            </w:r>
          </w:p>
        </w:tc>
        <w:tc>
          <w:tcPr>
            <w:tcW w:w="1000" w:type="dxa"/>
            <w:vAlign w:val="bottom"/>
            <w:tcBorders>
              <w:bottom w:val="single" w:sz="8" w:color="auto"/>
            </w:tcBorders>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Arial" w:cs="Arial" w:eastAsia="Arial" w:hAnsi="Arial"/>
                <w:sz w:val="14"/>
                <w:szCs w:val="14"/>
                <w:b w:val="1"/>
                <w:bCs w:val="1"/>
                <w:color w:val="auto"/>
              </w:rPr>
              <w:t>Year ended December 31, 2011</w:t>
            </w:r>
          </w:p>
        </w:tc>
        <w:tc>
          <w:tcPr>
            <w:tcW w:w="3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Benefit plan</w:t>
            </w: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304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 restructuring</w:t>
            </w:r>
          </w:p>
        </w:tc>
        <w:tc>
          <w:tcPr>
            <w:tcW w:w="1600" w:type="dxa"/>
            <w:vAlign w:val="bottom"/>
          </w:tcPr>
          <w:p>
            <w:pPr>
              <w:jc w:val="right"/>
              <w:ind w:right="96"/>
              <w:spacing w:after="0"/>
              <w:rPr>
                <w:sz w:val="20"/>
                <w:szCs w:val="20"/>
                <w:color w:val="auto"/>
              </w:rPr>
            </w:pPr>
            <w:r>
              <w:rPr>
                <w:rFonts w:ascii="Arial" w:cs="Arial" w:eastAsia="Arial" w:hAnsi="Arial"/>
                <w:sz w:val="14"/>
                <w:szCs w:val="14"/>
                <w:b w:val="1"/>
                <w:bCs w:val="1"/>
                <w:color w:val="auto"/>
              </w:rPr>
              <w:t>Termination and</w:t>
            </w:r>
          </w:p>
        </w:tc>
        <w:tc>
          <w:tcPr>
            <w:tcW w:w="19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Impairment of plant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curtailment/</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costs incurred</w:t>
            </w:r>
          </w:p>
        </w:tc>
        <w:tc>
          <w:tcPr>
            <w:tcW w:w="1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other costs</w:t>
            </w:r>
          </w:p>
        </w:tc>
        <w:tc>
          <w:tcPr>
            <w:tcW w:w="19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and equipment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settlement</w:t>
            </w:r>
          </w:p>
        </w:tc>
        <w:tc>
          <w:tcPr>
            <w:tcW w:w="0" w:type="dxa"/>
            <w:vAlign w:val="bottom"/>
          </w:tcPr>
          <w:p>
            <w:pPr>
              <w:spacing w:after="0"/>
              <w:rPr>
                <w:sz w:val="1"/>
                <w:szCs w:val="1"/>
                <w:color w:val="auto"/>
              </w:rPr>
            </w:pP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3040" w:type="dxa"/>
            <w:vAlign w:val="bottom"/>
          </w:tcPr>
          <w:p>
            <w:pPr>
              <w:jc w:val="right"/>
              <w:ind w:right="336"/>
              <w:spacing w:after="0" w:line="195" w:lineRule="exact"/>
              <w:rPr>
                <w:sz w:val="20"/>
                <w:szCs w:val="20"/>
                <w:color w:val="auto"/>
              </w:rPr>
            </w:pPr>
            <w:r>
              <w:rPr>
                <w:rFonts w:ascii="Arial" w:cs="Arial" w:eastAsia="Arial" w:hAnsi="Arial"/>
                <w:sz w:val="18"/>
                <w:szCs w:val="18"/>
                <w:color w:val="auto"/>
              </w:rPr>
              <w:t>$5,680</w:t>
            </w:r>
          </w:p>
        </w:tc>
        <w:tc>
          <w:tcPr>
            <w:tcW w:w="1600" w:type="dxa"/>
            <w:vAlign w:val="bottom"/>
          </w:tcPr>
          <w:p>
            <w:pPr>
              <w:jc w:val="right"/>
              <w:ind w:right="216"/>
              <w:spacing w:after="0" w:line="195" w:lineRule="exact"/>
              <w:rPr>
                <w:sz w:val="20"/>
                <w:szCs w:val="20"/>
                <w:color w:val="auto"/>
              </w:rPr>
            </w:pPr>
            <w:r>
              <w:rPr>
                <w:rFonts w:ascii="Arial" w:cs="Arial" w:eastAsia="Arial" w:hAnsi="Arial"/>
                <w:sz w:val="18"/>
                <w:szCs w:val="18"/>
                <w:color w:val="auto"/>
              </w:rPr>
              <w:t>$5,484</w:t>
            </w:r>
          </w:p>
        </w:tc>
        <w:tc>
          <w:tcPr>
            <w:tcW w:w="1220" w:type="dxa"/>
            <w:vAlign w:val="bottom"/>
          </w:tcPr>
          <w:p>
            <w:pPr>
              <w:jc w:val="right"/>
              <w:ind w:right="138"/>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450"/>
              <w:spacing w:after="0" w:line="195"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304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57</w:t>
            </w:r>
          </w:p>
        </w:tc>
        <w:tc>
          <w:tcPr>
            <w:tcW w:w="16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57</w:t>
            </w:r>
          </w:p>
        </w:tc>
        <w:tc>
          <w:tcPr>
            <w:tcW w:w="1220" w:type="dxa"/>
            <w:vAlign w:val="bottom"/>
          </w:tcPr>
          <w:p>
            <w:pPr>
              <w:spacing w:after="0"/>
              <w:rPr>
                <w:sz w:val="17"/>
                <w:szCs w:val="17"/>
                <w:color w:val="auto"/>
              </w:rPr>
            </w:pPr>
          </w:p>
        </w:tc>
        <w:tc>
          <w:tcPr>
            <w:tcW w:w="7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Unallocated expenses</w:t>
            </w:r>
          </w:p>
        </w:tc>
        <w:tc>
          <w:tcPr>
            <w:tcW w:w="3040" w:type="dxa"/>
            <w:vAlign w:val="bottom"/>
            <w:tcBorders>
              <w:bottom w:val="single" w:sz="8" w:color="auto"/>
            </w:tcBorders>
          </w:tcPr>
          <w:p>
            <w:pPr>
              <w:jc w:val="right"/>
              <w:ind w:right="336"/>
              <w:spacing w:after="0" w:line="203" w:lineRule="exact"/>
              <w:rPr>
                <w:sz w:val="20"/>
                <w:szCs w:val="20"/>
                <w:color w:val="auto"/>
              </w:rPr>
            </w:pPr>
            <w:r>
              <w:rPr>
                <w:rFonts w:ascii="Arial" w:cs="Arial" w:eastAsia="Arial" w:hAnsi="Arial"/>
                <w:sz w:val="18"/>
                <w:szCs w:val="18"/>
                <w:color w:val="auto"/>
              </w:rPr>
              <w:t>3,580</w:t>
            </w:r>
          </w:p>
        </w:tc>
        <w:tc>
          <w:tcPr>
            <w:tcW w:w="1600" w:type="dxa"/>
            <w:vAlign w:val="bottom"/>
            <w:tcBorders>
              <w:bottom w:val="single" w:sz="8" w:color="auto"/>
            </w:tcBorders>
          </w:tcPr>
          <w:p>
            <w:pPr>
              <w:jc w:val="right"/>
              <w:ind w:right="216"/>
              <w:spacing w:after="0" w:line="203" w:lineRule="exact"/>
              <w:rPr>
                <w:sz w:val="20"/>
                <w:szCs w:val="20"/>
                <w:color w:val="auto"/>
              </w:rPr>
            </w:pPr>
            <w:r>
              <w:rPr>
                <w:rFonts w:ascii="Arial" w:cs="Arial" w:eastAsia="Arial" w:hAnsi="Arial"/>
                <w:sz w:val="18"/>
                <w:szCs w:val="18"/>
                <w:color w:val="auto"/>
              </w:rPr>
              <w:t>1,830</w:t>
            </w:r>
          </w:p>
        </w:tc>
        <w:tc>
          <w:tcPr>
            <w:tcW w:w="1940" w:type="dxa"/>
            <w:vAlign w:val="bottom"/>
            <w:tcBorders>
              <w:bottom w:val="single" w:sz="8" w:color="auto"/>
            </w:tcBorders>
            <w:gridSpan w:val="2"/>
          </w:tcPr>
          <w:p>
            <w:pPr>
              <w:jc w:val="right"/>
              <w:ind w:right="450"/>
              <w:spacing w:after="0" w:line="203" w:lineRule="exact"/>
              <w:rPr>
                <w:sz w:val="20"/>
                <w:szCs w:val="20"/>
                <w:color w:val="auto"/>
              </w:rPr>
            </w:pPr>
            <w:r>
              <w:rPr>
                <w:rFonts w:ascii="Arial" w:cs="Arial" w:eastAsia="Arial" w:hAnsi="Arial"/>
                <w:sz w:val="18"/>
                <w:szCs w:val="18"/>
                <w:color w:val="auto"/>
              </w:rPr>
              <w:t>1,750</w:t>
            </w: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336"/>
              <w:spacing w:after="0" w:line="196" w:lineRule="exact"/>
              <w:rPr>
                <w:sz w:val="20"/>
                <w:szCs w:val="20"/>
                <w:color w:val="auto"/>
              </w:rPr>
            </w:pPr>
            <w:r>
              <w:rPr>
                <w:rFonts w:ascii="Arial" w:cs="Arial" w:eastAsia="Arial" w:hAnsi="Arial"/>
                <w:sz w:val="18"/>
                <w:szCs w:val="18"/>
                <w:color w:val="auto"/>
              </w:rPr>
              <w:t>$9,317</w:t>
            </w:r>
          </w:p>
        </w:tc>
        <w:tc>
          <w:tcPr>
            <w:tcW w:w="1600" w:type="dxa"/>
            <w:vAlign w:val="bottom"/>
            <w:tcBorders>
              <w:bottom w:val="single" w:sz="8" w:color="auto"/>
            </w:tcBorders>
          </w:tcPr>
          <w:p>
            <w:pPr>
              <w:jc w:val="right"/>
              <w:ind w:right="216"/>
              <w:spacing w:after="0" w:line="196" w:lineRule="exact"/>
              <w:rPr>
                <w:sz w:val="20"/>
                <w:szCs w:val="20"/>
                <w:color w:val="auto"/>
              </w:rPr>
            </w:pPr>
            <w:r>
              <w:rPr>
                <w:rFonts w:ascii="Arial" w:cs="Arial" w:eastAsia="Arial" w:hAnsi="Arial"/>
                <w:sz w:val="18"/>
                <w:szCs w:val="18"/>
                <w:color w:val="auto"/>
              </w:rPr>
              <w:t>$7,371</w:t>
            </w:r>
          </w:p>
        </w:tc>
        <w:tc>
          <w:tcPr>
            <w:tcW w:w="1940" w:type="dxa"/>
            <w:vAlign w:val="bottom"/>
            <w:tcBorders>
              <w:bottom w:val="single" w:sz="8" w:color="auto"/>
            </w:tcBorders>
            <w:gridSpan w:val="2"/>
          </w:tcPr>
          <w:p>
            <w:pPr>
              <w:jc w:val="right"/>
              <w:ind w:right="450"/>
              <w:spacing w:after="0" w:line="196" w:lineRule="exact"/>
              <w:rPr>
                <w:sz w:val="20"/>
                <w:szCs w:val="20"/>
                <w:color w:val="auto"/>
              </w:rPr>
            </w:pPr>
            <w:r>
              <w:rPr>
                <w:rFonts w:ascii="Arial" w:cs="Arial" w:eastAsia="Arial" w:hAnsi="Arial"/>
                <w:sz w:val="18"/>
                <w:szCs w:val="18"/>
                <w:color w:val="auto"/>
              </w:rPr>
              <w:t>$1,750</w:t>
            </w:r>
          </w:p>
        </w:tc>
        <w:tc>
          <w:tcPr>
            <w:tcW w:w="12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20"/>
                <w:szCs w:val="20"/>
                <w:color w:val="auto"/>
              </w:rPr>
            </w:pPr>
            <w:r>
              <w:rPr>
                <w:rFonts w:ascii="Arial" w:cs="Arial" w:eastAsia="Arial" w:hAnsi="Arial"/>
                <w:sz w:val="14"/>
                <w:szCs w:val="14"/>
                <w:b w:val="1"/>
                <w:bCs w:val="1"/>
                <w:color w:val="auto"/>
              </w:rPr>
              <w:t>Year ended December 31, 2010</w:t>
            </w:r>
          </w:p>
        </w:tc>
        <w:tc>
          <w:tcPr>
            <w:tcW w:w="30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Benefit plan</w:t>
            </w: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304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 restructuring</w:t>
            </w:r>
          </w:p>
        </w:tc>
        <w:tc>
          <w:tcPr>
            <w:tcW w:w="1600" w:type="dxa"/>
            <w:vAlign w:val="bottom"/>
          </w:tcPr>
          <w:p>
            <w:pPr>
              <w:jc w:val="right"/>
              <w:ind w:right="96"/>
              <w:spacing w:after="0"/>
              <w:rPr>
                <w:sz w:val="20"/>
                <w:szCs w:val="20"/>
                <w:color w:val="auto"/>
              </w:rPr>
            </w:pPr>
            <w:r>
              <w:rPr>
                <w:rFonts w:ascii="Arial" w:cs="Arial" w:eastAsia="Arial" w:hAnsi="Arial"/>
                <w:sz w:val="14"/>
                <w:szCs w:val="14"/>
                <w:b w:val="1"/>
                <w:bCs w:val="1"/>
                <w:color w:val="auto"/>
              </w:rPr>
              <w:t>Termination and</w:t>
            </w:r>
          </w:p>
        </w:tc>
        <w:tc>
          <w:tcPr>
            <w:tcW w:w="19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Impairment of plant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curtailment/</w:t>
            </w:r>
          </w:p>
        </w:tc>
        <w:tc>
          <w:tcPr>
            <w:tcW w:w="0" w:type="dxa"/>
            <w:vAlign w:val="bottom"/>
          </w:tcPr>
          <w:p>
            <w:pPr>
              <w:spacing w:after="0"/>
              <w:rPr>
                <w:sz w:val="1"/>
                <w:szCs w:val="1"/>
                <w:color w:val="auto"/>
              </w:rPr>
            </w:pPr>
          </w:p>
        </w:tc>
      </w:t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costs incurred</w:t>
            </w:r>
          </w:p>
        </w:tc>
        <w:tc>
          <w:tcPr>
            <w:tcW w:w="1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other costs</w:t>
            </w:r>
          </w:p>
        </w:tc>
        <w:tc>
          <w:tcPr>
            <w:tcW w:w="19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and equipment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settlement</w:t>
            </w:r>
          </w:p>
        </w:tc>
        <w:tc>
          <w:tcPr>
            <w:tcW w:w="0" w:type="dxa"/>
            <w:vAlign w:val="bottom"/>
          </w:tcPr>
          <w:p>
            <w:pPr>
              <w:spacing w:after="0"/>
              <w:rPr>
                <w:sz w:val="1"/>
                <w:szCs w:val="1"/>
                <w:color w:val="auto"/>
              </w:rPr>
            </w:pP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3040" w:type="dxa"/>
            <w:vAlign w:val="bottom"/>
          </w:tcPr>
          <w:p>
            <w:pPr>
              <w:jc w:val="right"/>
              <w:ind w:right="336"/>
              <w:spacing w:after="0" w:line="195" w:lineRule="exact"/>
              <w:rPr>
                <w:sz w:val="20"/>
                <w:szCs w:val="20"/>
                <w:color w:val="auto"/>
              </w:rPr>
            </w:pPr>
            <w:r>
              <w:rPr>
                <w:rFonts w:ascii="Arial" w:cs="Arial" w:eastAsia="Arial" w:hAnsi="Arial"/>
                <w:sz w:val="18"/>
                <w:szCs w:val="18"/>
                <w:color w:val="auto"/>
              </w:rPr>
              <w:t>$4,762</w:t>
            </w:r>
          </w:p>
        </w:tc>
        <w:tc>
          <w:tcPr>
            <w:tcW w:w="1600" w:type="dxa"/>
            <w:vAlign w:val="bottom"/>
          </w:tcPr>
          <w:p>
            <w:pPr>
              <w:jc w:val="right"/>
              <w:ind w:right="216"/>
              <w:spacing w:after="0" w:line="195" w:lineRule="exact"/>
              <w:rPr>
                <w:sz w:val="20"/>
                <w:szCs w:val="20"/>
                <w:color w:val="auto"/>
              </w:rPr>
            </w:pPr>
            <w:r>
              <w:rPr>
                <w:rFonts w:ascii="Arial" w:cs="Arial" w:eastAsia="Arial" w:hAnsi="Arial"/>
                <w:sz w:val="18"/>
                <w:szCs w:val="18"/>
                <w:color w:val="auto"/>
              </w:rPr>
              <w:t>$2,767</w:t>
            </w:r>
          </w:p>
        </w:tc>
        <w:tc>
          <w:tcPr>
            <w:tcW w:w="1940" w:type="dxa"/>
            <w:vAlign w:val="bottom"/>
            <w:gridSpan w:val="2"/>
          </w:tcPr>
          <w:p>
            <w:pPr>
              <w:jc w:val="right"/>
              <w:ind w:right="450"/>
              <w:spacing w:after="0" w:line="195" w:lineRule="exact"/>
              <w:rPr>
                <w:sz w:val="20"/>
                <w:szCs w:val="20"/>
                <w:color w:val="auto"/>
              </w:rPr>
            </w:pPr>
            <w:r>
              <w:rPr>
                <w:rFonts w:ascii="Arial" w:cs="Arial" w:eastAsia="Arial" w:hAnsi="Arial"/>
                <w:sz w:val="18"/>
                <w:szCs w:val="18"/>
                <w:color w:val="auto"/>
              </w:rPr>
              <w:t>$1,243</w:t>
            </w:r>
          </w:p>
        </w:tc>
        <w:tc>
          <w:tcPr>
            <w:tcW w:w="126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Engineered Composites</w:t>
            </w:r>
          </w:p>
        </w:tc>
        <w:tc>
          <w:tcPr>
            <w:tcW w:w="304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930</w:t>
            </w:r>
          </w:p>
        </w:tc>
        <w:tc>
          <w:tcPr>
            <w:tcW w:w="16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930</w:t>
            </w:r>
          </w:p>
        </w:tc>
        <w:tc>
          <w:tcPr>
            <w:tcW w:w="1220" w:type="dxa"/>
            <w:vAlign w:val="bottom"/>
          </w:tcPr>
          <w:p>
            <w:pPr>
              <w:spacing w:after="0"/>
              <w:rPr>
                <w:sz w:val="17"/>
                <w:szCs w:val="17"/>
                <w:color w:val="auto"/>
              </w:rPr>
            </w:pPr>
          </w:p>
        </w:tc>
        <w:tc>
          <w:tcPr>
            <w:tcW w:w="7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Unallocated expenses</w:t>
            </w:r>
          </w:p>
        </w:tc>
        <w:tc>
          <w:tcPr>
            <w:tcW w:w="3040" w:type="dxa"/>
            <w:vAlign w:val="bottom"/>
            <w:tcBorders>
              <w:bottom w:val="single" w:sz="8" w:color="auto"/>
            </w:tcBorders>
          </w:tcPr>
          <w:p>
            <w:pPr>
              <w:jc w:val="right"/>
              <w:ind w:right="276"/>
              <w:spacing w:after="0" w:line="203" w:lineRule="exact"/>
              <w:rPr>
                <w:sz w:val="20"/>
                <w:szCs w:val="20"/>
                <w:color w:val="auto"/>
              </w:rPr>
            </w:pPr>
            <w:r>
              <w:rPr>
                <w:rFonts w:ascii="Arial" w:cs="Arial" w:eastAsia="Arial" w:hAnsi="Arial"/>
                <w:sz w:val="18"/>
                <w:szCs w:val="18"/>
                <w:color w:val="auto"/>
              </w:rPr>
              <w:t>(1,945)</w:t>
            </w:r>
          </w:p>
        </w:tc>
        <w:tc>
          <w:tcPr>
            <w:tcW w:w="1600" w:type="dxa"/>
            <w:vAlign w:val="bottom"/>
            <w:tcBorders>
              <w:bottom w:val="single" w:sz="8" w:color="auto"/>
            </w:tcBorders>
          </w:tcPr>
          <w:p>
            <w:pPr>
              <w:jc w:val="right"/>
              <w:ind w:right="216"/>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336"/>
              <w:spacing w:after="0" w:line="196" w:lineRule="exact"/>
              <w:rPr>
                <w:sz w:val="20"/>
                <w:szCs w:val="20"/>
                <w:color w:val="auto"/>
              </w:rPr>
            </w:pPr>
            <w:r>
              <w:rPr>
                <w:rFonts w:ascii="Arial" w:cs="Arial" w:eastAsia="Arial" w:hAnsi="Arial"/>
                <w:sz w:val="18"/>
                <w:szCs w:val="18"/>
                <w:color w:val="auto"/>
              </w:rPr>
              <w:t>$3,747</w:t>
            </w:r>
          </w:p>
        </w:tc>
        <w:tc>
          <w:tcPr>
            <w:tcW w:w="1600" w:type="dxa"/>
            <w:vAlign w:val="bottom"/>
            <w:tcBorders>
              <w:bottom w:val="single" w:sz="8" w:color="auto"/>
            </w:tcBorders>
          </w:tcPr>
          <w:p>
            <w:pPr>
              <w:jc w:val="right"/>
              <w:ind w:right="216"/>
              <w:spacing w:after="0" w:line="196" w:lineRule="exact"/>
              <w:rPr>
                <w:sz w:val="20"/>
                <w:szCs w:val="20"/>
                <w:color w:val="auto"/>
              </w:rPr>
            </w:pPr>
            <w:r>
              <w:rPr>
                <w:rFonts w:ascii="Arial" w:cs="Arial" w:eastAsia="Arial" w:hAnsi="Arial"/>
                <w:sz w:val="18"/>
                <w:szCs w:val="18"/>
                <w:color w:val="auto"/>
              </w:rPr>
              <w:t>$3,697</w:t>
            </w:r>
          </w:p>
        </w:tc>
        <w:tc>
          <w:tcPr>
            <w:tcW w:w="1940" w:type="dxa"/>
            <w:vAlign w:val="bottom"/>
            <w:tcBorders>
              <w:bottom w:val="single" w:sz="8" w:color="auto"/>
            </w:tcBorders>
            <w:gridSpan w:val="2"/>
          </w:tcPr>
          <w:p>
            <w:pPr>
              <w:jc w:val="right"/>
              <w:ind w:right="450"/>
              <w:spacing w:after="0" w:line="196" w:lineRule="exact"/>
              <w:rPr>
                <w:sz w:val="20"/>
                <w:szCs w:val="20"/>
                <w:color w:val="auto"/>
              </w:rPr>
            </w:pPr>
            <w:r>
              <w:rPr>
                <w:rFonts w:ascii="Arial" w:cs="Arial" w:eastAsia="Arial" w:hAnsi="Arial"/>
                <w:sz w:val="18"/>
                <w:szCs w:val="18"/>
                <w:color w:val="auto"/>
              </w:rPr>
              <w:t>$1,243</w:t>
            </w:r>
          </w:p>
        </w:tc>
        <w:tc>
          <w:tcPr>
            <w:tcW w:w="12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We expect that substantially all accruals for restructuring liabilities will be paid within one year. The table below presents the changes in restructuring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Restructuring</w:t>
            </w:r>
          </w:p>
        </w:tc>
        <w:tc>
          <w:tcPr>
            <w:tcW w:w="1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Currency</w:t>
            </w: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2011</w:t>
            </w:r>
          </w:p>
        </w:tc>
        <w:tc>
          <w:tcPr>
            <w:tcW w:w="1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charges accrued</w:t>
            </w: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Payments</w:t>
            </w: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translation/other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5"/>
                <w:szCs w:val="15"/>
                <w:color w:val="auto"/>
              </w:rPr>
            </w:pPr>
          </w:p>
        </w:tc>
      </w:tr>
      <w:tr>
        <w:trPr>
          <w:trHeight w:val="196"/>
        </w:trPr>
        <w:tc>
          <w:tcPr>
            <w:tcW w:w="2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Termination costs</w:t>
            </w:r>
          </w:p>
        </w:tc>
        <w:tc>
          <w:tcPr>
            <w:tcW w:w="266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$6,979</w:t>
            </w:r>
          </w:p>
        </w:tc>
        <w:tc>
          <w:tcPr>
            <w:tcW w:w="1740" w:type="dxa"/>
            <w:vAlign w:val="bottom"/>
            <w:tcBorders>
              <w:bottom w:val="single" w:sz="8" w:color="auto"/>
            </w:tcBorders>
          </w:tcPr>
          <w:p>
            <w:pPr>
              <w:jc w:val="right"/>
              <w:ind w:right="319"/>
              <w:spacing w:after="0" w:line="196" w:lineRule="exact"/>
              <w:rPr>
                <w:sz w:val="20"/>
                <w:szCs w:val="20"/>
                <w:color w:val="auto"/>
              </w:rPr>
            </w:pPr>
            <w:r>
              <w:rPr>
                <w:rFonts w:ascii="Arial" w:cs="Arial" w:eastAsia="Arial" w:hAnsi="Arial"/>
                <w:sz w:val="18"/>
                <w:szCs w:val="18"/>
                <w:color w:val="auto"/>
              </w:rPr>
              <w:t>$7,617</w:t>
            </w:r>
          </w:p>
        </w:tc>
        <w:tc>
          <w:tcPr>
            <w:tcW w:w="122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($9,672)</w:t>
            </w:r>
          </w:p>
        </w:tc>
        <w:tc>
          <w:tcPr>
            <w:tcW w:w="1620" w:type="dxa"/>
            <w:vAlign w:val="bottom"/>
            <w:tcBorders>
              <w:bottom w:val="single" w:sz="8" w:color="auto"/>
            </w:tcBorders>
          </w:tcPr>
          <w:p>
            <w:pPr>
              <w:jc w:val="right"/>
              <w:ind w:right="199"/>
              <w:spacing w:after="0" w:line="196" w:lineRule="exact"/>
              <w:rPr>
                <w:sz w:val="20"/>
                <w:szCs w:val="20"/>
                <w:color w:val="auto"/>
              </w:rPr>
            </w:pPr>
            <w:r>
              <w:rPr>
                <w:rFonts w:ascii="Arial" w:cs="Arial" w:eastAsia="Arial" w:hAnsi="Arial"/>
                <w:sz w:val="18"/>
                <w:szCs w:val="18"/>
                <w:color w:val="auto"/>
              </w:rPr>
              <w:t>$23</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$4,947</w:t>
            </w:r>
          </w:p>
        </w:tc>
        <w:tc>
          <w:tcPr>
            <w:tcW w:w="20" w:type="dxa"/>
            <w:vAlign w:val="bottom"/>
            <w:tcBorders>
              <w:bottom w:val="single" w:sz="8" w:color="auto"/>
            </w:tcBorders>
          </w:tcPr>
          <w:p>
            <w:pPr>
              <w:spacing w:after="0"/>
              <w:rPr>
                <w:sz w:val="17"/>
                <w:szCs w:val="17"/>
                <w:color w:val="auto"/>
              </w:rPr>
            </w:pPr>
          </w:p>
        </w:tc>
      </w:tr>
      <w:tr>
        <w:trPr>
          <w:trHeight w:val="196"/>
        </w:trPr>
        <w:tc>
          <w:tcPr>
            <w:tcW w:w="2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$6,979</w:t>
            </w:r>
          </w:p>
        </w:tc>
        <w:tc>
          <w:tcPr>
            <w:tcW w:w="1740" w:type="dxa"/>
            <w:vAlign w:val="bottom"/>
            <w:tcBorders>
              <w:bottom w:val="single" w:sz="8" w:color="auto"/>
            </w:tcBorders>
          </w:tcPr>
          <w:p>
            <w:pPr>
              <w:jc w:val="right"/>
              <w:ind w:right="319"/>
              <w:spacing w:after="0" w:line="196" w:lineRule="exact"/>
              <w:rPr>
                <w:sz w:val="20"/>
                <w:szCs w:val="20"/>
                <w:color w:val="auto"/>
              </w:rPr>
            </w:pPr>
            <w:r>
              <w:rPr>
                <w:rFonts w:ascii="Arial" w:cs="Arial" w:eastAsia="Arial" w:hAnsi="Arial"/>
                <w:sz w:val="18"/>
                <w:szCs w:val="18"/>
                <w:color w:val="auto"/>
              </w:rPr>
              <w:t>$7,617</w:t>
            </w:r>
          </w:p>
        </w:tc>
        <w:tc>
          <w:tcPr>
            <w:tcW w:w="122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($9,672)</w:t>
            </w:r>
          </w:p>
        </w:tc>
        <w:tc>
          <w:tcPr>
            <w:tcW w:w="1620" w:type="dxa"/>
            <w:vAlign w:val="bottom"/>
            <w:tcBorders>
              <w:bottom w:val="single" w:sz="8" w:color="auto"/>
            </w:tcBorders>
          </w:tcPr>
          <w:p>
            <w:pPr>
              <w:jc w:val="right"/>
              <w:ind w:right="199"/>
              <w:spacing w:after="0" w:line="196" w:lineRule="exact"/>
              <w:rPr>
                <w:sz w:val="20"/>
                <w:szCs w:val="20"/>
                <w:color w:val="auto"/>
              </w:rPr>
            </w:pPr>
            <w:r>
              <w:rPr>
                <w:rFonts w:ascii="Arial" w:cs="Arial" w:eastAsia="Arial" w:hAnsi="Arial"/>
                <w:sz w:val="18"/>
                <w:szCs w:val="18"/>
                <w:color w:val="auto"/>
              </w:rPr>
              <w:t>$23</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$4,947</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2"/>
        </w:trPr>
        <w:tc>
          <w:tcPr>
            <w:tcW w:w="29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74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Restructuring</w:t>
            </w:r>
          </w:p>
        </w:tc>
        <w:tc>
          <w:tcPr>
            <w:tcW w:w="12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Currency</w:t>
            </w: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2010</w:t>
            </w:r>
          </w:p>
        </w:tc>
        <w:tc>
          <w:tcPr>
            <w:tcW w:w="17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charges accrued</w:t>
            </w:r>
          </w:p>
        </w:tc>
        <w:tc>
          <w:tcPr>
            <w:tcW w:w="12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Payments</w:t>
            </w: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translation/other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196"/>
        </w:trPr>
        <w:tc>
          <w:tcPr>
            <w:tcW w:w="2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Termination costs</w:t>
            </w:r>
          </w:p>
        </w:tc>
        <w:tc>
          <w:tcPr>
            <w:tcW w:w="266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$2,809</w:t>
            </w:r>
          </w:p>
        </w:tc>
        <w:tc>
          <w:tcPr>
            <w:tcW w:w="1740" w:type="dxa"/>
            <w:vAlign w:val="bottom"/>
            <w:tcBorders>
              <w:bottom w:val="single" w:sz="8" w:color="auto"/>
            </w:tcBorders>
          </w:tcPr>
          <w:p>
            <w:pPr>
              <w:jc w:val="right"/>
              <w:ind w:right="319"/>
              <w:spacing w:after="0" w:line="196" w:lineRule="exact"/>
              <w:rPr>
                <w:sz w:val="20"/>
                <w:szCs w:val="20"/>
                <w:color w:val="auto"/>
              </w:rPr>
            </w:pPr>
            <w:r>
              <w:rPr>
                <w:rFonts w:ascii="Arial" w:cs="Arial" w:eastAsia="Arial" w:hAnsi="Arial"/>
                <w:sz w:val="18"/>
                <w:szCs w:val="18"/>
                <w:color w:val="auto"/>
              </w:rPr>
              <w:t>$6,890</w:t>
            </w:r>
          </w:p>
        </w:tc>
        <w:tc>
          <w:tcPr>
            <w:tcW w:w="122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($2,707)</w:t>
            </w:r>
          </w:p>
        </w:tc>
        <w:tc>
          <w:tcPr>
            <w:tcW w:w="1620" w:type="dxa"/>
            <w:vAlign w:val="bottom"/>
            <w:tcBorders>
              <w:bottom w:val="single" w:sz="8" w:color="auto"/>
            </w:tcBorders>
          </w:tcPr>
          <w:p>
            <w:pPr>
              <w:jc w:val="right"/>
              <w:ind w:right="199"/>
              <w:spacing w:after="0" w:line="196" w:lineRule="exact"/>
              <w:rPr>
                <w:sz w:val="20"/>
                <w:szCs w:val="20"/>
                <w:color w:val="auto"/>
              </w:rPr>
            </w:pPr>
            <w:r>
              <w:rPr>
                <w:rFonts w:ascii="Arial" w:cs="Arial" w:eastAsia="Arial" w:hAnsi="Arial"/>
                <w:sz w:val="18"/>
                <w:szCs w:val="18"/>
                <w:color w:val="auto"/>
              </w:rPr>
              <w:t>($13)</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$6,979</w:t>
            </w:r>
          </w:p>
        </w:tc>
        <w:tc>
          <w:tcPr>
            <w:tcW w:w="20" w:type="dxa"/>
            <w:vAlign w:val="bottom"/>
            <w:tcBorders>
              <w:bottom w:val="single" w:sz="8" w:color="auto"/>
            </w:tcBorders>
          </w:tcPr>
          <w:p>
            <w:pPr>
              <w:spacing w:after="0"/>
              <w:rPr>
                <w:sz w:val="17"/>
                <w:szCs w:val="17"/>
                <w:color w:val="auto"/>
              </w:rPr>
            </w:pPr>
          </w:p>
        </w:tc>
      </w:tr>
      <w:tr>
        <w:trPr>
          <w:trHeight w:val="196"/>
        </w:trPr>
        <w:tc>
          <w:tcPr>
            <w:tcW w:w="2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$2,809</w:t>
            </w:r>
          </w:p>
        </w:tc>
        <w:tc>
          <w:tcPr>
            <w:tcW w:w="1740" w:type="dxa"/>
            <w:vAlign w:val="bottom"/>
            <w:tcBorders>
              <w:bottom w:val="single" w:sz="8" w:color="auto"/>
            </w:tcBorders>
          </w:tcPr>
          <w:p>
            <w:pPr>
              <w:jc w:val="right"/>
              <w:ind w:right="319"/>
              <w:spacing w:after="0" w:line="196" w:lineRule="exact"/>
              <w:rPr>
                <w:sz w:val="20"/>
                <w:szCs w:val="20"/>
                <w:color w:val="auto"/>
              </w:rPr>
            </w:pPr>
            <w:r>
              <w:rPr>
                <w:rFonts w:ascii="Arial" w:cs="Arial" w:eastAsia="Arial" w:hAnsi="Arial"/>
                <w:sz w:val="18"/>
                <w:szCs w:val="18"/>
                <w:color w:val="auto"/>
              </w:rPr>
              <w:t>$6,890</w:t>
            </w:r>
          </w:p>
        </w:tc>
        <w:tc>
          <w:tcPr>
            <w:tcW w:w="122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rPr>
              <w:t>($2,707)</w:t>
            </w:r>
          </w:p>
        </w:tc>
        <w:tc>
          <w:tcPr>
            <w:tcW w:w="1620" w:type="dxa"/>
            <w:vAlign w:val="bottom"/>
            <w:tcBorders>
              <w:bottom w:val="single" w:sz="8" w:color="auto"/>
            </w:tcBorders>
          </w:tcPr>
          <w:p>
            <w:pPr>
              <w:jc w:val="right"/>
              <w:ind w:right="199"/>
              <w:spacing w:after="0" w:line="196" w:lineRule="exact"/>
              <w:rPr>
                <w:sz w:val="20"/>
                <w:szCs w:val="20"/>
                <w:color w:val="auto"/>
              </w:rPr>
            </w:pPr>
            <w:r>
              <w:rPr>
                <w:rFonts w:ascii="Arial" w:cs="Arial" w:eastAsia="Arial" w:hAnsi="Arial"/>
                <w:sz w:val="18"/>
                <w:szCs w:val="18"/>
                <w:color w:val="auto"/>
              </w:rPr>
              <w:t>($13)</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$6,979</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Expense/(Income), net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expense/(income), net, 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6"/>
                <w:szCs w:val="16"/>
                <w:b w:val="1"/>
                <w:bCs w:val="1"/>
                <w:color w:val="auto"/>
              </w:rPr>
              <w:t>2012</w:t>
            </w:r>
          </w:p>
        </w:tc>
        <w:tc>
          <w:tcPr>
            <w:tcW w:w="204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6"/>
                <w:szCs w:val="16"/>
                <w:color w:val="auto"/>
              </w:rPr>
              <w:t>2011</w:t>
            </w:r>
          </w:p>
        </w:tc>
        <w:tc>
          <w:tcPr>
            <w:tcW w:w="15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color w:val="auto"/>
              </w:rPr>
              <w:t>2010</w:t>
            </w:r>
          </w:p>
        </w:tc>
      </w:tr>
      <w:tr>
        <w:trPr>
          <w:trHeight w:val="173"/>
        </w:trPr>
        <w:tc>
          <w:tcPr>
            <w:tcW w:w="5220" w:type="dxa"/>
            <w:vAlign w:val="bottom"/>
          </w:tcPr>
          <w:p>
            <w:pPr>
              <w:spacing w:after="0" w:line="173" w:lineRule="exact"/>
              <w:rPr>
                <w:sz w:val="20"/>
                <w:szCs w:val="20"/>
                <w:color w:val="auto"/>
              </w:rPr>
            </w:pPr>
            <w:r>
              <w:rPr>
                <w:rFonts w:ascii="Arial" w:cs="Arial" w:eastAsia="Arial" w:hAnsi="Arial"/>
                <w:sz w:val="18"/>
                <w:szCs w:val="18"/>
                <w:color w:val="auto"/>
              </w:rPr>
              <w:t>Currency transactions</w:t>
            </w:r>
          </w:p>
        </w:tc>
        <w:tc>
          <w:tcPr>
            <w:tcW w:w="2660" w:type="dxa"/>
            <w:vAlign w:val="bottom"/>
          </w:tcPr>
          <w:p>
            <w:pPr>
              <w:jc w:val="right"/>
              <w:ind w:right="571"/>
              <w:spacing w:after="0" w:line="173" w:lineRule="exact"/>
              <w:rPr>
                <w:sz w:val="20"/>
                <w:szCs w:val="20"/>
                <w:color w:val="auto"/>
              </w:rPr>
            </w:pPr>
            <w:r>
              <w:rPr>
                <w:rFonts w:ascii="Arial" w:cs="Arial" w:eastAsia="Arial" w:hAnsi="Arial"/>
                <w:sz w:val="18"/>
                <w:szCs w:val="18"/>
                <w:b w:val="1"/>
                <w:bCs w:val="1"/>
                <w:color w:val="auto"/>
              </w:rPr>
              <w:t>$5,708</w:t>
            </w:r>
          </w:p>
        </w:tc>
        <w:tc>
          <w:tcPr>
            <w:tcW w:w="2040" w:type="dxa"/>
            <w:vAlign w:val="bottom"/>
          </w:tcPr>
          <w:p>
            <w:pPr>
              <w:jc w:val="right"/>
              <w:ind w:right="491"/>
              <w:spacing w:after="0" w:line="173" w:lineRule="exact"/>
              <w:rPr>
                <w:sz w:val="20"/>
                <w:szCs w:val="20"/>
                <w:color w:val="auto"/>
              </w:rPr>
            </w:pPr>
            <w:r>
              <w:rPr>
                <w:rFonts w:ascii="Arial" w:cs="Arial" w:eastAsia="Arial" w:hAnsi="Arial"/>
                <w:sz w:val="18"/>
                <w:szCs w:val="18"/>
                <w:color w:val="auto"/>
              </w:rPr>
              <w:t>($84)</w:t>
            </w:r>
          </w:p>
        </w:tc>
        <w:tc>
          <w:tcPr>
            <w:tcW w:w="1500" w:type="dxa"/>
            <w:vAlign w:val="bottom"/>
          </w:tcPr>
          <w:p>
            <w:pPr>
              <w:jc w:val="right"/>
              <w:spacing w:after="0" w:line="173" w:lineRule="exact"/>
              <w:rPr>
                <w:sz w:val="20"/>
                <w:szCs w:val="20"/>
                <w:color w:val="auto"/>
              </w:rPr>
            </w:pPr>
            <w:r>
              <w:rPr>
                <w:rFonts w:ascii="Arial" w:cs="Arial" w:eastAsia="Arial" w:hAnsi="Arial"/>
                <w:sz w:val="18"/>
                <w:szCs w:val="18"/>
                <w:color w:val="auto"/>
              </w:rPr>
              <w:t>($4,626)</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660" w:type="dxa"/>
            <w:vAlign w:val="bottom"/>
          </w:tcPr>
          <w:p>
            <w:pPr>
              <w:jc w:val="right"/>
              <w:ind w:right="571"/>
              <w:spacing w:after="0" w:line="202" w:lineRule="exact"/>
              <w:rPr>
                <w:sz w:val="20"/>
                <w:szCs w:val="20"/>
                <w:color w:val="auto"/>
              </w:rPr>
            </w:pPr>
            <w:r>
              <w:rPr>
                <w:rFonts w:ascii="Arial" w:cs="Arial" w:eastAsia="Arial" w:hAnsi="Arial"/>
                <w:sz w:val="18"/>
                <w:szCs w:val="18"/>
                <w:b w:val="1"/>
                <w:bCs w:val="1"/>
                <w:color w:val="auto"/>
              </w:rPr>
              <w:t>2,385</w:t>
            </w:r>
          </w:p>
        </w:tc>
        <w:tc>
          <w:tcPr>
            <w:tcW w:w="2040" w:type="dxa"/>
            <w:vAlign w:val="bottom"/>
          </w:tcPr>
          <w:p>
            <w:pPr>
              <w:jc w:val="right"/>
              <w:ind w:right="551"/>
              <w:spacing w:after="0" w:line="202" w:lineRule="exact"/>
              <w:rPr>
                <w:sz w:val="20"/>
                <w:szCs w:val="20"/>
                <w:color w:val="auto"/>
              </w:rPr>
            </w:pPr>
            <w:r>
              <w:rPr>
                <w:rFonts w:ascii="Arial" w:cs="Arial" w:eastAsia="Arial" w:hAnsi="Arial"/>
                <w:sz w:val="18"/>
                <w:szCs w:val="18"/>
                <w:color w:val="auto"/>
              </w:rPr>
              <w:t>1,837</w:t>
            </w: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1,704</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Letter of credit fees</w:t>
            </w:r>
          </w:p>
        </w:tc>
        <w:tc>
          <w:tcPr>
            <w:tcW w:w="2660" w:type="dxa"/>
            <w:vAlign w:val="bottom"/>
          </w:tcPr>
          <w:p>
            <w:pPr>
              <w:jc w:val="right"/>
              <w:ind w:right="571"/>
              <w:spacing w:after="0" w:line="202" w:lineRule="exact"/>
              <w:rPr>
                <w:sz w:val="20"/>
                <w:szCs w:val="20"/>
                <w:color w:val="auto"/>
              </w:rPr>
            </w:pPr>
            <w:r>
              <w:rPr>
                <w:rFonts w:ascii="Arial" w:cs="Arial" w:eastAsia="Arial" w:hAnsi="Arial"/>
                <w:sz w:val="18"/>
                <w:szCs w:val="18"/>
                <w:b w:val="1"/>
                <w:bCs w:val="1"/>
                <w:color w:val="auto"/>
              </w:rPr>
              <w:t>963</w:t>
            </w:r>
          </w:p>
        </w:tc>
        <w:tc>
          <w:tcPr>
            <w:tcW w:w="2040" w:type="dxa"/>
            <w:vAlign w:val="bottom"/>
          </w:tcPr>
          <w:p>
            <w:pPr>
              <w:jc w:val="right"/>
              <w:ind w:right="551"/>
              <w:spacing w:after="0" w:line="202" w:lineRule="exact"/>
              <w:rPr>
                <w:sz w:val="20"/>
                <w:szCs w:val="20"/>
                <w:color w:val="auto"/>
              </w:rPr>
            </w:pPr>
            <w:r>
              <w:rPr>
                <w:rFonts w:ascii="Arial" w:cs="Arial" w:eastAsia="Arial" w:hAnsi="Arial"/>
                <w:sz w:val="18"/>
                <w:szCs w:val="18"/>
                <w:color w:val="auto"/>
              </w:rPr>
              <w:t>1,479</w:t>
            </w:r>
          </w:p>
        </w:tc>
        <w:tc>
          <w:tcPr>
            <w:tcW w:w="15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1,831</w:t>
            </w:r>
          </w:p>
        </w:tc>
      </w:tr>
      <w:tr>
        <w:trPr>
          <w:trHeight w:val="225"/>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(1,427)</w:t>
            </w:r>
          </w:p>
        </w:tc>
        <w:tc>
          <w:tcPr>
            <w:tcW w:w="20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(593)</w:t>
            </w: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60" w:type="dxa"/>
            <w:vAlign w:val="bottom"/>
            <w:tcBorders>
              <w:bottom w:val="single" w:sz="8" w:color="auto"/>
            </w:tcBorders>
          </w:tcPr>
          <w:p>
            <w:pPr>
              <w:jc w:val="right"/>
              <w:ind w:right="571"/>
              <w:spacing w:after="0" w:line="196" w:lineRule="exact"/>
              <w:rPr>
                <w:sz w:val="20"/>
                <w:szCs w:val="20"/>
                <w:color w:val="auto"/>
              </w:rPr>
            </w:pPr>
            <w:r>
              <w:rPr>
                <w:rFonts w:ascii="Arial" w:cs="Arial" w:eastAsia="Arial" w:hAnsi="Arial"/>
                <w:sz w:val="18"/>
                <w:szCs w:val="18"/>
                <w:b w:val="1"/>
                <w:bCs w:val="1"/>
                <w:color w:val="auto"/>
              </w:rPr>
              <w:t>$7,629</w:t>
            </w:r>
          </w:p>
        </w:tc>
        <w:tc>
          <w:tcPr>
            <w:tcW w:w="2040" w:type="dxa"/>
            <w:vAlign w:val="bottom"/>
            <w:tcBorders>
              <w:bottom w:val="single" w:sz="8" w:color="auto"/>
            </w:tcBorders>
          </w:tcPr>
          <w:p>
            <w:pPr>
              <w:jc w:val="right"/>
              <w:ind w:right="551"/>
              <w:spacing w:after="0" w:line="196" w:lineRule="exact"/>
              <w:rPr>
                <w:sz w:val="20"/>
                <w:szCs w:val="20"/>
                <w:color w:val="auto"/>
              </w:rPr>
            </w:pPr>
            <w:r>
              <w:rPr>
                <w:rFonts w:ascii="Arial" w:cs="Arial" w:eastAsia="Arial" w:hAnsi="Arial"/>
                <w:sz w:val="18"/>
                <w:szCs w:val="18"/>
                <w:color w:val="auto"/>
              </w:rPr>
              <w:t>$2,639</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($976)</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components of income tax (benefit)/expense and (loss)/income before income taxes on continuing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c>
          <w:tcPr>
            <w:tcW w:w="21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rPr>
              <w:t>2011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398"/>
        </w:trPr>
        <w:tc>
          <w:tcPr>
            <w:tcW w:w="586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w:t>
            </w:r>
          </w:p>
        </w:tc>
        <w:tc>
          <w:tcPr>
            <w:tcW w:w="1920" w:type="dxa"/>
            <w:vAlign w:val="bottom"/>
            <w:vMerge w:val="restart"/>
          </w:tcPr>
          <w:p>
            <w:pPr>
              <w:jc w:val="right"/>
              <w:ind w:right="711"/>
              <w:spacing w:after="0"/>
              <w:rPr>
                <w:sz w:val="20"/>
                <w:szCs w:val="20"/>
                <w:color w:val="auto"/>
              </w:rPr>
            </w:pPr>
            <w:r>
              <w:rPr>
                <w:rFonts w:ascii="Arial" w:cs="Arial" w:eastAsia="Arial" w:hAnsi="Arial"/>
                <w:sz w:val="18"/>
                <w:szCs w:val="18"/>
                <w:b w:val="1"/>
                <w:bCs w:val="1"/>
                <w:color w:val="auto"/>
              </w:rPr>
              <w:t>$19,769</w:t>
            </w:r>
          </w:p>
        </w:tc>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60" w:type="dxa"/>
            <w:vAlign w:val="bottom"/>
            <w:gridSpan w:val="2"/>
          </w:tcPr>
          <w:p>
            <w:pPr>
              <w:spacing w:after="0" w:line="181" w:lineRule="exact"/>
              <w:rPr>
                <w:sz w:val="20"/>
                <w:szCs w:val="20"/>
                <w:color w:val="auto"/>
              </w:rPr>
            </w:pPr>
            <w:r>
              <w:rPr>
                <w:rFonts w:ascii="Arial" w:cs="Arial" w:eastAsia="Arial" w:hAnsi="Arial"/>
                <w:sz w:val="18"/>
                <w:szCs w:val="18"/>
                <w:color w:val="auto"/>
              </w:rPr>
              <w:t>estimated tax rates of 39%, 33%, and 30%, respectively</w:t>
            </w:r>
          </w:p>
        </w:tc>
        <w:tc>
          <w:tcPr>
            <w:tcW w:w="1920" w:type="dxa"/>
            <w:vAlign w:val="bottom"/>
            <w:vMerge w:val="continue"/>
          </w:tcPr>
          <w:p>
            <w:pPr>
              <w:spacing w:after="0"/>
              <w:rPr>
                <w:sz w:val="15"/>
                <w:szCs w:val="15"/>
                <w:color w:val="auto"/>
              </w:rPr>
            </w:pPr>
          </w:p>
        </w:tc>
        <w:tc>
          <w:tcPr>
            <w:tcW w:w="2160" w:type="dxa"/>
            <w:vAlign w:val="bottom"/>
          </w:tcPr>
          <w:p>
            <w:pPr>
              <w:jc w:val="right"/>
              <w:ind w:right="731"/>
              <w:spacing w:after="0" w:line="181" w:lineRule="exact"/>
              <w:rPr>
                <w:sz w:val="20"/>
                <w:szCs w:val="20"/>
                <w:color w:val="auto"/>
              </w:rPr>
            </w:pPr>
            <w:r>
              <w:rPr>
                <w:rFonts w:ascii="Arial" w:cs="Arial" w:eastAsia="Arial" w:hAnsi="Arial"/>
                <w:sz w:val="18"/>
                <w:szCs w:val="18"/>
                <w:color w:val="auto"/>
              </w:rPr>
              <w:t>$17,814</w:t>
            </w:r>
          </w:p>
        </w:tc>
        <w:tc>
          <w:tcPr>
            <w:tcW w:w="1480" w:type="dxa"/>
            <w:vAlign w:val="bottom"/>
          </w:tcPr>
          <w:p>
            <w:pPr>
              <w:jc w:val="right"/>
              <w:ind w:right="31"/>
              <w:spacing w:after="0" w:line="181" w:lineRule="exact"/>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Pension plan settlements</w:t>
            </w:r>
          </w:p>
        </w:tc>
        <w:tc>
          <w:tcPr>
            <w:tcW w:w="1920" w:type="dxa"/>
            <w:vAlign w:val="bottom"/>
          </w:tcPr>
          <w:p>
            <w:pPr>
              <w:jc w:val="right"/>
              <w:ind w:right="651"/>
              <w:spacing w:after="0" w:line="202" w:lineRule="exact"/>
              <w:rPr>
                <w:sz w:val="20"/>
                <w:szCs w:val="20"/>
                <w:color w:val="auto"/>
              </w:rPr>
            </w:pPr>
            <w:r>
              <w:rPr>
                <w:rFonts w:ascii="Arial" w:cs="Arial" w:eastAsia="Arial" w:hAnsi="Arial"/>
                <w:sz w:val="18"/>
                <w:szCs w:val="18"/>
                <w:b w:val="1"/>
                <w:bCs w:val="1"/>
                <w:color w:val="auto"/>
              </w:rPr>
              <w:t>(39,460)</w:t>
            </w:r>
          </w:p>
        </w:tc>
        <w:tc>
          <w:tcPr>
            <w:tcW w:w="216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Redemption of life insurance policies</w:t>
            </w:r>
          </w:p>
        </w:tc>
        <w:tc>
          <w:tcPr>
            <w:tcW w:w="19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b w:val="1"/>
                <w:bCs w:val="1"/>
                <w:color w:val="auto"/>
              </w:rPr>
              <w:t>-</w:t>
            </w:r>
          </w:p>
        </w:tc>
        <w:tc>
          <w:tcPr>
            <w:tcW w:w="216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9,382</w:t>
            </w:r>
          </w:p>
        </w:tc>
        <w:tc>
          <w:tcPr>
            <w:tcW w:w="0" w:type="dxa"/>
            <w:vAlign w:val="bottom"/>
          </w:tcPr>
          <w:p>
            <w:pPr>
              <w:spacing w:after="0"/>
              <w:rPr>
                <w:sz w:val="1"/>
                <w:szCs w:val="1"/>
                <w:color w:val="auto"/>
              </w:rPr>
            </w:pPr>
          </w:p>
        </w:tc>
      </w:tr>
      <w:tr>
        <w:trPr>
          <w:trHeight w:val="232"/>
        </w:trPr>
        <w:tc>
          <w:tcPr>
            <w:tcW w:w="586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920" w:type="dxa"/>
            <w:vAlign w:val="bottom"/>
          </w:tcPr>
          <w:p>
            <w:pPr>
              <w:jc w:val="right"/>
              <w:ind w:right="651"/>
              <w:spacing w:after="0"/>
              <w:rPr>
                <w:sz w:val="20"/>
                <w:szCs w:val="20"/>
                <w:color w:val="auto"/>
              </w:rPr>
            </w:pPr>
            <w:r>
              <w:rPr>
                <w:rFonts w:ascii="Arial" w:cs="Arial" w:eastAsia="Arial" w:hAnsi="Arial"/>
                <w:sz w:val="18"/>
                <w:szCs w:val="18"/>
                <w:b w:val="1"/>
                <w:bCs w:val="1"/>
                <w:color w:val="auto"/>
              </w:rPr>
              <w:t>(19,691)</w:t>
            </w:r>
          </w:p>
        </w:tc>
        <w:tc>
          <w:tcPr>
            <w:tcW w:w="2160" w:type="dxa"/>
            <w:vAlign w:val="bottom"/>
          </w:tcPr>
          <w:p>
            <w:pPr>
              <w:jc w:val="right"/>
              <w:ind w:right="731"/>
              <w:spacing w:after="0"/>
              <w:rPr>
                <w:sz w:val="20"/>
                <w:szCs w:val="20"/>
                <w:color w:val="auto"/>
              </w:rPr>
            </w:pPr>
            <w:r>
              <w:rPr>
                <w:rFonts w:ascii="Arial" w:cs="Arial" w:eastAsia="Arial" w:hAnsi="Arial"/>
                <w:sz w:val="18"/>
                <w:szCs w:val="18"/>
                <w:color w:val="auto"/>
              </w:rPr>
              <w:t>17,814</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23,763</w:t>
            </w:r>
          </w:p>
        </w:tc>
        <w:tc>
          <w:tcPr>
            <w:tcW w:w="0" w:type="dxa"/>
            <w:vAlign w:val="bottom"/>
          </w:tcPr>
          <w:p>
            <w:pPr>
              <w:spacing w:after="0"/>
              <w:rPr>
                <w:sz w:val="1"/>
                <w:szCs w:val="1"/>
                <w:color w:val="auto"/>
              </w:rPr>
            </w:pPr>
          </w:p>
        </w:tc>
      </w:tr>
      <w:tr>
        <w:trPr>
          <w:trHeight w:val="368"/>
        </w:trPr>
        <w:tc>
          <w:tcPr>
            <w:tcW w:w="5860" w:type="dxa"/>
            <w:vAlign w:val="bottom"/>
            <w:gridSpan w:val="2"/>
          </w:tcPr>
          <w:p>
            <w:pPr>
              <w:spacing w:after="0"/>
              <w:rPr>
                <w:sz w:val="20"/>
                <w:szCs w:val="20"/>
                <w:color w:val="auto"/>
              </w:rPr>
            </w:pPr>
            <w:r>
              <w:rPr>
                <w:rFonts w:ascii="Arial" w:cs="Arial" w:eastAsia="Arial" w:hAnsi="Arial"/>
                <w:sz w:val="18"/>
                <w:szCs w:val="18"/>
                <w:color w:val="auto"/>
              </w:rPr>
              <w:t>Discrete tax (benefit)/expense:</w:t>
            </w:r>
          </w:p>
        </w:tc>
        <w:tc>
          <w:tcPr>
            <w:tcW w:w="1920" w:type="dxa"/>
            <w:vAlign w:val="bottom"/>
            <w:vMerge w:val="restart"/>
          </w:tcPr>
          <w:p>
            <w:pPr>
              <w:jc w:val="right"/>
              <w:ind w:right="651"/>
              <w:spacing w:after="0"/>
              <w:rPr>
                <w:sz w:val="20"/>
                <w:szCs w:val="20"/>
                <w:color w:val="auto"/>
              </w:rPr>
            </w:pPr>
            <w:r>
              <w:rPr>
                <w:rFonts w:ascii="Arial" w:cs="Arial" w:eastAsia="Arial" w:hAnsi="Arial"/>
                <w:sz w:val="18"/>
                <w:szCs w:val="18"/>
                <w:b w:val="1"/>
                <w:bCs w:val="1"/>
                <w:color w:val="auto"/>
              </w:rPr>
              <w:t>(2,747)</w:t>
            </w:r>
          </w:p>
        </w:tc>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40" w:type="dxa"/>
            <w:vAlign w:val="bottom"/>
          </w:tcPr>
          <w:p>
            <w:pPr>
              <w:ind w:left="160"/>
              <w:spacing w:after="0" w:line="181" w:lineRule="exact"/>
              <w:rPr>
                <w:sz w:val="20"/>
                <w:szCs w:val="20"/>
                <w:color w:val="auto"/>
              </w:rPr>
            </w:pPr>
            <w:r>
              <w:rPr>
                <w:rFonts w:ascii="Arial" w:cs="Arial" w:eastAsia="Arial" w:hAnsi="Arial"/>
                <w:sz w:val="18"/>
                <w:szCs w:val="18"/>
                <w:color w:val="auto"/>
              </w:rPr>
              <w:t>Provision for/resolution of tax audits and contingencies, net</w:t>
            </w:r>
          </w:p>
        </w:tc>
        <w:tc>
          <w:tcPr>
            <w:tcW w:w="1920" w:type="dxa"/>
            <w:vAlign w:val="bottom"/>
            <w:vMerge w:val="continue"/>
          </w:tcPr>
          <w:p>
            <w:pPr>
              <w:spacing w:after="0"/>
              <w:rPr>
                <w:sz w:val="15"/>
                <w:szCs w:val="15"/>
                <w:color w:val="auto"/>
              </w:rPr>
            </w:pPr>
          </w:p>
        </w:tc>
        <w:tc>
          <w:tcPr>
            <w:tcW w:w="2160" w:type="dxa"/>
            <w:vAlign w:val="bottom"/>
          </w:tcPr>
          <w:p>
            <w:pPr>
              <w:jc w:val="right"/>
              <w:ind w:right="731"/>
              <w:spacing w:after="0" w:line="181" w:lineRule="exact"/>
              <w:rPr>
                <w:sz w:val="20"/>
                <w:szCs w:val="20"/>
                <w:color w:val="auto"/>
              </w:rPr>
            </w:pPr>
            <w:r>
              <w:rPr>
                <w:rFonts w:ascii="Arial" w:cs="Arial" w:eastAsia="Arial" w:hAnsi="Arial"/>
                <w:sz w:val="18"/>
                <w:szCs w:val="18"/>
                <w:color w:val="auto"/>
              </w:rPr>
              <w:t>289</w:t>
            </w:r>
          </w:p>
        </w:tc>
        <w:tc>
          <w:tcPr>
            <w:tcW w:w="1480" w:type="dxa"/>
            <w:vAlign w:val="bottom"/>
          </w:tcPr>
          <w:p>
            <w:pPr>
              <w:jc w:val="right"/>
              <w:ind w:right="31"/>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920" w:type="dxa"/>
            <w:vAlign w:val="bottom"/>
          </w:tcPr>
          <w:p>
            <w:pPr>
              <w:jc w:val="right"/>
              <w:ind w:right="651"/>
              <w:spacing w:after="0" w:line="202" w:lineRule="exact"/>
              <w:rPr>
                <w:sz w:val="20"/>
                <w:szCs w:val="20"/>
                <w:color w:val="auto"/>
              </w:rPr>
            </w:pPr>
            <w:r>
              <w:rPr>
                <w:rFonts w:ascii="Arial" w:cs="Arial" w:eastAsia="Arial" w:hAnsi="Arial"/>
                <w:sz w:val="18"/>
                <w:szCs w:val="18"/>
                <w:b w:val="1"/>
                <w:bCs w:val="1"/>
                <w:color w:val="auto"/>
              </w:rPr>
              <w:t>(1,471)</w:t>
            </w:r>
          </w:p>
        </w:tc>
        <w:tc>
          <w:tcPr>
            <w:tcW w:w="216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(1,624)</w:t>
            </w: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line="202" w:lineRule="exact"/>
              <w:rPr>
                <w:sz w:val="20"/>
                <w:szCs w:val="20"/>
                <w:color w:val="auto"/>
              </w:rPr>
            </w:pPr>
            <w:r>
              <w:rPr>
                <w:rFonts w:ascii="Arial" w:cs="Arial" w:eastAsia="Arial" w:hAnsi="Arial"/>
                <w:sz w:val="18"/>
                <w:szCs w:val="18"/>
                <w:color w:val="auto"/>
              </w:rPr>
              <w:t>Enacted legislation change</w:t>
            </w:r>
          </w:p>
        </w:tc>
        <w:tc>
          <w:tcPr>
            <w:tcW w:w="1920" w:type="dxa"/>
            <w:vAlign w:val="bottom"/>
          </w:tcPr>
          <w:p>
            <w:pPr>
              <w:jc w:val="right"/>
              <w:ind w:right="651"/>
              <w:spacing w:after="0" w:line="202" w:lineRule="exact"/>
              <w:rPr>
                <w:sz w:val="20"/>
                <w:szCs w:val="20"/>
                <w:color w:val="auto"/>
              </w:rPr>
            </w:pPr>
            <w:r>
              <w:rPr>
                <w:rFonts w:ascii="Arial" w:cs="Arial" w:eastAsia="Arial" w:hAnsi="Arial"/>
                <w:sz w:val="18"/>
                <w:szCs w:val="18"/>
                <w:b w:val="1"/>
                <w:bCs w:val="1"/>
                <w:color w:val="auto"/>
              </w:rPr>
              <w:t>(973)</w:t>
            </w:r>
          </w:p>
        </w:tc>
        <w:tc>
          <w:tcPr>
            <w:tcW w:w="216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115</w:t>
            </w: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line="202" w:lineRule="exact"/>
              <w:rPr>
                <w:sz w:val="20"/>
                <w:szCs w:val="20"/>
                <w:color w:val="auto"/>
              </w:rPr>
            </w:pPr>
            <w:r>
              <w:rPr>
                <w:rFonts w:ascii="Arial" w:cs="Arial" w:eastAsia="Arial" w:hAnsi="Arial"/>
                <w:sz w:val="18"/>
                <w:szCs w:val="18"/>
                <w:color w:val="auto"/>
              </w:rPr>
              <w:t>Provision for/adjustment to beginning of year valuation allowances</w:t>
            </w:r>
          </w:p>
        </w:tc>
        <w:tc>
          <w:tcPr>
            <w:tcW w:w="1920" w:type="dxa"/>
            <w:vAlign w:val="bottom"/>
          </w:tcPr>
          <w:p>
            <w:pPr>
              <w:jc w:val="right"/>
              <w:ind w:right="651"/>
              <w:spacing w:after="0" w:line="202" w:lineRule="exact"/>
              <w:rPr>
                <w:sz w:val="20"/>
                <w:szCs w:val="20"/>
                <w:color w:val="auto"/>
              </w:rPr>
            </w:pPr>
            <w:r>
              <w:rPr>
                <w:rFonts w:ascii="Arial" w:cs="Arial" w:eastAsia="Arial" w:hAnsi="Arial"/>
                <w:sz w:val="18"/>
                <w:szCs w:val="18"/>
                <w:b w:val="1"/>
                <w:bCs w:val="1"/>
                <w:color w:val="auto"/>
              </w:rPr>
              <w:t>(2,442)</w:t>
            </w:r>
          </w:p>
        </w:tc>
        <w:tc>
          <w:tcPr>
            <w:tcW w:w="216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22,798</w:t>
            </w: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line="202" w:lineRule="exact"/>
              <w:rPr>
                <w:sz w:val="20"/>
                <w:szCs w:val="20"/>
                <w:color w:val="auto"/>
              </w:rPr>
            </w:pPr>
            <w:r>
              <w:rPr>
                <w:rFonts w:ascii="Arial" w:cs="Arial" w:eastAsia="Arial" w:hAnsi="Arial"/>
                <w:sz w:val="18"/>
                <w:szCs w:val="18"/>
                <w:color w:val="auto"/>
              </w:rPr>
              <w:t>Change in tax status</w:t>
            </w:r>
          </w:p>
        </w:tc>
        <w:tc>
          <w:tcPr>
            <w:tcW w:w="1920" w:type="dxa"/>
            <w:vAlign w:val="bottom"/>
          </w:tcPr>
          <w:p>
            <w:pPr>
              <w:jc w:val="right"/>
              <w:ind w:right="711"/>
              <w:spacing w:after="0" w:line="202" w:lineRule="exact"/>
              <w:rPr>
                <w:sz w:val="20"/>
                <w:szCs w:val="20"/>
                <w:color w:val="auto"/>
              </w:rPr>
            </w:pPr>
            <w:r>
              <w:rPr>
                <w:rFonts w:ascii="Arial" w:cs="Arial" w:eastAsia="Arial" w:hAnsi="Arial"/>
                <w:sz w:val="18"/>
                <w:szCs w:val="18"/>
                <w:b w:val="1"/>
                <w:bCs w:val="1"/>
                <w:color w:val="auto"/>
              </w:rPr>
              <w:t>-</w:t>
            </w:r>
          </w:p>
        </w:tc>
        <w:tc>
          <w:tcPr>
            <w:tcW w:w="216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(3,344)</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line="202" w:lineRule="exact"/>
              <w:rPr>
                <w:sz w:val="20"/>
                <w:szCs w:val="20"/>
                <w:color w:val="auto"/>
              </w:rPr>
            </w:pPr>
            <w:r>
              <w:rPr>
                <w:rFonts w:ascii="Arial" w:cs="Arial" w:eastAsia="Arial" w:hAnsi="Arial"/>
                <w:sz w:val="18"/>
                <w:szCs w:val="18"/>
                <w:color w:val="auto"/>
              </w:rPr>
              <w:t>Repatriation of non-U.S. prior years' earnings</w:t>
            </w:r>
          </w:p>
        </w:tc>
        <w:tc>
          <w:tcPr>
            <w:tcW w:w="1920" w:type="dxa"/>
            <w:vAlign w:val="bottom"/>
          </w:tcPr>
          <w:p>
            <w:pPr>
              <w:jc w:val="right"/>
              <w:ind w:right="711"/>
              <w:spacing w:after="0" w:line="202" w:lineRule="exact"/>
              <w:rPr>
                <w:sz w:val="20"/>
                <w:szCs w:val="20"/>
                <w:color w:val="auto"/>
              </w:rPr>
            </w:pPr>
            <w:r>
              <w:rPr>
                <w:rFonts w:ascii="Arial" w:cs="Arial" w:eastAsia="Arial" w:hAnsi="Arial"/>
                <w:sz w:val="18"/>
                <w:szCs w:val="18"/>
                <w:b w:val="1"/>
                <w:bCs w:val="1"/>
                <w:color w:val="auto"/>
              </w:rPr>
              <w:t>-</w:t>
            </w:r>
          </w:p>
        </w:tc>
        <w:tc>
          <w:tcPr>
            <w:tcW w:w="2160" w:type="dxa"/>
            <w:vAlign w:val="bottom"/>
          </w:tcPr>
          <w:p>
            <w:pPr>
              <w:jc w:val="right"/>
              <w:ind w:right="731"/>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ind w:left="160"/>
              <w:spacing w:after="0" w:line="202" w:lineRule="exact"/>
              <w:rPr>
                <w:sz w:val="20"/>
                <w:szCs w:val="20"/>
                <w:color w:val="auto"/>
              </w:rPr>
            </w:pPr>
            <w:r>
              <w:rPr>
                <w:rFonts w:ascii="Arial" w:cs="Arial" w:eastAsia="Arial" w:hAnsi="Arial"/>
                <w:sz w:val="18"/>
                <w:szCs w:val="18"/>
                <w:color w:val="auto"/>
              </w:rPr>
              <w:t>Adjustment to correct a prior year error</w:t>
            </w:r>
          </w:p>
        </w:tc>
        <w:tc>
          <w:tcPr>
            <w:tcW w:w="1920" w:type="dxa"/>
            <w:vAlign w:val="bottom"/>
          </w:tcPr>
          <w:p>
            <w:pPr>
              <w:jc w:val="right"/>
              <w:ind w:right="711"/>
              <w:spacing w:after="0" w:line="202" w:lineRule="exact"/>
              <w:rPr>
                <w:sz w:val="20"/>
                <w:szCs w:val="20"/>
                <w:color w:val="auto"/>
              </w:rPr>
            </w:pPr>
            <w:r>
              <w:rPr>
                <w:rFonts w:ascii="Arial" w:cs="Arial" w:eastAsia="Arial" w:hAnsi="Arial"/>
                <w:sz w:val="18"/>
                <w:szCs w:val="18"/>
                <w:b w:val="1"/>
                <w:bCs w:val="1"/>
                <w:color w:val="auto"/>
              </w:rPr>
              <w:t>-</w:t>
            </w:r>
          </w:p>
        </w:tc>
        <w:tc>
          <w:tcPr>
            <w:tcW w:w="216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(3,553)</w:t>
            </w:r>
          </w:p>
        </w:tc>
        <w:tc>
          <w:tcPr>
            <w:tcW w:w="14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discrete tax adjustments, net</w:t>
            </w:r>
          </w:p>
        </w:tc>
        <w:tc>
          <w:tcPr>
            <w:tcW w:w="192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(199)</w:t>
            </w:r>
          </w:p>
        </w:tc>
        <w:tc>
          <w:tcPr>
            <w:tcW w:w="216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87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(benefit)/expense</w:t>
            </w:r>
          </w:p>
        </w:tc>
        <w:tc>
          <w:tcPr>
            <w:tcW w:w="1920" w:type="dxa"/>
            <w:vAlign w:val="bottom"/>
            <w:tcBorders>
              <w:bottom w:val="single" w:sz="8" w:color="auto"/>
            </w:tcBorders>
          </w:tcPr>
          <w:p>
            <w:pPr>
              <w:jc w:val="right"/>
              <w:ind w:right="651"/>
              <w:spacing w:after="0" w:line="196" w:lineRule="exact"/>
              <w:rPr>
                <w:sz w:val="20"/>
                <w:szCs w:val="20"/>
                <w:color w:val="auto"/>
              </w:rPr>
            </w:pPr>
            <w:r>
              <w:rPr>
                <w:rFonts w:ascii="Arial" w:cs="Arial" w:eastAsia="Arial" w:hAnsi="Arial"/>
                <w:sz w:val="18"/>
                <w:szCs w:val="18"/>
                <w:b w:val="1"/>
                <w:bCs w:val="1"/>
                <w:color w:val="auto"/>
              </w:rPr>
              <w:t>($27,523)</w:t>
            </w:r>
          </w:p>
        </w:tc>
        <w:tc>
          <w:tcPr>
            <w:tcW w:w="2160" w:type="dxa"/>
            <w:vAlign w:val="bottom"/>
            <w:tcBorders>
              <w:bottom w:val="single" w:sz="8" w:color="auto"/>
            </w:tcBorders>
          </w:tcPr>
          <w:p>
            <w:pPr>
              <w:jc w:val="right"/>
              <w:ind w:right="731"/>
              <w:spacing w:after="0" w:line="196" w:lineRule="exact"/>
              <w:rPr>
                <w:sz w:val="20"/>
                <w:szCs w:val="20"/>
                <w:color w:val="auto"/>
              </w:rPr>
            </w:pPr>
            <w:r>
              <w:rPr>
                <w:rFonts w:ascii="Arial" w:cs="Arial" w:eastAsia="Arial" w:hAnsi="Arial"/>
                <w:sz w:val="18"/>
                <w:szCs w:val="18"/>
                <w:color w:val="auto"/>
              </w:rPr>
              <w:t>$32,582</w:t>
            </w:r>
          </w:p>
        </w:tc>
        <w:tc>
          <w:tcPr>
            <w:tcW w:w="14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$21,022</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380" w:firstLine="360"/>
        <w:spacing w:after="0"/>
        <w:rPr>
          <w:sz w:val="20"/>
          <w:szCs w:val="20"/>
          <w:color w:val="auto"/>
        </w:rPr>
      </w:pPr>
      <w:r>
        <w:rPr>
          <w:rFonts w:ascii="Arial" w:cs="Arial" w:eastAsia="Arial" w:hAnsi="Arial"/>
          <w:sz w:val="18"/>
          <w:szCs w:val="18"/>
          <w:color w:val="auto"/>
        </w:rPr>
        <w:t>Income tax expense in 2011 includes a favorable adjustment of $3.5 million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2012</w:t>
            </w:r>
          </w:p>
        </w:tc>
        <w:tc>
          <w:tcPr>
            <w:tcW w:w="22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2011</w:t>
            </w:r>
          </w:p>
        </w:tc>
        <w:tc>
          <w:tcPr>
            <w:tcW w:w="1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43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(Loss)/income before income taxes:</w:t>
            </w:r>
          </w:p>
        </w:tc>
        <w:tc>
          <w:tcPr>
            <w:tcW w:w="3160" w:type="dxa"/>
            <w:vAlign w:val="bottom"/>
            <w:tcBorders>
              <w:top w:val="single" w:sz="8" w:color="auto"/>
            </w:tcBorders>
            <w:vMerge w:val="restart"/>
          </w:tcPr>
          <w:p>
            <w:pPr>
              <w:jc w:val="right"/>
              <w:ind w:right="1310"/>
              <w:spacing w:after="0"/>
              <w:rPr>
                <w:sz w:val="20"/>
                <w:szCs w:val="20"/>
                <w:color w:val="auto"/>
              </w:rPr>
            </w:pPr>
            <w:r>
              <w:rPr>
                <w:rFonts w:ascii="Arial" w:cs="Arial" w:eastAsia="Arial" w:hAnsi="Arial"/>
                <w:sz w:val="18"/>
                <w:szCs w:val="18"/>
                <w:b w:val="1"/>
                <w:bCs w:val="1"/>
                <w:color w:val="auto"/>
              </w:rPr>
              <w:t>($84,624)</w:t>
            </w:r>
          </w:p>
        </w:tc>
        <w:tc>
          <w:tcPr>
            <w:tcW w:w="2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tcPr>
          <w:p>
            <w:pPr>
              <w:ind w:left="180"/>
              <w:spacing w:after="0" w:line="181" w:lineRule="exact"/>
              <w:rPr>
                <w:sz w:val="20"/>
                <w:szCs w:val="20"/>
                <w:color w:val="auto"/>
              </w:rPr>
            </w:pPr>
            <w:r>
              <w:rPr>
                <w:rFonts w:ascii="Arial" w:cs="Arial" w:eastAsia="Arial" w:hAnsi="Arial"/>
                <w:sz w:val="18"/>
                <w:szCs w:val="18"/>
                <w:color w:val="auto"/>
              </w:rPr>
              <w:t>U.S.</w:t>
            </w:r>
          </w:p>
        </w:tc>
        <w:tc>
          <w:tcPr>
            <w:tcW w:w="3160" w:type="dxa"/>
            <w:vAlign w:val="bottom"/>
            <w:vMerge w:val="continue"/>
          </w:tcPr>
          <w:p>
            <w:pPr>
              <w:spacing w:after="0"/>
              <w:rPr>
                <w:sz w:val="15"/>
                <w:szCs w:val="15"/>
                <w:color w:val="auto"/>
              </w:rPr>
            </w:pPr>
          </w:p>
        </w:tc>
        <w:tc>
          <w:tcPr>
            <w:tcW w:w="2200" w:type="dxa"/>
            <w:vAlign w:val="bottom"/>
          </w:tcPr>
          <w:p>
            <w:pPr>
              <w:jc w:val="right"/>
              <w:ind w:right="890"/>
              <w:spacing w:after="0" w:line="181" w:lineRule="exact"/>
              <w:rPr>
                <w:sz w:val="20"/>
                <w:szCs w:val="20"/>
                <w:color w:val="auto"/>
              </w:rPr>
            </w:pPr>
            <w:r>
              <w:rPr>
                <w:rFonts w:ascii="Arial" w:cs="Arial" w:eastAsia="Arial" w:hAnsi="Arial"/>
                <w:sz w:val="18"/>
                <w:szCs w:val="18"/>
                <w:color w:val="auto"/>
              </w:rPr>
              <w:t>($9,748)</w:t>
            </w:r>
          </w:p>
        </w:tc>
        <w:tc>
          <w:tcPr>
            <w:tcW w:w="1680" w:type="dxa"/>
            <w:vAlign w:val="bottom"/>
          </w:tcPr>
          <w:p>
            <w:pPr>
              <w:jc w:val="right"/>
              <w:spacing w:after="0" w:line="181" w:lineRule="exact"/>
              <w:rPr>
                <w:sz w:val="20"/>
                <w:szCs w:val="20"/>
                <w:color w:val="auto"/>
              </w:rPr>
            </w:pPr>
            <w:r>
              <w:rPr>
                <w:rFonts w:ascii="Arial" w:cs="Arial" w:eastAsia="Arial" w:hAnsi="Arial"/>
                <w:sz w:val="18"/>
                <w:szCs w:val="18"/>
                <w:color w:val="auto"/>
              </w:rPr>
              <w:t>($1,481)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Non-U.S.</w:t>
            </w:r>
          </w:p>
        </w:tc>
        <w:tc>
          <w:tcPr>
            <w:tcW w:w="31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16,258</w:t>
            </w:r>
          </w:p>
        </w:tc>
        <w:tc>
          <w:tcPr>
            <w:tcW w:w="22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63,596</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right"/>
              <w:ind w:right="1310"/>
              <w:spacing w:after="0" w:line="196" w:lineRule="exact"/>
              <w:rPr>
                <w:sz w:val="20"/>
                <w:szCs w:val="20"/>
                <w:color w:val="auto"/>
              </w:rPr>
            </w:pPr>
            <w:r>
              <w:rPr>
                <w:rFonts w:ascii="Arial" w:cs="Arial" w:eastAsia="Arial" w:hAnsi="Arial"/>
                <w:sz w:val="18"/>
                <w:szCs w:val="18"/>
                <w:b w:val="1"/>
                <w:bCs w:val="1"/>
                <w:color w:val="auto"/>
              </w:rPr>
              <w:t>($68,366)</w:t>
            </w:r>
          </w:p>
        </w:tc>
        <w:tc>
          <w:tcPr>
            <w:tcW w:w="220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color w:val="auto"/>
              </w:rPr>
              <w:t>$53,848</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3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Current:</w:t>
            </w:r>
          </w:p>
        </w:tc>
        <w:tc>
          <w:tcPr>
            <w:tcW w:w="3160" w:type="dxa"/>
            <w:vAlign w:val="bottom"/>
            <w:vMerge w:val="restart"/>
          </w:tcPr>
          <w:p>
            <w:pPr>
              <w:jc w:val="right"/>
              <w:ind w:right="1310"/>
              <w:spacing w:after="0"/>
              <w:rPr>
                <w:sz w:val="20"/>
                <w:szCs w:val="20"/>
                <w:color w:val="auto"/>
              </w:rPr>
            </w:pPr>
            <w:r>
              <w:rPr>
                <w:rFonts w:ascii="Arial" w:cs="Arial" w:eastAsia="Arial" w:hAnsi="Arial"/>
                <w:sz w:val="18"/>
                <w:szCs w:val="18"/>
                <w:b w:val="1"/>
                <w:bCs w:val="1"/>
                <w:color w:val="auto"/>
              </w:rPr>
              <w:t>($20,123)</w:t>
            </w: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tcPr>
          <w:p>
            <w:pPr>
              <w:ind w:left="320"/>
              <w:spacing w:after="0" w:line="181" w:lineRule="exact"/>
              <w:rPr>
                <w:sz w:val="20"/>
                <w:szCs w:val="20"/>
                <w:color w:val="auto"/>
              </w:rPr>
            </w:pPr>
            <w:r>
              <w:rPr>
                <w:rFonts w:ascii="Arial" w:cs="Arial" w:eastAsia="Arial" w:hAnsi="Arial"/>
                <w:sz w:val="18"/>
                <w:szCs w:val="18"/>
                <w:color w:val="auto"/>
              </w:rPr>
              <w:t>Federal</w:t>
            </w:r>
          </w:p>
        </w:tc>
        <w:tc>
          <w:tcPr>
            <w:tcW w:w="3160" w:type="dxa"/>
            <w:vAlign w:val="bottom"/>
            <w:vMerge w:val="continue"/>
          </w:tcPr>
          <w:p>
            <w:pPr>
              <w:spacing w:after="0"/>
              <w:rPr>
                <w:sz w:val="15"/>
                <w:szCs w:val="15"/>
                <w:color w:val="auto"/>
              </w:rPr>
            </w:pPr>
          </w:p>
        </w:tc>
        <w:tc>
          <w:tcPr>
            <w:tcW w:w="2200" w:type="dxa"/>
            <w:vAlign w:val="bottom"/>
          </w:tcPr>
          <w:p>
            <w:pPr>
              <w:jc w:val="right"/>
              <w:ind w:right="890"/>
              <w:spacing w:after="0" w:line="181" w:lineRule="exact"/>
              <w:rPr>
                <w:sz w:val="20"/>
                <w:szCs w:val="20"/>
                <w:color w:val="auto"/>
              </w:rPr>
            </w:pPr>
            <w:r>
              <w:rPr>
                <w:rFonts w:ascii="Arial" w:cs="Arial" w:eastAsia="Arial" w:hAnsi="Arial"/>
                <w:sz w:val="18"/>
                <w:szCs w:val="18"/>
                <w:color w:val="auto"/>
              </w:rPr>
              <w:t>($9,288)</w:t>
            </w:r>
          </w:p>
        </w:tc>
        <w:tc>
          <w:tcPr>
            <w:tcW w:w="1680" w:type="dxa"/>
            <w:vAlign w:val="bottom"/>
          </w:tcPr>
          <w:p>
            <w:pPr>
              <w:jc w:val="right"/>
              <w:spacing w:after="0" w:line="181" w:lineRule="exact"/>
              <w:rPr>
                <w:sz w:val="20"/>
                <w:szCs w:val="20"/>
                <w:color w:val="auto"/>
              </w:rPr>
            </w:pPr>
            <w:r>
              <w:rPr>
                <w:rFonts w:ascii="Arial" w:cs="Arial" w:eastAsia="Arial" w:hAnsi="Arial"/>
                <w:sz w:val="18"/>
                <w:szCs w:val="18"/>
                <w:color w:val="auto"/>
              </w:rPr>
              <w:t>($2,469)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State</w:t>
            </w:r>
          </w:p>
        </w:tc>
        <w:tc>
          <w:tcPr>
            <w:tcW w:w="3160" w:type="dxa"/>
            <w:vAlign w:val="bottom"/>
          </w:tcPr>
          <w:p>
            <w:pPr>
              <w:jc w:val="right"/>
              <w:ind w:right="1310"/>
              <w:spacing w:after="0" w:line="202" w:lineRule="exact"/>
              <w:rPr>
                <w:sz w:val="20"/>
                <w:szCs w:val="20"/>
                <w:color w:val="auto"/>
              </w:rPr>
            </w:pPr>
            <w:r>
              <w:rPr>
                <w:rFonts w:ascii="Arial" w:cs="Arial" w:eastAsia="Arial" w:hAnsi="Arial"/>
                <w:sz w:val="18"/>
                <w:szCs w:val="18"/>
                <w:b w:val="1"/>
                <w:bCs w:val="1"/>
                <w:color w:val="auto"/>
              </w:rPr>
              <w:t>(1,212)</w:t>
            </w:r>
          </w:p>
        </w:tc>
        <w:tc>
          <w:tcPr>
            <w:tcW w:w="2200" w:type="dxa"/>
            <w:vAlign w:val="bottom"/>
          </w:tcPr>
          <w:p>
            <w:pPr>
              <w:jc w:val="right"/>
              <w:ind w:right="950"/>
              <w:spacing w:after="0" w:line="202" w:lineRule="exact"/>
              <w:rPr>
                <w:sz w:val="20"/>
                <w:szCs w:val="20"/>
                <w:color w:val="auto"/>
              </w:rPr>
            </w:pPr>
            <w:r>
              <w:rPr>
                <w:rFonts w:ascii="Arial" w:cs="Arial" w:eastAsia="Arial" w:hAnsi="Arial"/>
                <w:sz w:val="18"/>
                <w:szCs w:val="18"/>
                <w:color w:val="auto"/>
              </w:rPr>
              <w:t>120</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Non-U.S.</w:t>
            </w:r>
          </w:p>
        </w:tc>
        <w:tc>
          <w:tcPr>
            <w:tcW w:w="31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12,413</w:t>
            </w:r>
          </w:p>
        </w:tc>
        <w:tc>
          <w:tcPr>
            <w:tcW w:w="22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17,879</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right"/>
              <w:ind w:right="1310"/>
              <w:spacing w:after="0" w:line="196" w:lineRule="exact"/>
              <w:rPr>
                <w:sz w:val="20"/>
                <w:szCs w:val="20"/>
                <w:color w:val="auto"/>
              </w:rPr>
            </w:pPr>
            <w:r>
              <w:rPr>
                <w:rFonts w:ascii="Arial" w:cs="Arial" w:eastAsia="Arial" w:hAnsi="Arial"/>
                <w:sz w:val="18"/>
                <w:szCs w:val="18"/>
                <w:b w:val="1"/>
                <w:bCs w:val="1"/>
                <w:color w:val="auto"/>
              </w:rPr>
              <w:t>($8,922)</w:t>
            </w:r>
          </w:p>
        </w:tc>
        <w:tc>
          <w:tcPr>
            <w:tcW w:w="220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color w:val="auto"/>
              </w:rPr>
              <w:t>$8,711</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Deferred:</w:t>
            </w:r>
          </w:p>
        </w:tc>
        <w:tc>
          <w:tcPr>
            <w:tcW w:w="3160" w:type="dxa"/>
            <w:vAlign w:val="bottom"/>
            <w:vMerge w:val="restart"/>
          </w:tcPr>
          <w:p>
            <w:pPr>
              <w:jc w:val="right"/>
              <w:ind w:right="1310"/>
              <w:spacing w:after="0"/>
              <w:rPr>
                <w:sz w:val="20"/>
                <w:szCs w:val="20"/>
                <w:color w:val="auto"/>
              </w:rPr>
            </w:pPr>
            <w:r>
              <w:rPr>
                <w:rFonts w:ascii="Arial" w:cs="Arial" w:eastAsia="Arial" w:hAnsi="Arial"/>
                <w:sz w:val="18"/>
                <w:szCs w:val="18"/>
                <w:b w:val="1"/>
                <w:bCs w:val="1"/>
                <w:color w:val="auto"/>
              </w:rPr>
              <w:t>($12,851)</w:t>
            </w: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tcPr>
          <w:p>
            <w:pPr>
              <w:ind w:left="320"/>
              <w:spacing w:after="0" w:line="181" w:lineRule="exact"/>
              <w:rPr>
                <w:sz w:val="20"/>
                <w:szCs w:val="20"/>
                <w:color w:val="auto"/>
              </w:rPr>
            </w:pPr>
            <w:r>
              <w:rPr>
                <w:rFonts w:ascii="Arial" w:cs="Arial" w:eastAsia="Arial" w:hAnsi="Arial"/>
                <w:sz w:val="18"/>
                <w:szCs w:val="18"/>
                <w:color w:val="auto"/>
              </w:rPr>
              <w:t>Federal</w:t>
            </w:r>
          </w:p>
        </w:tc>
        <w:tc>
          <w:tcPr>
            <w:tcW w:w="3160" w:type="dxa"/>
            <w:vAlign w:val="bottom"/>
            <w:vMerge w:val="continue"/>
          </w:tcPr>
          <w:p>
            <w:pPr>
              <w:spacing w:after="0"/>
              <w:rPr>
                <w:sz w:val="15"/>
                <w:szCs w:val="15"/>
                <w:color w:val="auto"/>
              </w:rPr>
            </w:pPr>
          </w:p>
        </w:tc>
        <w:tc>
          <w:tcPr>
            <w:tcW w:w="2200" w:type="dxa"/>
            <w:vAlign w:val="bottom"/>
          </w:tcPr>
          <w:p>
            <w:pPr>
              <w:jc w:val="right"/>
              <w:ind w:right="950"/>
              <w:spacing w:after="0" w:line="181" w:lineRule="exact"/>
              <w:rPr>
                <w:sz w:val="20"/>
                <w:szCs w:val="20"/>
                <w:color w:val="auto"/>
              </w:rPr>
            </w:pPr>
            <w:r>
              <w:rPr>
                <w:rFonts w:ascii="Arial" w:cs="Arial" w:eastAsia="Arial" w:hAnsi="Arial"/>
                <w:sz w:val="18"/>
                <w:szCs w:val="18"/>
                <w:color w:val="auto"/>
              </w:rPr>
              <w:t>$3,519</w:t>
            </w:r>
          </w:p>
        </w:tc>
        <w:tc>
          <w:tcPr>
            <w:tcW w:w="16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$11,838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320"/>
              <w:spacing w:after="0" w:line="202" w:lineRule="exact"/>
              <w:rPr>
                <w:sz w:val="20"/>
                <w:szCs w:val="20"/>
                <w:color w:val="auto"/>
              </w:rPr>
            </w:pPr>
            <w:r>
              <w:rPr>
                <w:rFonts w:ascii="Arial" w:cs="Arial" w:eastAsia="Arial" w:hAnsi="Arial"/>
                <w:sz w:val="18"/>
                <w:szCs w:val="18"/>
                <w:color w:val="auto"/>
              </w:rPr>
              <w:t>State</w:t>
            </w:r>
          </w:p>
        </w:tc>
        <w:tc>
          <w:tcPr>
            <w:tcW w:w="3160" w:type="dxa"/>
            <w:vAlign w:val="bottom"/>
          </w:tcPr>
          <w:p>
            <w:pPr>
              <w:jc w:val="right"/>
              <w:ind w:right="1310"/>
              <w:spacing w:after="0" w:line="202" w:lineRule="exact"/>
              <w:rPr>
                <w:sz w:val="20"/>
                <w:szCs w:val="20"/>
                <w:color w:val="auto"/>
              </w:rPr>
            </w:pPr>
            <w:r>
              <w:rPr>
                <w:rFonts w:ascii="Arial" w:cs="Arial" w:eastAsia="Arial" w:hAnsi="Arial"/>
                <w:sz w:val="18"/>
                <w:szCs w:val="18"/>
                <w:b w:val="1"/>
                <w:bCs w:val="1"/>
                <w:color w:val="auto"/>
              </w:rPr>
              <w:t>(1,538)</w:t>
            </w:r>
          </w:p>
        </w:tc>
        <w:tc>
          <w:tcPr>
            <w:tcW w:w="2200" w:type="dxa"/>
            <w:vAlign w:val="bottom"/>
          </w:tcPr>
          <w:p>
            <w:pPr>
              <w:jc w:val="right"/>
              <w:ind w:right="950"/>
              <w:spacing w:after="0" w:line="202" w:lineRule="exact"/>
              <w:rPr>
                <w:sz w:val="20"/>
                <w:szCs w:val="20"/>
                <w:color w:val="auto"/>
              </w:rPr>
            </w:pPr>
            <w:r>
              <w:rPr>
                <w:rFonts w:ascii="Arial" w:cs="Arial" w:eastAsia="Arial" w:hAnsi="Arial"/>
                <w:sz w:val="18"/>
                <w:szCs w:val="18"/>
                <w:color w:val="auto"/>
              </w:rPr>
              <w:t>113</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Non-U.S.</w:t>
            </w:r>
          </w:p>
        </w:tc>
        <w:tc>
          <w:tcPr>
            <w:tcW w:w="31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(4,212)</w:t>
            </w:r>
          </w:p>
        </w:tc>
        <w:tc>
          <w:tcPr>
            <w:tcW w:w="22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20,239</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jc w:val="right"/>
              <w:ind w:right="1310"/>
              <w:spacing w:after="0" w:line="196" w:lineRule="exact"/>
              <w:rPr>
                <w:sz w:val="20"/>
                <w:szCs w:val="20"/>
                <w:color w:val="auto"/>
              </w:rPr>
            </w:pPr>
            <w:r>
              <w:rPr>
                <w:rFonts w:ascii="Arial" w:cs="Arial" w:eastAsia="Arial" w:hAnsi="Arial"/>
                <w:sz w:val="18"/>
                <w:szCs w:val="18"/>
                <w:b w:val="1"/>
                <w:bCs w:val="1"/>
                <w:color w:val="auto"/>
              </w:rPr>
              <w:t>($18,601)</w:t>
            </w:r>
          </w:p>
        </w:tc>
        <w:tc>
          <w:tcPr>
            <w:tcW w:w="220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color w:val="auto"/>
              </w:rPr>
              <w:t>$23,871</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provision for income taxes</w:t>
            </w:r>
          </w:p>
        </w:tc>
        <w:tc>
          <w:tcPr>
            <w:tcW w:w="3160" w:type="dxa"/>
            <w:vAlign w:val="bottom"/>
            <w:tcBorders>
              <w:bottom w:val="single" w:sz="8" w:color="auto"/>
            </w:tcBorders>
          </w:tcPr>
          <w:p>
            <w:pPr>
              <w:jc w:val="right"/>
              <w:ind w:right="1310"/>
              <w:spacing w:after="0" w:line="196" w:lineRule="exact"/>
              <w:rPr>
                <w:sz w:val="20"/>
                <w:szCs w:val="20"/>
                <w:color w:val="auto"/>
              </w:rPr>
            </w:pPr>
            <w:r>
              <w:rPr>
                <w:rFonts w:ascii="Arial" w:cs="Arial" w:eastAsia="Arial" w:hAnsi="Arial"/>
                <w:sz w:val="18"/>
                <w:szCs w:val="18"/>
                <w:b w:val="1"/>
                <w:bCs w:val="1"/>
                <w:color w:val="auto"/>
              </w:rPr>
              <w:t>($27,523)</w:t>
            </w:r>
          </w:p>
        </w:tc>
        <w:tc>
          <w:tcPr>
            <w:tcW w:w="220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color w:val="auto"/>
              </w:rPr>
              <w:t>$32,582</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520" w:type="dxa"/>
            <w:vAlign w:val="bottom"/>
            <w:gridSpan w:val="2"/>
          </w:tcPr>
          <w:p>
            <w:pPr>
              <w:jc w:val="right"/>
              <w:ind w:right="410"/>
              <w:spacing w:after="0"/>
              <w:rPr>
                <w:sz w:val="20"/>
                <w:szCs w:val="20"/>
                <w:color w:val="auto"/>
              </w:rPr>
            </w:pPr>
            <w:r>
              <w:rPr>
                <w:rFonts w:ascii="Arial" w:cs="Arial" w:eastAsia="Arial" w:hAnsi="Arial"/>
                <w:sz w:val="18"/>
                <w:szCs w:val="18"/>
                <w:color w:val="auto"/>
              </w:rPr>
              <w:t>The significant components of deferred income tax (benefit)/expense are as follows:</w:t>
            </w: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3160" w:type="dxa"/>
            <w:vAlign w:val="bottom"/>
            <w:tcBorders>
              <w:bottom w:val="single" w:sz="8" w:color="auto"/>
            </w:tcBorders>
          </w:tcPr>
          <w:p>
            <w:pPr>
              <w:jc w:val="right"/>
              <w:ind w:right="1250"/>
              <w:spacing w:after="0" w:line="196" w:lineRule="exact"/>
              <w:rPr>
                <w:sz w:val="20"/>
                <w:szCs w:val="20"/>
                <w:color w:val="auto"/>
              </w:rPr>
            </w:pPr>
            <w:r>
              <w:rPr>
                <w:rFonts w:ascii="Arial" w:cs="Arial" w:eastAsia="Arial" w:hAnsi="Arial"/>
                <w:sz w:val="18"/>
                <w:szCs w:val="18"/>
                <w:b w:val="1"/>
                <w:bCs w:val="1"/>
                <w:color w:val="auto"/>
              </w:rPr>
              <w:t>2012</w:t>
            </w:r>
          </w:p>
        </w:tc>
        <w:tc>
          <w:tcPr>
            <w:tcW w:w="22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color w:val="auto"/>
              </w:rPr>
              <w:t>2011</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380" w:type="dxa"/>
            <w:vAlign w:val="bottom"/>
            <w:gridSpan w:val="2"/>
          </w:tcPr>
          <w:p>
            <w:pPr>
              <w:spacing w:after="0" w:line="173" w:lineRule="exact"/>
              <w:rPr>
                <w:sz w:val="20"/>
                <w:szCs w:val="20"/>
                <w:color w:val="auto"/>
              </w:rPr>
            </w:pPr>
            <w:r>
              <w:rPr>
                <w:rFonts w:ascii="Arial" w:cs="Arial" w:eastAsia="Arial" w:hAnsi="Arial"/>
                <w:sz w:val="18"/>
                <w:szCs w:val="18"/>
                <w:color w:val="auto"/>
              </w:rPr>
              <w:t>Net effect of temporary differences</w:t>
            </w:r>
          </w:p>
        </w:tc>
        <w:tc>
          <w:tcPr>
            <w:tcW w:w="3160" w:type="dxa"/>
            <w:vAlign w:val="bottom"/>
          </w:tcPr>
          <w:p>
            <w:pPr>
              <w:jc w:val="right"/>
              <w:ind w:right="1310"/>
              <w:spacing w:after="0" w:line="173" w:lineRule="exact"/>
              <w:rPr>
                <w:sz w:val="20"/>
                <w:szCs w:val="20"/>
                <w:color w:val="auto"/>
              </w:rPr>
            </w:pPr>
            <w:r>
              <w:rPr>
                <w:rFonts w:ascii="Arial" w:cs="Arial" w:eastAsia="Arial" w:hAnsi="Arial"/>
                <w:sz w:val="18"/>
                <w:szCs w:val="18"/>
                <w:b w:val="1"/>
                <w:bCs w:val="1"/>
                <w:color w:val="auto"/>
              </w:rPr>
              <w:t>$(7,557)</w:t>
            </w:r>
          </w:p>
        </w:tc>
        <w:tc>
          <w:tcPr>
            <w:tcW w:w="2200" w:type="dxa"/>
            <w:vAlign w:val="bottom"/>
          </w:tcPr>
          <w:p>
            <w:pPr>
              <w:jc w:val="right"/>
              <w:ind w:right="930"/>
              <w:spacing w:after="0" w:line="173" w:lineRule="exact"/>
              <w:rPr>
                <w:sz w:val="20"/>
                <w:szCs w:val="20"/>
                <w:color w:val="auto"/>
              </w:rPr>
            </w:pPr>
            <w:r>
              <w:rPr>
                <w:rFonts w:ascii="Arial" w:cs="Arial" w:eastAsia="Arial" w:hAnsi="Arial"/>
                <w:sz w:val="18"/>
                <w:szCs w:val="18"/>
                <w:color w:val="auto"/>
              </w:rPr>
              <w:t>$1,593</w:t>
            </w:r>
          </w:p>
        </w:tc>
        <w:tc>
          <w:tcPr>
            <w:tcW w:w="16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$12,035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Foreign tax credits</w:t>
            </w:r>
          </w:p>
        </w:tc>
        <w:tc>
          <w:tcPr>
            <w:tcW w:w="316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9,468</w:t>
            </w:r>
          </w:p>
        </w:tc>
        <w:tc>
          <w:tcPr>
            <w:tcW w:w="2200" w:type="dxa"/>
            <w:vAlign w:val="bottom"/>
          </w:tcPr>
          <w:p>
            <w:pPr>
              <w:jc w:val="right"/>
              <w:ind w:right="870"/>
              <w:spacing w:after="0" w:line="202" w:lineRule="exact"/>
              <w:rPr>
                <w:sz w:val="20"/>
                <w:szCs w:val="20"/>
                <w:color w:val="auto"/>
              </w:rPr>
            </w:pPr>
            <w:r>
              <w:rPr>
                <w:rFonts w:ascii="Arial" w:cs="Arial" w:eastAsia="Arial" w:hAnsi="Arial"/>
                <w:sz w:val="18"/>
                <w:szCs w:val="18"/>
                <w:color w:val="auto"/>
              </w:rPr>
              <w:t>(5,668)</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(14,262)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Postretirement benefits</w:t>
            </w:r>
          </w:p>
        </w:tc>
        <w:tc>
          <w:tcPr>
            <w:tcW w:w="3160" w:type="dxa"/>
            <w:vAlign w:val="bottom"/>
          </w:tcPr>
          <w:p>
            <w:pPr>
              <w:jc w:val="right"/>
              <w:ind w:right="1310"/>
              <w:spacing w:after="0" w:line="202" w:lineRule="exact"/>
              <w:rPr>
                <w:sz w:val="20"/>
                <w:szCs w:val="20"/>
                <w:color w:val="auto"/>
              </w:rPr>
            </w:pPr>
            <w:r>
              <w:rPr>
                <w:rFonts w:ascii="Arial" w:cs="Arial" w:eastAsia="Arial" w:hAnsi="Arial"/>
                <w:sz w:val="18"/>
                <w:szCs w:val="18"/>
                <w:b w:val="1"/>
                <w:bCs w:val="1"/>
                <w:color w:val="auto"/>
              </w:rPr>
              <w:t>(18,337)</w:t>
            </w:r>
          </w:p>
        </w:tc>
        <w:tc>
          <w:tcPr>
            <w:tcW w:w="2200" w:type="dxa"/>
            <w:vAlign w:val="bottom"/>
          </w:tcPr>
          <w:p>
            <w:pPr>
              <w:jc w:val="right"/>
              <w:ind w:right="930"/>
              <w:spacing w:after="0" w:line="202" w:lineRule="exact"/>
              <w:rPr>
                <w:sz w:val="20"/>
                <w:szCs w:val="20"/>
                <w:color w:val="auto"/>
              </w:rPr>
            </w:pPr>
            <w:r>
              <w:rPr>
                <w:rFonts w:ascii="Arial" w:cs="Arial" w:eastAsia="Arial" w:hAnsi="Arial"/>
                <w:sz w:val="18"/>
                <w:szCs w:val="18"/>
                <w:color w:val="auto"/>
              </w:rPr>
              <w:t>5,119</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Net impact to operating loss carryforwards</w:t>
            </w:r>
          </w:p>
        </w:tc>
        <w:tc>
          <w:tcPr>
            <w:tcW w:w="316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1,240</w:t>
            </w:r>
          </w:p>
        </w:tc>
        <w:tc>
          <w:tcPr>
            <w:tcW w:w="2200" w:type="dxa"/>
            <w:vAlign w:val="bottom"/>
          </w:tcPr>
          <w:p>
            <w:pPr>
              <w:jc w:val="right"/>
              <w:ind w:right="930"/>
              <w:spacing w:after="0" w:line="202" w:lineRule="exact"/>
              <w:rPr>
                <w:sz w:val="20"/>
                <w:szCs w:val="20"/>
                <w:color w:val="auto"/>
              </w:rPr>
            </w:pPr>
            <w:r>
              <w:rPr>
                <w:rFonts w:ascii="Arial" w:cs="Arial" w:eastAsia="Arial" w:hAnsi="Arial"/>
                <w:sz w:val="18"/>
                <w:szCs w:val="18"/>
                <w:color w:val="auto"/>
              </w:rPr>
              <w:t>3,258</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80" w:type="dxa"/>
            <w:vAlign w:val="bottom"/>
            <w:gridSpan w:val="2"/>
          </w:tcPr>
          <w:p>
            <w:pPr>
              <w:spacing w:after="0"/>
              <w:rPr>
                <w:sz w:val="20"/>
                <w:szCs w:val="20"/>
                <w:color w:val="auto"/>
              </w:rPr>
            </w:pPr>
            <w:r>
              <w:rPr>
                <w:rFonts w:ascii="Arial" w:cs="Arial" w:eastAsia="Arial" w:hAnsi="Arial"/>
                <w:sz w:val="18"/>
                <w:szCs w:val="18"/>
                <w:color w:val="auto"/>
              </w:rPr>
              <w:t>Enacted changes in tax laws and rates</w:t>
            </w:r>
          </w:p>
        </w:tc>
        <w:tc>
          <w:tcPr>
            <w:tcW w:w="3160" w:type="dxa"/>
            <w:vAlign w:val="bottom"/>
          </w:tcPr>
          <w:p>
            <w:pPr>
              <w:jc w:val="right"/>
              <w:ind w:right="1310"/>
              <w:spacing w:after="0"/>
              <w:rPr>
                <w:sz w:val="20"/>
                <w:szCs w:val="20"/>
                <w:color w:val="auto"/>
              </w:rPr>
            </w:pPr>
            <w:r>
              <w:rPr>
                <w:rFonts w:ascii="Arial" w:cs="Arial" w:eastAsia="Arial" w:hAnsi="Arial"/>
                <w:sz w:val="18"/>
                <w:szCs w:val="18"/>
                <w:b w:val="1"/>
                <w:bCs w:val="1"/>
                <w:color w:val="auto"/>
              </w:rPr>
              <w:t>(973)</w:t>
            </w:r>
          </w:p>
        </w:tc>
        <w:tc>
          <w:tcPr>
            <w:tcW w:w="2200" w:type="dxa"/>
            <w:vAlign w:val="bottom"/>
          </w:tcPr>
          <w:p>
            <w:pPr>
              <w:jc w:val="right"/>
              <w:ind w:right="930"/>
              <w:spacing w:after="0"/>
              <w:rPr>
                <w:sz w:val="20"/>
                <w:szCs w:val="20"/>
                <w:color w:val="auto"/>
              </w:rPr>
            </w:pPr>
            <w:r>
              <w:rPr>
                <w:rFonts w:ascii="Arial" w:cs="Arial" w:eastAsia="Arial" w:hAnsi="Arial"/>
                <w:sz w:val="18"/>
                <w:szCs w:val="18"/>
                <w:color w:val="auto"/>
              </w:rPr>
              <w:t>115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beginning-of-the-year</w:t>
            </w:r>
          </w:p>
        </w:tc>
        <w:tc>
          <w:tcPr>
            <w:tcW w:w="3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valuation</w:t>
            </w:r>
          </w:p>
        </w:tc>
        <w:tc>
          <w:tcPr>
            <w:tcW w:w="31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60"/>
              <w:spacing w:after="0" w:line="202" w:lineRule="exact"/>
              <w:rPr>
                <w:sz w:val="20"/>
                <w:szCs w:val="20"/>
                <w:color w:val="auto"/>
              </w:rPr>
            </w:pPr>
            <w:r>
              <w:rPr>
                <w:rFonts w:ascii="Arial" w:cs="Arial" w:eastAsia="Arial" w:hAnsi="Arial"/>
                <w:sz w:val="18"/>
                <w:szCs w:val="18"/>
                <w:color w:val="auto"/>
              </w:rPr>
              <w:t>allowance balance for changes in</w:t>
            </w:r>
          </w:p>
        </w:tc>
        <w:tc>
          <w:tcPr>
            <w:tcW w:w="3160" w:type="dxa"/>
            <w:vAlign w:val="bottom"/>
            <w:vMerge w:val="restart"/>
          </w:tcPr>
          <w:p>
            <w:pPr>
              <w:jc w:val="right"/>
              <w:ind w:right="1310"/>
              <w:spacing w:after="0"/>
              <w:rPr>
                <w:sz w:val="20"/>
                <w:szCs w:val="20"/>
                <w:color w:val="auto"/>
              </w:rPr>
            </w:pPr>
            <w:r>
              <w:rPr>
                <w:rFonts w:ascii="Arial" w:cs="Arial" w:eastAsia="Arial" w:hAnsi="Arial"/>
                <w:sz w:val="18"/>
                <w:szCs w:val="18"/>
                <w:b w:val="1"/>
                <w:bCs w:val="1"/>
                <w:color w:val="auto"/>
              </w:rPr>
              <w:t>(2,442)</w:t>
            </w:r>
          </w:p>
        </w:tc>
        <w:tc>
          <w:tcPr>
            <w:tcW w:w="2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tcPr>
          <w:p>
            <w:pPr>
              <w:ind w:left="160"/>
              <w:spacing w:after="0" w:line="181" w:lineRule="exact"/>
              <w:rPr>
                <w:sz w:val="20"/>
                <w:szCs w:val="20"/>
                <w:color w:val="auto"/>
              </w:rPr>
            </w:pPr>
            <w:r>
              <w:rPr>
                <w:rFonts w:ascii="Arial" w:cs="Arial" w:eastAsia="Arial" w:hAnsi="Arial"/>
                <w:sz w:val="18"/>
                <w:szCs w:val="18"/>
                <w:color w:val="auto"/>
              </w:rPr>
              <w:t>circumstances</w:t>
            </w:r>
          </w:p>
        </w:tc>
        <w:tc>
          <w:tcPr>
            <w:tcW w:w="3160" w:type="dxa"/>
            <w:vAlign w:val="bottom"/>
            <w:vMerge w:val="continue"/>
          </w:tcPr>
          <w:p>
            <w:pPr>
              <w:spacing w:after="0"/>
              <w:rPr>
                <w:sz w:val="15"/>
                <w:szCs w:val="15"/>
                <w:color w:val="auto"/>
              </w:rPr>
            </w:pPr>
          </w:p>
        </w:tc>
        <w:tc>
          <w:tcPr>
            <w:tcW w:w="2200" w:type="dxa"/>
            <w:vAlign w:val="bottom"/>
          </w:tcPr>
          <w:p>
            <w:pPr>
              <w:jc w:val="right"/>
              <w:ind w:right="930"/>
              <w:spacing w:after="0" w:line="181" w:lineRule="exact"/>
              <w:rPr>
                <w:sz w:val="20"/>
                <w:szCs w:val="20"/>
                <w:color w:val="auto"/>
              </w:rPr>
            </w:pPr>
            <w:r>
              <w:rPr>
                <w:rFonts w:ascii="Arial" w:cs="Arial" w:eastAsia="Arial" w:hAnsi="Arial"/>
                <w:sz w:val="18"/>
                <w:szCs w:val="18"/>
                <w:color w:val="auto"/>
              </w:rPr>
              <w:t>22,798</w:t>
            </w:r>
          </w:p>
        </w:tc>
        <w:tc>
          <w:tcPr>
            <w:tcW w:w="16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380" w:type="dxa"/>
            <w:vAlign w:val="bottom"/>
            <w:gridSpan w:val="2"/>
          </w:tcPr>
          <w:p>
            <w:pPr>
              <w:spacing w:after="0"/>
              <w:rPr>
                <w:sz w:val="20"/>
                <w:szCs w:val="20"/>
                <w:color w:val="auto"/>
              </w:rPr>
            </w:pPr>
            <w:r>
              <w:rPr>
                <w:rFonts w:ascii="Arial" w:cs="Arial" w:eastAsia="Arial" w:hAnsi="Arial"/>
                <w:sz w:val="18"/>
                <w:szCs w:val="18"/>
                <w:color w:val="auto"/>
              </w:rPr>
              <w:t>Changes in tax status</w:t>
            </w:r>
          </w:p>
        </w:tc>
        <w:tc>
          <w:tcPr>
            <w:tcW w:w="3160" w:type="dxa"/>
            <w:vAlign w:val="bottom"/>
          </w:tcPr>
          <w:p>
            <w:pPr>
              <w:jc w:val="right"/>
              <w:ind w:right="1370"/>
              <w:spacing w:after="0"/>
              <w:rPr>
                <w:sz w:val="20"/>
                <w:szCs w:val="20"/>
                <w:color w:val="auto"/>
              </w:rPr>
            </w:pPr>
            <w:r>
              <w:rPr>
                <w:rFonts w:ascii="Arial" w:cs="Arial" w:eastAsia="Arial" w:hAnsi="Arial"/>
                <w:sz w:val="18"/>
                <w:szCs w:val="18"/>
                <w:b w:val="1"/>
                <w:bCs w:val="1"/>
                <w:color w:val="auto"/>
              </w:rPr>
              <w:t>-</w:t>
            </w:r>
          </w:p>
        </w:tc>
        <w:tc>
          <w:tcPr>
            <w:tcW w:w="2200" w:type="dxa"/>
            <w:vAlign w:val="bottom"/>
          </w:tcPr>
          <w:p>
            <w:pPr>
              <w:jc w:val="right"/>
              <w:ind w:right="870"/>
              <w:spacing w:after="0"/>
              <w:rPr>
                <w:sz w:val="20"/>
                <w:szCs w:val="20"/>
                <w:color w:val="auto"/>
              </w:rPr>
            </w:pPr>
            <w:r>
              <w:rPr>
                <w:rFonts w:ascii="Arial" w:cs="Arial" w:eastAsia="Arial" w:hAnsi="Arial"/>
                <w:sz w:val="18"/>
                <w:szCs w:val="18"/>
                <w:color w:val="auto"/>
              </w:rPr>
              <w:t>(3,344)</w:t>
            </w:r>
          </w:p>
        </w:tc>
        <w:tc>
          <w:tcPr>
            <w:tcW w:w="168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Recognition of deferred gain on</w:t>
            </w:r>
          </w:p>
        </w:tc>
        <w:tc>
          <w:tcPr>
            <w:tcW w:w="3160" w:type="dxa"/>
            <w:vAlign w:val="bottom"/>
            <w:vMerge w:val="restart"/>
          </w:tcPr>
          <w:p>
            <w:pPr>
              <w:jc w:val="right"/>
              <w:ind w:right="1370"/>
              <w:spacing w:after="0"/>
              <w:rPr>
                <w:sz w:val="20"/>
                <w:szCs w:val="20"/>
                <w:color w:val="auto"/>
              </w:rPr>
            </w:pPr>
            <w:r>
              <w:rPr>
                <w:rFonts w:ascii="Arial" w:cs="Arial" w:eastAsia="Arial" w:hAnsi="Arial"/>
                <w:sz w:val="18"/>
                <w:szCs w:val="18"/>
                <w:b w:val="1"/>
                <w:bCs w:val="1"/>
                <w:color w:val="auto"/>
              </w:rPr>
              <w:t>-</w:t>
            </w:r>
          </w:p>
        </w:tc>
        <w:tc>
          <w:tcPr>
            <w:tcW w:w="2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extinguished debt</w:t>
            </w:r>
          </w:p>
        </w:tc>
        <w:tc>
          <w:tcPr>
            <w:tcW w:w="316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jc w:val="right"/>
              <w:ind w:right="930"/>
              <w:spacing w:after="0" w:line="203"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3160" w:type="dxa"/>
            <w:vAlign w:val="bottom"/>
            <w:tcBorders>
              <w:bottom w:val="single" w:sz="8" w:color="auto"/>
            </w:tcBorders>
          </w:tcPr>
          <w:p>
            <w:pPr>
              <w:jc w:val="right"/>
              <w:ind w:right="1310"/>
              <w:spacing w:after="0" w:line="196" w:lineRule="exact"/>
              <w:rPr>
                <w:sz w:val="20"/>
                <w:szCs w:val="20"/>
                <w:color w:val="auto"/>
              </w:rPr>
            </w:pPr>
            <w:r>
              <w:rPr>
                <w:rFonts w:ascii="Arial" w:cs="Arial" w:eastAsia="Arial" w:hAnsi="Arial"/>
                <w:sz w:val="18"/>
                <w:szCs w:val="18"/>
                <w:b w:val="1"/>
                <w:bCs w:val="1"/>
                <w:color w:val="auto"/>
              </w:rPr>
              <w:t>$(18,601)</w:t>
            </w:r>
          </w:p>
        </w:tc>
        <w:tc>
          <w:tcPr>
            <w:tcW w:w="220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color w:val="auto"/>
              </w:rPr>
              <w:t>$23,871</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the U.S. federal statutory tax rate to the Company’s effective income tax rate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2012</w:t>
            </w:r>
          </w:p>
        </w:tc>
        <w:tc>
          <w:tcPr>
            <w:tcW w:w="26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rPr>
              <w:t>2011</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line="173" w:lineRule="exact"/>
              <w:rPr>
                <w:sz w:val="20"/>
                <w:szCs w:val="20"/>
                <w:color w:val="auto"/>
              </w:rPr>
            </w:pPr>
            <w:r>
              <w:rPr>
                <w:rFonts w:ascii="Arial" w:cs="Arial" w:eastAsia="Arial" w:hAnsi="Arial"/>
                <w:sz w:val="18"/>
                <w:szCs w:val="18"/>
                <w:color w:val="auto"/>
              </w:rPr>
              <w:t>U.S. federal statutory tax rate</w:t>
            </w:r>
          </w:p>
        </w:tc>
        <w:tc>
          <w:tcPr>
            <w:tcW w:w="2640" w:type="dxa"/>
            <w:vAlign w:val="bottom"/>
          </w:tcPr>
          <w:p>
            <w:pPr>
              <w:jc w:val="right"/>
              <w:ind w:right="950"/>
              <w:spacing w:after="0" w:line="173" w:lineRule="exact"/>
              <w:rPr>
                <w:sz w:val="20"/>
                <w:szCs w:val="20"/>
                <w:color w:val="auto"/>
              </w:rPr>
            </w:pPr>
            <w:r>
              <w:rPr>
                <w:rFonts w:ascii="Arial" w:cs="Arial" w:eastAsia="Arial" w:hAnsi="Arial"/>
                <w:sz w:val="18"/>
                <w:szCs w:val="18"/>
                <w:b w:val="1"/>
                <w:bCs w:val="1"/>
                <w:color w:val="auto"/>
              </w:rPr>
              <w:t>35.0%</w:t>
            </w:r>
          </w:p>
        </w:tc>
        <w:tc>
          <w:tcPr>
            <w:tcW w:w="2640" w:type="dxa"/>
            <w:vAlign w:val="bottom"/>
          </w:tcPr>
          <w:p>
            <w:pPr>
              <w:jc w:val="right"/>
              <w:ind w:right="950"/>
              <w:spacing w:after="0" w:line="173" w:lineRule="exact"/>
              <w:rPr>
                <w:sz w:val="20"/>
                <w:szCs w:val="20"/>
                <w:color w:val="auto"/>
              </w:rPr>
            </w:pPr>
            <w:r>
              <w:rPr>
                <w:rFonts w:ascii="Arial" w:cs="Arial" w:eastAsia="Arial" w:hAnsi="Arial"/>
                <w:sz w:val="18"/>
                <w:szCs w:val="18"/>
                <w:color w:val="auto"/>
              </w:rPr>
              <w:t>35.0%</w:t>
            </w:r>
          </w:p>
        </w:tc>
        <w:tc>
          <w:tcPr>
            <w:tcW w:w="1600" w:type="dxa"/>
            <w:vAlign w:val="bottom"/>
          </w:tcPr>
          <w:p>
            <w:pPr>
              <w:jc w:val="right"/>
              <w:spacing w:after="0" w:line="173"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2640" w:type="dxa"/>
            <w:vAlign w:val="bottom"/>
          </w:tcPr>
          <w:p>
            <w:pPr>
              <w:jc w:val="right"/>
              <w:ind w:right="1110"/>
              <w:spacing w:after="0" w:line="202" w:lineRule="exact"/>
              <w:rPr>
                <w:sz w:val="20"/>
                <w:szCs w:val="20"/>
                <w:color w:val="auto"/>
              </w:rPr>
            </w:pPr>
            <w:r>
              <w:rPr>
                <w:rFonts w:ascii="Arial" w:cs="Arial" w:eastAsia="Arial" w:hAnsi="Arial"/>
                <w:sz w:val="18"/>
                <w:szCs w:val="18"/>
                <w:b w:val="1"/>
                <w:bCs w:val="1"/>
                <w:color w:val="auto"/>
              </w:rPr>
              <w:t>3.5</w:t>
            </w:r>
          </w:p>
        </w:tc>
        <w:tc>
          <w:tcPr>
            <w:tcW w:w="2640" w:type="dxa"/>
            <w:vAlign w:val="bottom"/>
          </w:tcPr>
          <w:p>
            <w:pPr>
              <w:jc w:val="right"/>
              <w:ind w:right="1110"/>
              <w:spacing w:after="0" w:line="202" w:lineRule="exact"/>
              <w:rPr>
                <w:sz w:val="20"/>
                <w:szCs w:val="20"/>
                <w:color w:val="auto"/>
              </w:rPr>
            </w:pPr>
            <w:r>
              <w:rPr>
                <w:rFonts w:ascii="Arial" w:cs="Arial" w:eastAsia="Arial" w:hAnsi="Arial"/>
                <w:sz w:val="18"/>
                <w:szCs w:val="18"/>
                <w:color w:val="auto"/>
              </w:rPr>
              <w:t>0.3</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Non-U.S. local income taxes</w:t>
            </w:r>
          </w:p>
        </w:tc>
        <w:tc>
          <w:tcPr>
            <w:tcW w:w="2640" w:type="dxa"/>
            <w:vAlign w:val="bottom"/>
          </w:tcPr>
          <w:p>
            <w:pPr>
              <w:jc w:val="right"/>
              <w:ind w:right="1110"/>
              <w:spacing w:after="0" w:line="202" w:lineRule="exact"/>
              <w:rPr>
                <w:sz w:val="20"/>
                <w:szCs w:val="20"/>
                <w:color w:val="auto"/>
              </w:rPr>
            </w:pPr>
            <w:r>
              <w:rPr>
                <w:rFonts w:ascii="Arial" w:cs="Arial" w:eastAsia="Arial" w:hAnsi="Arial"/>
                <w:sz w:val="18"/>
                <w:szCs w:val="18"/>
                <w:b w:val="1"/>
                <w:bCs w:val="1"/>
                <w:color w:val="auto"/>
              </w:rPr>
              <w:t>0.5</w:t>
            </w:r>
          </w:p>
        </w:tc>
        <w:tc>
          <w:tcPr>
            <w:tcW w:w="2640" w:type="dxa"/>
            <w:vAlign w:val="bottom"/>
          </w:tcPr>
          <w:p>
            <w:pPr>
              <w:jc w:val="right"/>
              <w:ind w:right="1110"/>
              <w:spacing w:after="0" w:line="202" w:lineRule="exact"/>
              <w:rPr>
                <w:sz w:val="20"/>
                <w:szCs w:val="20"/>
                <w:color w:val="auto"/>
              </w:rPr>
            </w:pPr>
            <w:r>
              <w:rPr>
                <w:rFonts w:ascii="Arial" w:cs="Arial" w:eastAsia="Arial" w:hAnsi="Arial"/>
                <w:sz w:val="18"/>
                <w:szCs w:val="18"/>
                <w:color w:val="auto"/>
              </w:rPr>
              <w:t>0.4</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5"/>
        </w:trPr>
        <w:tc>
          <w:tcPr>
            <w:tcW w:w="4540" w:type="dxa"/>
            <w:vAlign w:val="bottom"/>
            <w:gridSpan w:val="2"/>
          </w:tcPr>
          <w:p>
            <w:pPr>
              <w:spacing w:after="0"/>
              <w:rPr>
                <w:sz w:val="20"/>
                <w:szCs w:val="20"/>
                <w:color w:val="auto"/>
              </w:rPr>
            </w:pPr>
            <w:r>
              <w:rPr>
                <w:rFonts w:ascii="Arial" w:cs="Arial" w:eastAsia="Arial" w:hAnsi="Arial"/>
                <w:sz w:val="18"/>
                <w:szCs w:val="18"/>
                <w:color w:val="auto"/>
              </w:rPr>
              <w:t>Foreign rate differential</w:t>
            </w:r>
          </w:p>
        </w:tc>
        <w:tc>
          <w:tcPr>
            <w:tcW w:w="2640" w:type="dxa"/>
            <w:vAlign w:val="bottom"/>
          </w:tcPr>
          <w:p>
            <w:pPr>
              <w:jc w:val="right"/>
              <w:ind w:right="1050"/>
              <w:spacing w:after="0"/>
              <w:rPr>
                <w:sz w:val="20"/>
                <w:szCs w:val="20"/>
                <w:color w:val="auto"/>
              </w:rPr>
            </w:pPr>
            <w:r>
              <w:rPr>
                <w:rFonts w:ascii="Arial" w:cs="Arial" w:eastAsia="Arial" w:hAnsi="Arial"/>
                <w:sz w:val="18"/>
                <w:szCs w:val="18"/>
                <w:b w:val="1"/>
                <w:bCs w:val="1"/>
                <w:color w:val="auto"/>
              </w:rPr>
              <w:t>(1.7)</w:t>
            </w:r>
          </w:p>
        </w:tc>
        <w:tc>
          <w:tcPr>
            <w:tcW w:w="2640" w:type="dxa"/>
            <w:vAlign w:val="bottom"/>
          </w:tcPr>
          <w:p>
            <w:pPr>
              <w:jc w:val="right"/>
              <w:ind w:right="1050"/>
              <w:spacing w:after="0"/>
              <w:rPr>
                <w:sz w:val="20"/>
                <w:szCs w:val="20"/>
                <w:color w:val="auto"/>
              </w:rPr>
            </w:pPr>
            <w:r>
              <w:rPr>
                <w:rFonts w:ascii="Arial" w:cs="Arial" w:eastAsia="Arial" w:hAnsi="Arial"/>
                <w:sz w:val="18"/>
                <w:szCs w:val="18"/>
                <w:color w:val="auto"/>
              </w:rPr>
              <w:t>(14.3)</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U.S. tax on non-U.S. earnings and foreign</w:t>
            </w:r>
          </w:p>
        </w:tc>
        <w:tc>
          <w:tcPr>
            <w:tcW w:w="2640" w:type="dxa"/>
            <w:vAlign w:val="bottom"/>
            <w:vMerge w:val="restart"/>
          </w:tcPr>
          <w:p>
            <w:pPr>
              <w:jc w:val="right"/>
              <w:ind w:right="1050"/>
              <w:spacing w:after="0"/>
              <w:rPr>
                <w:sz w:val="20"/>
                <w:szCs w:val="20"/>
                <w:color w:val="auto"/>
              </w:rPr>
            </w:pPr>
            <w:r>
              <w:rPr>
                <w:rFonts w:ascii="Arial" w:cs="Arial" w:eastAsia="Arial" w:hAnsi="Arial"/>
                <w:sz w:val="18"/>
                <w:szCs w:val="18"/>
                <w:b w:val="1"/>
                <w:bCs w:val="1"/>
                <w:color w:val="auto"/>
              </w:rPr>
              <w:t>(1.2)</w:t>
            </w:r>
          </w:p>
        </w:tc>
        <w:tc>
          <w:tcPr>
            <w:tcW w:w="2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withholdings</w:t>
            </w:r>
          </w:p>
        </w:tc>
        <w:tc>
          <w:tcPr>
            <w:tcW w:w="2640" w:type="dxa"/>
            <w:vAlign w:val="bottom"/>
            <w:vMerge w:val="continue"/>
          </w:tcPr>
          <w:p>
            <w:pPr>
              <w:spacing w:after="0"/>
              <w:rPr>
                <w:sz w:val="17"/>
                <w:szCs w:val="17"/>
                <w:color w:val="auto"/>
              </w:rPr>
            </w:pPr>
          </w:p>
        </w:tc>
        <w:tc>
          <w:tcPr>
            <w:tcW w:w="2640" w:type="dxa"/>
            <w:vAlign w:val="bottom"/>
          </w:tcPr>
          <w:p>
            <w:pPr>
              <w:jc w:val="right"/>
              <w:ind w:right="1110"/>
              <w:spacing w:after="0" w:line="202" w:lineRule="exact"/>
              <w:rPr>
                <w:sz w:val="20"/>
                <w:szCs w:val="20"/>
                <w:color w:val="auto"/>
              </w:rPr>
            </w:pPr>
            <w:r>
              <w:rPr>
                <w:rFonts w:ascii="Arial" w:cs="Arial" w:eastAsia="Arial" w:hAnsi="Arial"/>
                <w:sz w:val="18"/>
                <w:szCs w:val="18"/>
                <w:color w:val="auto"/>
              </w:rPr>
              <w:t>12.8</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for/resolution of beginning of year</w:t>
            </w:r>
          </w:p>
        </w:tc>
        <w:tc>
          <w:tcPr>
            <w:tcW w:w="2640" w:type="dxa"/>
            <w:vAlign w:val="bottom"/>
            <w:vMerge w:val="restart"/>
          </w:tcPr>
          <w:p>
            <w:pPr>
              <w:jc w:val="right"/>
              <w:ind w:right="1110"/>
              <w:spacing w:after="0"/>
              <w:rPr>
                <w:sz w:val="20"/>
                <w:szCs w:val="20"/>
                <w:color w:val="auto"/>
              </w:rPr>
            </w:pPr>
            <w:r>
              <w:rPr>
                <w:rFonts w:ascii="Arial" w:cs="Arial" w:eastAsia="Arial" w:hAnsi="Arial"/>
                <w:sz w:val="18"/>
                <w:szCs w:val="18"/>
                <w:b w:val="1"/>
                <w:bCs w:val="1"/>
                <w:color w:val="auto"/>
              </w:rPr>
              <w:t>4.0</w:t>
            </w:r>
          </w:p>
        </w:tc>
        <w:tc>
          <w:tcPr>
            <w:tcW w:w="2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40" w:type="dxa"/>
            <w:vAlign w:val="bottom"/>
            <w:gridSpan w:val="2"/>
          </w:tcPr>
          <w:p>
            <w:pPr>
              <w:spacing w:after="0" w:line="181" w:lineRule="exact"/>
              <w:rPr>
                <w:sz w:val="20"/>
                <w:szCs w:val="20"/>
                <w:color w:val="auto"/>
              </w:rPr>
            </w:pPr>
            <w:r>
              <w:rPr>
                <w:rFonts w:ascii="Arial" w:cs="Arial" w:eastAsia="Arial" w:hAnsi="Arial"/>
                <w:sz w:val="18"/>
                <w:szCs w:val="18"/>
                <w:color w:val="auto"/>
              </w:rPr>
              <w:t>tax contingencies</w:t>
            </w:r>
          </w:p>
        </w:tc>
        <w:tc>
          <w:tcPr>
            <w:tcW w:w="2640" w:type="dxa"/>
            <w:vAlign w:val="bottom"/>
            <w:vMerge w:val="continue"/>
          </w:tcPr>
          <w:p>
            <w:pPr>
              <w:spacing w:after="0"/>
              <w:rPr>
                <w:sz w:val="15"/>
                <w:szCs w:val="15"/>
                <w:color w:val="auto"/>
              </w:rPr>
            </w:pPr>
          </w:p>
        </w:tc>
        <w:tc>
          <w:tcPr>
            <w:tcW w:w="2640" w:type="dxa"/>
            <w:vAlign w:val="bottom"/>
          </w:tcPr>
          <w:p>
            <w:pPr>
              <w:jc w:val="right"/>
              <w:ind w:right="1110"/>
              <w:spacing w:after="0" w:line="181" w:lineRule="exact"/>
              <w:rPr>
                <w:sz w:val="20"/>
                <w:szCs w:val="20"/>
                <w:color w:val="auto"/>
              </w:rPr>
            </w:pPr>
            <w:r>
              <w:rPr>
                <w:rFonts w:ascii="Arial" w:cs="Arial" w:eastAsia="Arial" w:hAnsi="Arial"/>
                <w:sz w:val="18"/>
                <w:szCs w:val="18"/>
                <w:color w:val="auto"/>
              </w:rPr>
              <w:t>0.5</w:t>
            </w:r>
          </w:p>
        </w:tc>
        <w:tc>
          <w:tcPr>
            <w:tcW w:w="1600" w:type="dxa"/>
            <w:vAlign w:val="bottom"/>
          </w:tcPr>
          <w:p>
            <w:pPr>
              <w:jc w:val="right"/>
              <w:ind w:right="70"/>
              <w:spacing w:after="0" w:line="181"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Net Change in valuation allowances</w:t>
            </w:r>
          </w:p>
        </w:tc>
        <w:tc>
          <w:tcPr>
            <w:tcW w:w="2640" w:type="dxa"/>
            <w:vAlign w:val="bottom"/>
          </w:tcPr>
          <w:p>
            <w:pPr>
              <w:jc w:val="right"/>
              <w:ind w:right="1050"/>
              <w:spacing w:after="0" w:line="202" w:lineRule="exact"/>
              <w:rPr>
                <w:sz w:val="20"/>
                <w:szCs w:val="20"/>
                <w:color w:val="auto"/>
              </w:rPr>
            </w:pPr>
            <w:r>
              <w:rPr>
                <w:rFonts w:ascii="Arial" w:cs="Arial" w:eastAsia="Arial" w:hAnsi="Arial"/>
                <w:sz w:val="18"/>
                <w:szCs w:val="18"/>
                <w:b w:val="1"/>
                <w:bCs w:val="1"/>
                <w:color w:val="auto"/>
              </w:rPr>
              <w:t>(3.7)</w:t>
            </w:r>
          </w:p>
        </w:tc>
        <w:tc>
          <w:tcPr>
            <w:tcW w:w="2640" w:type="dxa"/>
            <w:vAlign w:val="bottom"/>
          </w:tcPr>
          <w:p>
            <w:pPr>
              <w:jc w:val="right"/>
              <w:ind w:right="1110"/>
              <w:spacing w:after="0" w:line="202" w:lineRule="exact"/>
              <w:rPr>
                <w:sz w:val="20"/>
                <w:szCs w:val="20"/>
                <w:color w:val="auto"/>
              </w:rPr>
            </w:pPr>
            <w:r>
              <w:rPr>
                <w:rFonts w:ascii="Arial" w:cs="Arial" w:eastAsia="Arial" w:hAnsi="Arial"/>
                <w:sz w:val="18"/>
                <w:szCs w:val="18"/>
                <w:color w:val="auto"/>
              </w:rPr>
              <w:t>42.1</w:t>
            </w:r>
          </w:p>
        </w:tc>
        <w:tc>
          <w:tcPr>
            <w:tcW w:w="16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Change in tax status</w:t>
            </w:r>
          </w:p>
        </w:tc>
        <w:tc>
          <w:tcPr>
            <w:tcW w:w="2640" w:type="dxa"/>
            <w:vAlign w:val="bottom"/>
          </w:tcPr>
          <w:p>
            <w:pPr>
              <w:jc w:val="right"/>
              <w:ind w:right="1110"/>
              <w:spacing w:after="0" w:line="202" w:lineRule="exact"/>
              <w:rPr>
                <w:sz w:val="20"/>
                <w:szCs w:val="20"/>
                <w:color w:val="auto"/>
              </w:rPr>
            </w:pPr>
            <w:r>
              <w:rPr>
                <w:rFonts w:ascii="Arial" w:cs="Arial" w:eastAsia="Arial" w:hAnsi="Arial"/>
                <w:sz w:val="18"/>
                <w:szCs w:val="18"/>
                <w:b w:val="1"/>
                <w:bCs w:val="1"/>
                <w:color w:val="auto"/>
              </w:rPr>
              <w:t>-</w:t>
            </w:r>
          </w:p>
        </w:tc>
        <w:tc>
          <w:tcPr>
            <w:tcW w:w="2640" w:type="dxa"/>
            <w:vAlign w:val="bottom"/>
          </w:tcPr>
          <w:p>
            <w:pPr>
              <w:jc w:val="right"/>
              <w:ind w:right="1050"/>
              <w:spacing w:after="0" w:line="202" w:lineRule="exact"/>
              <w:rPr>
                <w:sz w:val="20"/>
                <w:szCs w:val="20"/>
                <w:color w:val="auto"/>
              </w:rPr>
            </w:pPr>
            <w:r>
              <w:rPr>
                <w:rFonts w:ascii="Arial" w:cs="Arial" w:eastAsia="Arial" w:hAnsi="Arial"/>
                <w:sz w:val="18"/>
                <w:szCs w:val="18"/>
                <w:color w:val="auto"/>
              </w:rPr>
              <w:t>(6.2)</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5"/>
        </w:trPr>
        <w:tc>
          <w:tcPr>
            <w:tcW w:w="4540" w:type="dxa"/>
            <w:vAlign w:val="bottom"/>
            <w:gridSpan w:val="2"/>
          </w:tcPr>
          <w:p>
            <w:pPr>
              <w:spacing w:after="0"/>
              <w:rPr>
                <w:sz w:val="20"/>
                <w:szCs w:val="20"/>
                <w:color w:val="auto"/>
              </w:rPr>
            </w:pPr>
            <w:r>
              <w:rPr>
                <w:rFonts w:ascii="Arial" w:cs="Arial" w:eastAsia="Arial" w:hAnsi="Arial"/>
                <w:sz w:val="18"/>
                <w:szCs w:val="18"/>
                <w:color w:val="auto"/>
              </w:rPr>
              <w:t>Adjustment to correct prior year error</w:t>
            </w:r>
          </w:p>
        </w:tc>
        <w:tc>
          <w:tcPr>
            <w:tcW w:w="2640" w:type="dxa"/>
            <w:vAlign w:val="bottom"/>
          </w:tcPr>
          <w:p>
            <w:pPr>
              <w:jc w:val="right"/>
              <w:ind w:right="1110"/>
              <w:spacing w:after="0"/>
              <w:rPr>
                <w:sz w:val="20"/>
                <w:szCs w:val="20"/>
                <w:color w:val="auto"/>
              </w:rPr>
            </w:pPr>
            <w:r>
              <w:rPr>
                <w:rFonts w:ascii="Arial" w:cs="Arial" w:eastAsia="Arial" w:hAnsi="Arial"/>
                <w:sz w:val="18"/>
                <w:szCs w:val="18"/>
                <w:b w:val="1"/>
                <w:bCs w:val="1"/>
                <w:color w:val="auto"/>
              </w:rPr>
              <w:t>-</w:t>
            </w:r>
          </w:p>
        </w:tc>
        <w:tc>
          <w:tcPr>
            <w:tcW w:w="2640" w:type="dxa"/>
            <w:vAlign w:val="bottom"/>
          </w:tcPr>
          <w:p>
            <w:pPr>
              <w:jc w:val="right"/>
              <w:ind w:right="1050"/>
              <w:spacing w:after="0"/>
              <w:rPr>
                <w:sz w:val="20"/>
                <w:szCs w:val="20"/>
                <w:color w:val="auto"/>
              </w:rPr>
            </w:pPr>
            <w:r>
              <w:rPr>
                <w:rFonts w:ascii="Arial" w:cs="Arial" w:eastAsia="Arial" w:hAnsi="Arial"/>
                <w:sz w:val="18"/>
                <w:szCs w:val="18"/>
                <w:color w:val="auto"/>
              </w:rPr>
              <w:t>(6.4)</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4540" w:type="dxa"/>
            <w:vAlign w:val="bottom"/>
            <w:gridSpan w:val="2"/>
          </w:tcPr>
          <w:p>
            <w:pPr>
              <w:spacing w:after="0" w:line="181" w:lineRule="exact"/>
              <w:rPr>
                <w:sz w:val="20"/>
                <w:szCs w:val="20"/>
                <w:color w:val="auto"/>
              </w:rPr>
            </w:pPr>
            <w:r>
              <w:rPr>
                <w:rFonts w:ascii="Arial" w:cs="Arial" w:eastAsia="Arial" w:hAnsi="Arial"/>
                <w:sz w:val="18"/>
                <w:szCs w:val="18"/>
                <w:color w:val="auto"/>
              </w:rPr>
              <w:t>Officers life insurance</w:t>
            </w:r>
          </w:p>
        </w:tc>
        <w:tc>
          <w:tcPr>
            <w:tcW w:w="2640" w:type="dxa"/>
            <w:vAlign w:val="bottom"/>
          </w:tcPr>
          <w:p>
            <w:pPr>
              <w:jc w:val="right"/>
              <w:ind w:right="1110"/>
              <w:spacing w:after="0" w:line="181" w:lineRule="exact"/>
              <w:rPr>
                <w:sz w:val="20"/>
                <w:szCs w:val="20"/>
                <w:color w:val="auto"/>
              </w:rPr>
            </w:pPr>
            <w:r>
              <w:rPr>
                <w:rFonts w:ascii="Arial" w:cs="Arial" w:eastAsia="Arial" w:hAnsi="Arial"/>
                <w:sz w:val="18"/>
                <w:szCs w:val="18"/>
                <w:color w:val="auto"/>
              </w:rPr>
              <w:t>-</w:t>
            </w:r>
          </w:p>
        </w:tc>
        <w:tc>
          <w:tcPr>
            <w:tcW w:w="2640" w:type="dxa"/>
            <w:vAlign w:val="bottom"/>
          </w:tcPr>
          <w:p>
            <w:pPr>
              <w:jc w:val="right"/>
              <w:ind w:right="1110"/>
              <w:spacing w:after="0" w:line="181"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70"/>
              <w:spacing w:after="0" w:line="181"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3.9</w:t>
            </w:r>
          </w:p>
        </w:tc>
        <w:tc>
          <w:tcPr>
            <w:tcW w:w="26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(3.7)</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Effective income tax rate</w:t>
            </w:r>
          </w:p>
        </w:tc>
        <w:tc>
          <w:tcPr>
            <w:tcW w:w="264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b w:val="1"/>
                <w:bCs w:val="1"/>
                <w:color w:val="auto"/>
              </w:rPr>
              <w:t>40.3%</w:t>
            </w:r>
          </w:p>
        </w:tc>
        <w:tc>
          <w:tcPr>
            <w:tcW w:w="2640" w:type="dxa"/>
            <w:vAlign w:val="bottom"/>
            <w:tcBorders>
              <w:bottom w:val="single" w:sz="8" w:color="auto"/>
            </w:tcBorders>
          </w:tcPr>
          <w:p>
            <w:pPr>
              <w:jc w:val="right"/>
              <w:ind w:right="950"/>
              <w:spacing w:after="0" w:line="196" w:lineRule="exact"/>
              <w:rPr>
                <w:sz w:val="20"/>
                <w:szCs w:val="20"/>
                <w:color w:val="auto"/>
              </w:rPr>
            </w:pPr>
            <w:r>
              <w:rPr>
                <w:rFonts w:ascii="Arial" w:cs="Arial" w:eastAsia="Arial" w:hAnsi="Arial"/>
                <w:sz w:val="18"/>
                <w:szCs w:val="18"/>
                <w:color w:val="auto"/>
              </w:rPr>
              <w:t>60.5%</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The Company has operations which constitute a taxable presence in 16 countries outside of the United States. All of these countries except one had income tax rates that were lower than the United States federal tax rate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67" w:name="page68"/>
    <w:bookmarkEnd w:id="67"/>
    <w:p>
      <w:pPr>
        <w:ind w:right="280"/>
        <w:spacing w:after="0" w:line="239" w:lineRule="auto"/>
        <w:rPr>
          <w:sz w:val="20"/>
          <w:szCs w:val="20"/>
          <w:color w:val="auto"/>
        </w:rPr>
      </w:pPr>
      <w:r>
        <w:rPr>
          <w:rFonts w:ascii="Arial" w:cs="Arial" w:eastAsia="Arial" w:hAnsi="Arial"/>
          <w:sz w:val="18"/>
          <w:szCs w:val="18"/>
          <w:color w:val="auto"/>
        </w:rPr>
        <w:t>fluctuations in the normal course of business, as well as the extent and location of other income and expense items, such as pension settlement and restructuring charges. The foreign income tax rate differential that is included above in the reconciliation of the effective tax rate includes the difference between tax expense calculated at the U.S. federal statutory tax rate of 35% and the expense accrued based on lower statutory tax rates that apply in the jurisdictions where the income or loss is earned.</w:t>
      </w:r>
    </w:p>
    <w:p>
      <w:pPr>
        <w:spacing w:after="0" w:line="148"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During the periods reported, income outside of the U.S. was heavily concentrated within Switzerland (8% tax rate) and Brazil (25% tax rate) and as a result, the foreign income tax rate differential was primarily attributable to these tax rate differences. Also, in 2012 the income tax rate differential was significantly reduced by the pension settlement and restructuring charges outside of the U.S. that resulted in a lower tax rate benefit, as compared to the benefit calculated using the higher U.S. tax rate.</w:t>
      </w:r>
    </w:p>
    <w:p>
      <w:pPr>
        <w:spacing w:after="0" w:line="148" w:lineRule="exact"/>
        <w:rPr>
          <w:sz w:val="20"/>
          <w:szCs w:val="20"/>
          <w:color w:val="auto"/>
        </w:rPr>
      </w:pPr>
    </w:p>
    <w:p>
      <w:pPr>
        <w:jc w:val="both"/>
        <w:ind w:right="80" w:firstLine="360"/>
        <w:spacing w:after="0"/>
        <w:rPr>
          <w:sz w:val="20"/>
          <w:szCs w:val="20"/>
          <w:color w:val="auto"/>
        </w:rPr>
      </w:pPr>
      <w:r>
        <w:rPr>
          <w:rFonts w:ascii="Arial" w:cs="Arial" w:eastAsia="Arial" w:hAnsi="Arial"/>
          <w:sz w:val="18"/>
          <w:szCs w:val="18"/>
          <w:color w:val="auto"/>
        </w:rPr>
        <w:t>Deferred income taxes reflect the net tax effects of temporary differences between the carrying amounts of certain assets and liabilities for financial reporting and the amounts used for income tax expense purposes. Significant components of the Company’s deferred tax assets and liabilities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240" w:type="dxa"/>
            <w:vAlign w:val="bottom"/>
            <w:tcBorders>
              <w:top w:val="single" w:sz="8" w:color="auto"/>
              <w:bottom w:val="single" w:sz="8" w:color="auto"/>
            </w:tcBorders>
          </w:tcPr>
          <w:p>
            <w:pPr>
              <w:spacing w:after="0"/>
              <w:rPr>
                <w:sz w:val="15"/>
                <w:szCs w:val="15"/>
                <w:color w:val="auto"/>
              </w:rPr>
            </w:pPr>
          </w:p>
        </w:tc>
        <w:tc>
          <w:tcPr>
            <w:tcW w:w="242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U.S.</w:t>
            </w:r>
          </w:p>
        </w:tc>
        <w:tc>
          <w:tcPr>
            <w:tcW w:w="8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1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Pr>
          <w:p>
            <w:pPr>
              <w:jc w:val="right"/>
              <w:ind w:right="811"/>
              <w:spacing w:after="0"/>
              <w:rPr>
                <w:sz w:val="20"/>
                <w:szCs w:val="20"/>
                <w:color w:val="auto"/>
              </w:rPr>
            </w:pPr>
            <w:r>
              <w:rPr>
                <w:rFonts w:ascii="Arial" w:cs="Arial" w:eastAsia="Arial" w:hAnsi="Arial"/>
                <w:sz w:val="14"/>
                <w:szCs w:val="14"/>
                <w:b w:val="1"/>
                <w:bCs w:val="1"/>
                <w:color w:val="auto"/>
              </w:rPr>
              <w:t>2012</w:t>
            </w:r>
          </w:p>
        </w:tc>
        <w:tc>
          <w:tcPr>
            <w:tcW w:w="1760" w:type="dxa"/>
            <w:vAlign w:val="bottom"/>
          </w:tcPr>
          <w:p>
            <w:pPr>
              <w:jc w:val="right"/>
              <w:ind w:right="831"/>
              <w:spacing w:after="0"/>
              <w:rPr>
                <w:sz w:val="20"/>
                <w:szCs w:val="20"/>
                <w:color w:val="auto"/>
              </w:rPr>
            </w:pPr>
            <w:r>
              <w:rPr>
                <w:rFonts w:ascii="Arial" w:cs="Arial" w:eastAsia="Arial" w:hAnsi="Arial"/>
                <w:sz w:val="14"/>
                <w:szCs w:val="14"/>
                <w:color w:val="auto"/>
              </w:rPr>
              <w:t>2011</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260" w:type="dxa"/>
            <w:vAlign w:val="bottom"/>
            <w:tcBorders>
              <w:bottom w:val="single" w:sz="8" w:color="auto"/>
            </w:tcBorders>
            <w:gridSpan w:val="2"/>
            <w:vMerge w:val="continue"/>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60" w:type="dxa"/>
            <w:vAlign w:val="bottom"/>
            <w:gridSpan w:val="2"/>
          </w:tcPr>
          <w:p>
            <w:pPr>
              <w:spacing w:after="0" w:line="195" w:lineRule="exact"/>
              <w:rPr>
                <w:sz w:val="20"/>
                <w:szCs w:val="20"/>
                <w:color w:val="auto"/>
              </w:rPr>
            </w:pPr>
            <w:r>
              <w:rPr>
                <w:rFonts w:ascii="Arial" w:cs="Arial" w:eastAsia="Arial" w:hAnsi="Arial"/>
                <w:sz w:val="18"/>
                <w:szCs w:val="18"/>
                <w:color w:val="auto"/>
              </w:rPr>
              <w:t>Current deferred tax assets:</w:t>
            </w:r>
          </w:p>
        </w:tc>
        <w:tc>
          <w:tcPr>
            <w:tcW w:w="242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$1,733</w:t>
            </w:r>
          </w:p>
        </w:tc>
        <w:tc>
          <w:tcPr>
            <w:tcW w:w="1760" w:type="dxa"/>
            <w:vAlign w:val="bottom"/>
          </w:tcPr>
          <w:p>
            <w:pPr>
              <w:spacing w:after="0"/>
              <w:rPr>
                <w:sz w:val="16"/>
                <w:szCs w:val="16"/>
                <w:color w:val="auto"/>
              </w:rPr>
            </w:pPr>
          </w:p>
        </w:tc>
        <w:tc>
          <w:tcPr>
            <w:tcW w:w="1620" w:type="dxa"/>
            <w:vAlign w:val="bottom"/>
            <w:gridSpan w:val="2"/>
            <w:vMerge w:val="restart"/>
          </w:tcPr>
          <w:p>
            <w:pPr>
              <w:jc w:val="right"/>
              <w:ind w:right="350"/>
              <w:spacing w:after="0"/>
              <w:rPr>
                <w:sz w:val="20"/>
                <w:szCs w:val="20"/>
                <w:color w:val="auto"/>
              </w:rPr>
            </w:pPr>
            <w:r>
              <w:rPr>
                <w:rFonts w:ascii="Arial" w:cs="Arial" w:eastAsia="Arial" w:hAnsi="Arial"/>
                <w:sz w:val="18"/>
                <w:szCs w:val="18"/>
                <w:b w:val="1"/>
                <w:bCs w:val="1"/>
                <w:color w:val="auto"/>
              </w:rPr>
              <w:t>$2,437</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ind w:left="160"/>
              <w:spacing w:after="0" w:line="181" w:lineRule="exact"/>
              <w:rPr>
                <w:sz w:val="20"/>
                <w:szCs w:val="20"/>
                <w:color w:val="auto"/>
              </w:rPr>
            </w:pPr>
            <w:r>
              <w:rPr>
                <w:rFonts w:ascii="Arial" w:cs="Arial" w:eastAsia="Arial" w:hAnsi="Arial"/>
                <w:sz w:val="18"/>
                <w:szCs w:val="18"/>
                <w:color w:val="auto"/>
              </w:rPr>
              <w:t>Accounts receivable</w:t>
            </w:r>
          </w:p>
        </w:tc>
        <w:tc>
          <w:tcPr>
            <w:tcW w:w="2420" w:type="dxa"/>
            <w:vAlign w:val="bottom"/>
            <w:vMerge w:val="continue"/>
          </w:tcPr>
          <w:p>
            <w:pPr>
              <w:spacing w:after="0"/>
              <w:rPr>
                <w:sz w:val="15"/>
                <w:szCs w:val="15"/>
                <w:color w:val="auto"/>
              </w:rPr>
            </w:pPr>
          </w:p>
        </w:tc>
        <w:tc>
          <w:tcPr>
            <w:tcW w:w="176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$1,713</w:t>
            </w:r>
          </w:p>
        </w:tc>
        <w:tc>
          <w:tcPr>
            <w:tcW w:w="1620" w:type="dxa"/>
            <w:vAlign w:val="bottom"/>
            <w:gridSpan w:val="2"/>
            <w:vMerge w:val="continue"/>
          </w:tcPr>
          <w:p>
            <w:pPr>
              <w:spacing w:after="0"/>
              <w:rPr>
                <w:sz w:val="15"/>
                <w:szCs w:val="15"/>
                <w:color w:val="auto"/>
              </w:rPr>
            </w:pPr>
          </w:p>
        </w:tc>
        <w:tc>
          <w:tcPr>
            <w:tcW w:w="1360" w:type="dxa"/>
            <w:vAlign w:val="bottom"/>
            <w:gridSpan w:val="2"/>
          </w:tcPr>
          <w:p>
            <w:pPr>
              <w:jc w:val="right"/>
              <w:ind w:right="10"/>
              <w:spacing w:after="0" w:line="181" w:lineRule="exact"/>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1,589</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3,049</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2,052</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Tax credit carryforwards</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3,000</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7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3,413</w:t>
            </w:r>
          </w:p>
        </w:tc>
        <w:tc>
          <w:tcPr>
            <w:tcW w:w="17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3,815</w:t>
            </w:r>
          </w:p>
        </w:tc>
        <w:tc>
          <w:tcPr>
            <w:tcW w:w="16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6,370</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auto"/>
            </w:tcBorders>
          </w:tcPr>
          <w:p>
            <w:pPr>
              <w:ind w:left="320"/>
              <w:spacing w:after="0" w:line="196" w:lineRule="exact"/>
              <w:rPr>
                <w:sz w:val="20"/>
                <w:szCs w:val="20"/>
                <w:color w:val="auto"/>
              </w:rPr>
            </w:pPr>
            <w:r>
              <w:rPr>
                <w:rFonts w:ascii="Arial" w:cs="Arial" w:eastAsia="Arial" w:hAnsi="Arial"/>
                <w:sz w:val="18"/>
                <w:szCs w:val="18"/>
                <w:color w:val="auto"/>
              </w:rPr>
              <w:t>Total current deferred tax assets</w:t>
            </w:r>
          </w:p>
        </w:tc>
        <w:tc>
          <w:tcPr>
            <w:tcW w:w="2420" w:type="dxa"/>
            <w:vAlign w:val="bottom"/>
            <w:tcBorders>
              <w:bottom w:val="single" w:sz="8" w:color="auto"/>
            </w:tcBorders>
          </w:tcPr>
          <w:p>
            <w:pPr>
              <w:jc w:val="right"/>
              <w:ind w:right="391"/>
              <w:spacing w:after="0" w:line="196" w:lineRule="exact"/>
              <w:rPr>
                <w:sz w:val="20"/>
                <w:szCs w:val="20"/>
                <w:color w:val="auto"/>
              </w:rPr>
            </w:pPr>
            <w:r>
              <w:rPr>
                <w:rFonts w:ascii="Arial" w:cs="Arial" w:eastAsia="Arial" w:hAnsi="Arial"/>
                <w:sz w:val="18"/>
                <w:szCs w:val="18"/>
                <w:b w:val="1"/>
                <w:bCs w:val="1"/>
                <w:color w:val="auto"/>
              </w:rPr>
              <w:t>9,735</w:t>
            </w:r>
          </w:p>
        </w:tc>
        <w:tc>
          <w:tcPr>
            <w:tcW w:w="1760" w:type="dxa"/>
            <w:vAlign w:val="bottom"/>
            <w:tcBorders>
              <w:bottom w:val="single" w:sz="8" w:color="auto"/>
            </w:tcBorders>
          </w:tcPr>
          <w:p>
            <w:pPr>
              <w:jc w:val="right"/>
              <w:ind w:right="431"/>
              <w:spacing w:after="0" w:line="196" w:lineRule="exact"/>
              <w:rPr>
                <w:sz w:val="20"/>
                <w:szCs w:val="20"/>
                <w:color w:val="auto"/>
              </w:rPr>
            </w:pPr>
            <w:r>
              <w:rPr>
                <w:rFonts w:ascii="Arial" w:cs="Arial" w:eastAsia="Arial" w:hAnsi="Arial"/>
                <w:sz w:val="18"/>
                <w:szCs w:val="18"/>
                <w:color w:val="auto"/>
              </w:rPr>
              <w:t>8,577</w:t>
            </w:r>
          </w:p>
        </w:tc>
        <w:tc>
          <w:tcPr>
            <w:tcW w:w="1620" w:type="dxa"/>
            <w:vAlign w:val="bottom"/>
            <w:tcBorders>
              <w:bottom w:val="single" w:sz="8" w:color="auto"/>
            </w:tcBorders>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10,859</w:t>
            </w:r>
          </w:p>
        </w:tc>
        <w:tc>
          <w:tcPr>
            <w:tcW w:w="13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398"/>
        </w:trPr>
        <w:tc>
          <w:tcPr>
            <w:tcW w:w="4260" w:type="dxa"/>
            <w:vAlign w:val="bottom"/>
            <w:gridSpan w:val="2"/>
          </w:tcPr>
          <w:p>
            <w:pPr>
              <w:spacing w:after="0"/>
              <w:rPr>
                <w:sz w:val="20"/>
                <w:szCs w:val="20"/>
                <w:color w:val="auto"/>
              </w:rPr>
            </w:pPr>
            <w:r>
              <w:rPr>
                <w:rFonts w:ascii="Arial" w:cs="Arial" w:eastAsia="Arial" w:hAnsi="Arial"/>
                <w:sz w:val="18"/>
                <w:szCs w:val="18"/>
                <w:color w:val="auto"/>
              </w:rPr>
              <w:t>Noncurrent deferred tax assets:</w:t>
            </w:r>
          </w:p>
        </w:tc>
        <w:tc>
          <w:tcPr>
            <w:tcW w:w="242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5,668</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ind w:left="160"/>
              <w:spacing w:after="0" w:line="181" w:lineRule="exact"/>
              <w:rPr>
                <w:sz w:val="20"/>
                <w:szCs w:val="20"/>
                <w:color w:val="auto"/>
              </w:rPr>
            </w:pPr>
            <w:r>
              <w:rPr>
                <w:rFonts w:ascii="Arial" w:cs="Arial" w:eastAsia="Arial" w:hAnsi="Arial"/>
                <w:sz w:val="18"/>
                <w:szCs w:val="18"/>
                <w:color w:val="auto"/>
              </w:rPr>
              <w:t>Deferred compensation</w:t>
            </w:r>
          </w:p>
        </w:tc>
        <w:tc>
          <w:tcPr>
            <w:tcW w:w="2420" w:type="dxa"/>
            <w:vAlign w:val="bottom"/>
            <w:vMerge w:val="continue"/>
          </w:tcPr>
          <w:p>
            <w:pPr>
              <w:spacing w:after="0"/>
              <w:rPr>
                <w:sz w:val="15"/>
                <w:szCs w:val="15"/>
                <w:color w:val="auto"/>
              </w:rPr>
            </w:pPr>
          </w:p>
        </w:tc>
        <w:tc>
          <w:tcPr>
            <w:tcW w:w="176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5,420</w:t>
            </w:r>
          </w:p>
        </w:tc>
        <w:tc>
          <w:tcPr>
            <w:tcW w:w="8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5,004</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2,958</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benefits</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38,632</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45,547</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4,480</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Tax loss carryforwards</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1,032</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2,002</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78,968</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70,510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Tax credit carryforwards</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24,504</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36,868</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1,561</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4,119</w:t>
            </w:r>
          </w:p>
        </w:tc>
        <w:tc>
          <w:tcPr>
            <w:tcW w:w="17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5,469</w:t>
            </w: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557</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line="195" w:lineRule="exact"/>
              <w:rPr>
                <w:sz w:val="20"/>
                <w:szCs w:val="20"/>
                <w:color w:val="auto"/>
              </w:rPr>
            </w:pPr>
            <w:r>
              <w:rPr>
                <w:rFonts w:ascii="Arial" w:cs="Arial" w:eastAsia="Arial" w:hAnsi="Arial"/>
                <w:sz w:val="18"/>
                <w:szCs w:val="18"/>
                <w:color w:val="auto"/>
              </w:rPr>
              <w:t>Noncurrent deferred tax assets</w:t>
            </w:r>
          </w:p>
        </w:tc>
        <w:tc>
          <w:tcPr>
            <w:tcW w:w="242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78,959</w:t>
            </w:r>
          </w:p>
        </w:tc>
        <w:tc>
          <w:tcPr>
            <w:tcW w:w="1760" w:type="dxa"/>
            <w:vAlign w:val="bottom"/>
          </w:tcPr>
          <w:p>
            <w:pPr>
              <w:spacing w:after="0"/>
              <w:rPr>
                <w:sz w:val="16"/>
                <w:szCs w:val="16"/>
                <w:color w:val="auto"/>
              </w:rPr>
            </w:pPr>
          </w:p>
        </w:tc>
        <w:tc>
          <w:tcPr>
            <w:tcW w:w="1620" w:type="dxa"/>
            <w:vAlign w:val="bottom"/>
            <w:gridSpan w:val="2"/>
            <w:vMerge w:val="restart"/>
          </w:tcPr>
          <w:p>
            <w:pPr>
              <w:jc w:val="right"/>
              <w:ind w:right="350"/>
              <w:spacing w:after="0"/>
              <w:rPr>
                <w:sz w:val="20"/>
                <w:szCs w:val="20"/>
                <w:color w:val="auto"/>
              </w:rPr>
            </w:pPr>
            <w:r>
              <w:rPr>
                <w:rFonts w:ascii="Arial" w:cs="Arial" w:eastAsia="Arial" w:hAnsi="Arial"/>
                <w:sz w:val="18"/>
                <w:szCs w:val="18"/>
                <w:b w:val="1"/>
                <w:bCs w:val="1"/>
                <w:color w:val="auto"/>
              </w:rPr>
              <w:t>88,524</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before valuation allowance</w:t>
            </w:r>
          </w:p>
        </w:tc>
        <w:tc>
          <w:tcPr>
            <w:tcW w:w="2420" w:type="dxa"/>
            <w:vAlign w:val="bottom"/>
            <w:vMerge w:val="continue"/>
          </w:tcPr>
          <w:p>
            <w:pPr>
              <w:spacing w:after="0"/>
              <w:rPr>
                <w:sz w:val="18"/>
                <w:szCs w:val="18"/>
                <w:color w:val="auto"/>
              </w:rPr>
            </w:pPr>
          </w:p>
        </w:tc>
        <w:tc>
          <w:tcPr>
            <w:tcW w:w="1760" w:type="dxa"/>
            <w:vAlign w:val="bottom"/>
          </w:tcPr>
          <w:p>
            <w:pPr>
              <w:jc w:val="right"/>
              <w:ind w:right="431"/>
              <w:spacing w:after="0"/>
              <w:rPr>
                <w:sz w:val="20"/>
                <w:szCs w:val="20"/>
                <w:color w:val="auto"/>
              </w:rPr>
            </w:pPr>
            <w:r>
              <w:rPr>
                <w:rFonts w:ascii="Arial" w:cs="Arial" w:eastAsia="Arial" w:hAnsi="Arial"/>
                <w:sz w:val="18"/>
                <w:szCs w:val="18"/>
                <w:color w:val="auto"/>
              </w:rPr>
              <w:t>95,306</w:t>
            </w:r>
          </w:p>
        </w:tc>
        <w:tc>
          <w:tcPr>
            <w:tcW w:w="1620" w:type="dxa"/>
            <w:vAlign w:val="bottom"/>
            <w:gridSpan w:val="2"/>
            <w:vMerge w:val="continue"/>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86,235</w:t>
            </w:r>
          </w:p>
        </w:tc>
        <w:tc>
          <w:tcPr>
            <w:tcW w:w="0" w:type="dxa"/>
            <w:vAlign w:val="bottom"/>
          </w:tcPr>
          <w:p>
            <w:pPr>
              <w:spacing w:after="0"/>
              <w:rPr>
                <w:sz w:val="1"/>
                <w:szCs w:val="1"/>
                <w:color w:val="auto"/>
              </w:rPr>
            </w:pPr>
          </w:p>
        </w:tc>
      </w:tr>
      <w:tr>
        <w:trPr>
          <w:trHeight w:val="392"/>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valuation allowance</w:t>
            </w:r>
          </w:p>
        </w:tc>
        <w:tc>
          <w:tcPr>
            <w:tcW w:w="24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(739)</w:t>
            </w:r>
          </w:p>
        </w:tc>
        <w:tc>
          <w:tcPr>
            <w:tcW w:w="16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(60,348)</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(62,674)</w:t>
            </w:r>
          </w:p>
        </w:tc>
        <w:tc>
          <w:tcPr>
            <w:tcW w:w="0" w:type="dxa"/>
            <w:vAlign w:val="bottom"/>
          </w:tcPr>
          <w:p>
            <w:pPr>
              <w:spacing w:after="0"/>
              <w:rPr>
                <w:sz w:val="1"/>
                <w:szCs w:val="1"/>
                <w:color w:val="auto"/>
              </w:rPr>
            </w:pPr>
          </w:p>
        </w:tc>
      </w:tr>
      <w:tr>
        <w:trPr>
          <w:trHeight w:val="196"/>
        </w:trPr>
        <w:tc>
          <w:tcPr>
            <w:tcW w:w="4260" w:type="dxa"/>
            <w:vAlign w:val="bottom"/>
            <w:gridSpan w:val="2"/>
          </w:tcPr>
          <w:p>
            <w:pPr>
              <w:spacing w:after="0" w:line="196" w:lineRule="exact"/>
              <w:rPr>
                <w:sz w:val="20"/>
                <w:szCs w:val="20"/>
                <w:color w:val="auto"/>
              </w:rPr>
            </w:pPr>
            <w:r>
              <w:rPr>
                <w:rFonts w:ascii="Arial" w:cs="Arial" w:eastAsia="Arial" w:hAnsi="Arial"/>
                <w:sz w:val="18"/>
                <w:szCs w:val="18"/>
                <w:color w:val="auto"/>
              </w:rPr>
              <w:t>Total noncurrent deferred tax assets</w:t>
            </w:r>
          </w:p>
        </w:tc>
        <w:tc>
          <w:tcPr>
            <w:tcW w:w="2420" w:type="dxa"/>
            <w:vAlign w:val="bottom"/>
          </w:tcPr>
          <w:p>
            <w:pPr>
              <w:jc w:val="right"/>
              <w:ind w:right="391"/>
              <w:spacing w:after="0" w:line="196" w:lineRule="exact"/>
              <w:rPr>
                <w:sz w:val="20"/>
                <w:szCs w:val="20"/>
                <w:color w:val="auto"/>
              </w:rPr>
            </w:pPr>
            <w:r>
              <w:rPr>
                <w:rFonts w:ascii="Arial" w:cs="Arial" w:eastAsia="Arial" w:hAnsi="Arial"/>
                <w:sz w:val="18"/>
                <w:szCs w:val="18"/>
                <w:b w:val="1"/>
                <w:bCs w:val="1"/>
                <w:color w:val="auto"/>
              </w:rPr>
              <w:t>78,959</w:t>
            </w:r>
          </w:p>
        </w:tc>
        <w:tc>
          <w:tcPr>
            <w:tcW w:w="1760" w:type="dxa"/>
            <w:vAlign w:val="bottom"/>
          </w:tcPr>
          <w:p>
            <w:pPr>
              <w:jc w:val="right"/>
              <w:ind w:right="431"/>
              <w:spacing w:after="0" w:line="196" w:lineRule="exact"/>
              <w:rPr>
                <w:sz w:val="20"/>
                <w:szCs w:val="20"/>
                <w:color w:val="auto"/>
              </w:rPr>
            </w:pPr>
            <w:r>
              <w:rPr>
                <w:rFonts w:ascii="Arial" w:cs="Arial" w:eastAsia="Arial" w:hAnsi="Arial"/>
                <w:sz w:val="18"/>
                <w:szCs w:val="18"/>
                <w:color w:val="auto"/>
              </w:rPr>
              <w:t>94,567</w:t>
            </w:r>
          </w:p>
        </w:tc>
        <w:tc>
          <w:tcPr>
            <w:tcW w:w="1620" w:type="dxa"/>
            <w:vAlign w:val="bottom"/>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28,176</w:t>
            </w:r>
          </w:p>
        </w:tc>
        <w:tc>
          <w:tcPr>
            <w:tcW w:w="1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23,561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4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assets</w:t>
            </w:r>
          </w:p>
        </w:tc>
        <w:tc>
          <w:tcPr>
            <w:tcW w:w="2420" w:type="dxa"/>
            <w:vAlign w:val="bottom"/>
          </w:tcPr>
          <w:p>
            <w:pPr>
              <w:jc w:val="right"/>
              <w:ind w:right="391"/>
              <w:spacing w:after="0" w:line="196" w:lineRule="exact"/>
              <w:rPr>
                <w:sz w:val="20"/>
                <w:szCs w:val="20"/>
                <w:color w:val="auto"/>
              </w:rPr>
            </w:pPr>
            <w:r>
              <w:rPr>
                <w:rFonts w:ascii="Arial" w:cs="Arial" w:eastAsia="Arial" w:hAnsi="Arial"/>
                <w:sz w:val="18"/>
                <w:szCs w:val="18"/>
                <w:b w:val="1"/>
                <w:bCs w:val="1"/>
                <w:color w:val="auto"/>
              </w:rPr>
              <w:t>$88,694</w:t>
            </w:r>
          </w:p>
        </w:tc>
        <w:tc>
          <w:tcPr>
            <w:tcW w:w="1760" w:type="dxa"/>
            <w:vAlign w:val="bottom"/>
          </w:tcPr>
          <w:p>
            <w:pPr>
              <w:jc w:val="right"/>
              <w:ind w:right="431"/>
              <w:spacing w:after="0" w:line="196" w:lineRule="exact"/>
              <w:rPr>
                <w:sz w:val="20"/>
                <w:szCs w:val="20"/>
                <w:color w:val="auto"/>
              </w:rPr>
            </w:pPr>
            <w:r>
              <w:rPr>
                <w:rFonts w:ascii="Arial" w:cs="Arial" w:eastAsia="Arial" w:hAnsi="Arial"/>
                <w:sz w:val="18"/>
                <w:szCs w:val="18"/>
                <w:color w:val="auto"/>
              </w:rPr>
              <w:t>$103,144</w:t>
            </w:r>
          </w:p>
        </w:tc>
        <w:tc>
          <w:tcPr>
            <w:tcW w:w="1620" w:type="dxa"/>
            <w:vAlign w:val="bottom"/>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$39,035</w:t>
            </w:r>
          </w:p>
        </w:tc>
        <w:tc>
          <w:tcPr>
            <w:tcW w:w="1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$35,110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4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60" w:type="dxa"/>
            <w:vAlign w:val="bottom"/>
            <w:gridSpan w:val="2"/>
          </w:tcPr>
          <w:p>
            <w:pPr>
              <w:spacing w:after="0" w:line="195" w:lineRule="exact"/>
              <w:rPr>
                <w:sz w:val="20"/>
                <w:szCs w:val="20"/>
                <w:color w:val="auto"/>
              </w:rPr>
            </w:pPr>
            <w:r>
              <w:rPr>
                <w:rFonts w:ascii="Arial" w:cs="Arial" w:eastAsia="Arial" w:hAnsi="Arial"/>
                <w:sz w:val="18"/>
                <w:szCs w:val="18"/>
                <w:color w:val="auto"/>
              </w:rPr>
              <w:t>Current deferred tax liabilities:</w:t>
            </w:r>
          </w:p>
        </w:tc>
        <w:tc>
          <w:tcPr>
            <w:tcW w:w="242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$1,521</w:t>
            </w:r>
          </w:p>
        </w:tc>
        <w:tc>
          <w:tcPr>
            <w:tcW w:w="17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ind w:left="160"/>
              <w:spacing w:after="0" w:line="181" w:lineRule="exact"/>
              <w:rPr>
                <w:sz w:val="20"/>
                <w:szCs w:val="20"/>
                <w:color w:val="auto"/>
              </w:rPr>
            </w:pPr>
            <w:r>
              <w:rPr>
                <w:rFonts w:ascii="Arial" w:cs="Arial" w:eastAsia="Arial" w:hAnsi="Arial"/>
                <w:sz w:val="18"/>
                <w:szCs w:val="18"/>
                <w:color w:val="auto"/>
              </w:rPr>
              <w:t>Unrepatriated foreign earnings</w:t>
            </w:r>
          </w:p>
        </w:tc>
        <w:tc>
          <w:tcPr>
            <w:tcW w:w="2420" w:type="dxa"/>
            <w:vAlign w:val="bottom"/>
            <w:vMerge w:val="continue"/>
          </w:tcPr>
          <w:p>
            <w:pPr>
              <w:spacing w:after="0"/>
              <w:rPr>
                <w:sz w:val="15"/>
                <w:szCs w:val="15"/>
                <w:color w:val="auto"/>
              </w:rPr>
            </w:pPr>
          </w:p>
        </w:tc>
        <w:tc>
          <w:tcPr>
            <w:tcW w:w="176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$3,672</w:t>
            </w:r>
          </w:p>
        </w:tc>
        <w:tc>
          <w:tcPr>
            <w:tcW w:w="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1,383</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deferred tax liabilities</w:t>
            </w:r>
          </w:p>
        </w:tc>
        <w:tc>
          <w:tcPr>
            <w:tcW w:w="2420" w:type="dxa"/>
            <w:vAlign w:val="bottom"/>
            <w:tcBorders>
              <w:bottom w:val="single" w:sz="8" w:color="auto"/>
            </w:tcBorders>
          </w:tcPr>
          <w:p>
            <w:pPr>
              <w:jc w:val="right"/>
              <w:ind w:right="391"/>
              <w:spacing w:after="0" w:line="196" w:lineRule="exact"/>
              <w:rPr>
                <w:sz w:val="20"/>
                <w:szCs w:val="20"/>
                <w:color w:val="auto"/>
              </w:rPr>
            </w:pPr>
            <w:r>
              <w:rPr>
                <w:rFonts w:ascii="Arial" w:cs="Arial" w:eastAsia="Arial" w:hAnsi="Arial"/>
                <w:sz w:val="18"/>
                <w:szCs w:val="18"/>
                <w:b w:val="1"/>
                <w:bCs w:val="1"/>
                <w:color w:val="auto"/>
              </w:rPr>
              <w:t>1,521</w:t>
            </w:r>
          </w:p>
        </w:tc>
        <w:tc>
          <w:tcPr>
            <w:tcW w:w="1760" w:type="dxa"/>
            <w:vAlign w:val="bottom"/>
            <w:tcBorders>
              <w:bottom w:val="single" w:sz="8" w:color="auto"/>
            </w:tcBorders>
          </w:tcPr>
          <w:p>
            <w:pPr>
              <w:jc w:val="right"/>
              <w:ind w:right="431"/>
              <w:spacing w:after="0" w:line="196" w:lineRule="exact"/>
              <w:rPr>
                <w:sz w:val="20"/>
                <w:szCs w:val="20"/>
                <w:color w:val="auto"/>
              </w:rPr>
            </w:pPr>
            <w:r>
              <w:rPr>
                <w:rFonts w:ascii="Arial" w:cs="Arial" w:eastAsia="Arial" w:hAnsi="Arial"/>
                <w:sz w:val="18"/>
                <w:szCs w:val="18"/>
                <w:color w:val="auto"/>
              </w:rPr>
              <w:t>3,672</w:t>
            </w:r>
          </w:p>
        </w:tc>
        <w:tc>
          <w:tcPr>
            <w:tcW w:w="1620" w:type="dxa"/>
            <w:vAlign w:val="bottom"/>
            <w:tcBorders>
              <w:bottom w:val="single" w:sz="8" w:color="auto"/>
            </w:tcBorders>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1,395</w:t>
            </w:r>
          </w:p>
        </w:tc>
        <w:tc>
          <w:tcPr>
            <w:tcW w:w="13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398"/>
        </w:trPr>
        <w:tc>
          <w:tcPr>
            <w:tcW w:w="4260" w:type="dxa"/>
            <w:vAlign w:val="bottom"/>
            <w:gridSpan w:val="2"/>
          </w:tcPr>
          <w:p>
            <w:pPr>
              <w:spacing w:after="0"/>
              <w:rPr>
                <w:sz w:val="20"/>
                <w:szCs w:val="20"/>
                <w:color w:val="auto"/>
              </w:rPr>
            </w:pPr>
            <w:r>
              <w:rPr>
                <w:rFonts w:ascii="Arial" w:cs="Arial" w:eastAsia="Arial" w:hAnsi="Arial"/>
                <w:sz w:val="18"/>
                <w:szCs w:val="18"/>
                <w:color w:val="auto"/>
              </w:rPr>
              <w:t>Noncurrent deferred tax liabilities:</w:t>
            </w:r>
          </w:p>
        </w:tc>
        <w:tc>
          <w:tcPr>
            <w:tcW w:w="242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15,296</w:t>
            </w:r>
          </w:p>
        </w:tc>
        <w:tc>
          <w:tcPr>
            <w:tcW w:w="1760" w:type="dxa"/>
            <w:vAlign w:val="bottom"/>
          </w:tcPr>
          <w:p>
            <w:pPr>
              <w:spacing w:after="0"/>
              <w:rPr>
                <w:sz w:val="24"/>
                <w:szCs w:val="24"/>
                <w:color w:val="auto"/>
              </w:rPr>
            </w:pPr>
          </w:p>
        </w:tc>
        <w:tc>
          <w:tcPr>
            <w:tcW w:w="1620" w:type="dxa"/>
            <w:vAlign w:val="bottom"/>
            <w:gridSpan w:val="2"/>
            <w:vMerge w:val="restart"/>
          </w:tcPr>
          <w:p>
            <w:pPr>
              <w:jc w:val="right"/>
              <w:ind w:right="350"/>
              <w:spacing w:after="0"/>
              <w:rPr>
                <w:sz w:val="20"/>
                <w:szCs w:val="20"/>
                <w:color w:val="auto"/>
              </w:rPr>
            </w:pPr>
            <w:r>
              <w:rPr>
                <w:rFonts w:ascii="Arial" w:cs="Arial" w:eastAsia="Arial" w:hAnsi="Arial"/>
                <w:sz w:val="18"/>
                <w:szCs w:val="18"/>
                <w:b w:val="1"/>
                <w:bCs w:val="1"/>
                <w:color w:val="auto"/>
              </w:rPr>
              <w:t>10,106</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ind w:left="160"/>
              <w:spacing w:after="0" w:line="181" w:lineRule="exact"/>
              <w:rPr>
                <w:sz w:val="20"/>
                <w:szCs w:val="20"/>
                <w:color w:val="auto"/>
              </w:rPr>
            </w:pPr>
            <w:r>
              <w:rPr>
                <w:rFonts w:ascii="Arial" w:cs="Arial" w:eastAsia="Arial" w:hAnsi="Arial"/>
                <w:sz w:val="18"/>
                <w:szCs w:val="18"/>
                <w:color w:val="auto"/>
              </w:rPr>
              <w:t>Depreciation and amortization</w:t>
            </w:r>
          </w:p>
        </w:tc>
        <w:tc>
          <w:tcPr>
            <w:tcW w:w="2420" w:type="dxa"/>
            <w:vAlign w:val="bottom"/>
            <w:vMerge w:val="continue"/>
          </w:tcPr>
          <w:p>
            <w:pPr>
              <w:spacing w:after="0"/>
              <w:rPr>
                <w:sz w:val="15"/>
                <w:szCs w:val="15"/>
                <w:color w:val="auto"/>
              </w:rPr>
            </w:pPr>
          </w:p>
        </w:tc>
        <w:tc>
          <w:tcPr>
            <w:tcW w:w="1760" w:type="dxa"/>
            <w:vAlign w:val="bottom"/>
          </w:tcPr>
          <w:p>
            <w:pPr>
              <w:jc w:val="right"/>
              <w:ind w:right="431"/>
              <w:spacing w:after="0" w:line="181" w:lineRule="exact"/>
              <w:rPr>
                <w:sz w:val="20"/>
                <w:szCs w:val="20"/>
                <w:color w:val="auto"/>
              </w:rPr>
            </w:pPr>
            <w:r>
              <w:rPr>
                <w:rFonts w:ascii="Arial" w:cs="Arial" w:eastAsia="Arial" w:hAnsi="Arial"/>
                <w:sz w:val="18"/>
                <w:szCs w:val="18"/>
                <w:color w:val="auto"/>
              </w:rPr>
              <w:t>17,139</w:t>
            </w:r>
          </w:p>
        </w:tc>
        <w:tc>
          <w:tcPr>
            <w:tcW w:w="1620" w:type="dxa"/>
            <w:vAlign w:val="bottom"/>
            <w:gridSpan w:val="2"/>
            <w:vMerge w:val="continue"/>
          </w:tcPr>
          <w:p>
            <w:pPr>
              <w:spacing w:after="0"/>
              <w:rPr>
                <w:sz w:val="15"/>
                <w:szCs w:val="15"/>
                <w:color w:val="auto"/>
              </w:rPr>
            </w:pPr>
          </w:p>
        </w:tc>
        <w:tc>
          <w:tcPr>
            <w:tcW w:w="1360" w:type="dxa"/>
            <w:vAlign w:val="bottom"/>
            <w:gridSpan w:val="2"/>
          </w:tcPr>
          <w:p>
            <w:pPr>
              <w:jc w:val="right"/>
              <w:ind w:right="10"/>
              <w:spacing w:after="0" w:line="181" w:lineRule="exact"/>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benefits</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4,726</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ind w:left="160"/>
              <w:spacing w:after="0" w:line="202" w:lineRule="exact"/>
              <w:rPr>
                <w:sz w:val="20"/>
                <w:szCs w:val="20"/>
                <w:color w:val="auto"/>
              </w:rPr>
            </w:pPr>
            <w:r>
              <w:rPr>
                <w:rFonts w:ascii="Arial" w:cs="Arial" w:eastAsia="Arial" w:hAnsi="Arial"/>
                <w:sz w:val="18"/>
                <w:szCs w:val="18"/>
                <w:color w:val="auto"/>
              </w:rPr>
              <w:t>Branch losses subject to recapture</w:t>
            </w:r>
          </w:p>
        </w:tc>
        <w:tc>
          <w:tcPr>
            <w:tcW w:w="2420" w:type="dxa"/>
            <w:vAlign w:val="bottom"/>
          </w:tcPr>
          <w:p>
            <w:pPr>
              <w:jc w:val="right"/>
              <w:ind w:right="391"/>
              <w:spacing w:after="0" w:line="202" w:lineRule="exact"/>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50"/>
              <w:spacing w:after="0" w:line="202" w:lineRule="exact"/>
              <w:rPr>
                <w:sz w:val="20"/>
                <w:szCs w:val="20"/>
                <w:color w:val="auto"/>
              </w:rPr>
            </w:pPr>
            <w:r>
              <w:rPr>
                <w:rFonts w:ascii="Arial" w:cs="Arial" w:eastAsia="Arial" w:hAnsi="Arial"/>
                <w:sz w:val="18"/>
                <w:szCs w:val="18"/>
                <w:b w:val="1"/>
                <w:bCs w:val="1"/>
                <w:color w:val="auto"/>
              </w:rPr>
              <w:t>12,959</w:t>
            </w:r>
          </w:p>
        </w:tc>
        <w:tc>
          <w:tcPr>
            <w:tcW w:w="1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68</w:t>
            </w:r>
          </w:p>
        </w:tc>
        <w:tc>
          <w:tcPr>
            <w:tcW w:w="17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471</w:t>
            </w:r>
          </w:p>
        </w:tc>
        <w:tc>
          <w:tcPr>
            <w:tcW w:w="16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2,473</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noncurrent deferred tax liabilities</w:t>
            </w:r>
          </w:p>
        </w:tc>
        <w:tc>
          <w:tcPr>
            <w:tcW w:w="2420" w:type="dxa"/>
            <w:vAlign w:val="bottom"/>
            <w:tcBorders>
              <w:bottom w:val="single" w:sz="8" w:color="auto"/>
            </w:tcBorders>
          </w:tcPr>
          <w:p>
            <w:pPr>
              <w:jc w:val="right"/>
              <w:ind w:right="391"/>
              <w:spacing w:after="0" w:line="196" w:lineRule="exact"/>
              <w:rPr>
                <w:sz w:val="20"/>
                <w:szCs w:val="20"/>
                <w:color w:val="auto"/>
              </w:rPr>
            </w:pPr>
            <w:r>
              <w:rPr>
                <w:rFonts w:ascii="Arial" w:cs="Arial" w:eastAsia="Arial" w:hAnsi="Arial"/>
                <w:sz w:val="18"/>
                <w:szCs w:val="18"/>
                <w:b w:val="1"/>
                <w:bCs w:val="1"/>
                <w:color w:val="auto"/>
              </w:rPr>
              <w:t>15,364</w:t>
            </w:r>
          </w:p>
        </w:tc>
        <w:tc>
          <w:tcPr>
            <w:tcW w:w="1760" w:type="dxa"/>
            <w:vAlign w:val="bottom"/>
            <w:tcBorders>
              <w:bottom w:val="single" w:sz="8" w:color="auto"/>
            </w:tcBorders>
          </w:tcPr>
          <w:p>
            <w:pPr>
              <w:jc w:val="right"/>
              <w:ind w:right="431"/>
              <w:spacing w:after="0" w:line="196" w:lineRule="exact"/>
              <w:rPr>
                <w:sz w:val="20"/>
                <w:szCs w:val="20"/>
                <w:color w:val="auto"/>
              </w:rPr>
            </w:pPr>
            <w:r>
              <w:rPr>
                <w:rFonts w:ascii="Arial" w:cs="Arial" w:eastAsia="Arial" w:hAnsi="Arial"/>
                <w:sz w:val="18"/>
                <w:szCs w:val="18"/>
                <w:color w:val="auto"/>
              </w:rPr>
              <w:t>17,610</w:t>
            </w:r>
          </w:p>
        </w:tc>
        <w:tc>
          <w:tcPr>
            <w:tcW w:w="1620" w:type="dxa"/>
            <w:vAlign w:val="bottom"/>
            <w:tcBorders>
              <w:bottom w:val="single" w:sz="8" w:color="auto"/>
            </w:tcBorders>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30,264</w:t>
            </w:r>
          </w:p>
        </w:tc>
        <w:tc>
          <w:tcPr>
            <w:tcW w:w="136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26,983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2"/>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2420" w:type="dxa"/>
            <w:vAlign w:val="bottom"/>
          </w:tcPr>
          <w:p>
            <w:pPr>
              <w:jc w:val="right"/>
              <w:ind w:right="391"/>
              <w:spacing w:after="0" w:line="196" w:lineRule="exact"/>
              <w:rPr>
                <w:sz w:val="20"/>
                <w:szCs w:val="20"/>
                <w:color w:val="auto"/>
              </w:rPr>
            </w:pPr>
            <w:r>
              <w:rPr>
                <w:rFonts w:ascii="Arial" w:cs="Arial" w:eastAsia="Arial" w:hAnsi="Arial"/>
                <w:sz w:val="18"/>
                <w:szCs w:val="18"/>
                <w:b w:val="1"/>
                <w:bCs w:val="1"/>
                <w:color w:val="auto"/>
              </w:rPr>
              <w:t>16,885</w:t>
            </w:r>
          </w:p>
        </w:tc>
        <w:tc>
          <w:tcPr>
            <w:tcW w:w="1760" w:type="dxa"/>
            <w:vAlign w:val="bottom"/>
          </w:tcPr>
          <w:p>
            <w:pPr>
              <w:jc w:val="right"/>
              <w:ind w:right="431"/>
              <w:spacing w:after="0" w:line="196" w:lineRule="exact"/>
              <w:rPr>
                <w:sz w:val="20"/>
                <w:szCs w:val="20"/>
                <w:color w:val="auto"/>
              </w:rPr>
            </w:pPr>
            <w:r>
              <w:rPr>
                <w:rFonts w:ascii="Arial" w:cs="Arial" w:eastAsia="Arial" w:hAnsi="Arial"/>
                <w:sz w:val="18"/>
                <w:szCs w:val="18"/>
                <w:color w:val="auto"/>
              </w:rPr>
              <w:t>21,282</w:t>
            </w:r>
          </w:p>
        </w:tc>
        <w:tc>
          <w:tcPr>
            <w:tcW w:w="1620" w:type="dxa"/>
            <w:vAlign w:val="bottom"/>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31,659</w:t>
            </w:r>
          </w:p>
        </w:tc>
        <w:tc>
          <w:tcPr>
            <w:tcW w:w="1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28,712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4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line="196" w:lineRule="exact"/>
              <w:rPr>
                <w:sz w:val="20"/>
                <w:szCs w:val="20"/>
                <w:color w:val="auto"/>
              </w:rPr>
            </w:pPr>
            <w:r>
              <w:rPr>
                <w:rFonts w:ascii="Arial" w:cs="Arial" w:eastAsia="Arial" w:hAnsi="Arial"/>
                <w:sz w:val="18"/>
                <w:szCs w:val="18"/>
                <w:color w:val="auto"/>
              </w:rPr>
              <w:t>Net deferred tax asset</w:t>
            </w:r>
          </w:p>
        </w:tc>
        <w:tc>
          <w:tcPr>
            <w:tcW w:w="2420" w:type="dxa"/>
            <w:vAlign w:val="bottom"/>
          </w:tcPr>
          <w:p>
            <w:pPr>
              <w:jc w:val="right"/>
              <w:ind w:right="391"/>
              <w:spacing w:after="0" w:line="196" w:lineRule="exact"/>
              <w:rPr>
                <w:sz w:val="20"/>
                <w:szCs w:val="20"/>
                <w:color w:val="auto"/>
              </w:rPr>
            </w:pPr>
            <w:r>
              <w:rPr>
                <w:rFonts w:ascii="Arial" w:cs="Arial" w:eastAsia="Arial" w:hAnsi="Arial"/>
                <w:sz w:val="18"/>
                <w:szCs w:val="18"/>
                <w:b w:val="1"/>
                <w:bCs w:val="1"/>
                <w:color w:val="auto"/>
              </w:rPr>
              <w:t>$71,809</w:t>
            </w:r>
          </w:p>
        </w:tc>
        <w:tc>
          <w:tcPr>
            <w:tcW w:w="1760" w:type="dxa"/>
            <w:vAlign w:val="bottom"/>
          </w:tcPr>
          <w:p>
            <w:pPr>
              <w:jc w:val="right"/>
              <w:ind w:right="431"/>
              <w:spacing w:after="0" w:line="196" w:lineRule="exact"/>
              <w:rPr>
                <w:sz w:val="20"/>
                <w:szCs w:val="20"/>
                <w:color w:val="auto"/>
              </w:rPr>
            </w:pPr>
            <w:r>
              <w:rPr>
                <w:rFonts w:ascii="Arial" w:cs="Arial" w:eastAsia="Arial" w:hAnsi="Arial"/>
                <w:sz w:val="18"/>
                <w:szCs w:val="18"/>
                <w:color w:val="auto"/>
              </w:rPr>
              <w:t>$81,862</w:t>
            </w:r>
          </w:p>
        </w:tc>
        <w:tc>
          <w:tcPr>
            <w:tcW w:w="1620" w:type="dxa"/>
            <w:vAlign w:val="bottom"/>
            <w:gridSpan w:val="2"/>
          </w:tcPr>
          <w:p>
            <w:pPr>
              <w:jc w:val="right"/>
              <w:ind w:right="350"/>
              <w:spacing w:after="0" w:line="196" w:lineRule="exact"/>
              <w:rPr>
                <w:sz w:val="20"/>
                <w:szCs w:val="20"/>
                <w:color w:val="auto"/>
              </w:rPr>
            </w:pPr>
            <w:r>
              <w:rPr>
                <w:rFonts w:ascii="Arial" w:cs="Arial" w:eastAsia="Arial" w:hAnsi="Arial"/>
                <w:sz w:val="18"/>
                <w:szCs w:val="18"/>
                <w:b w:val="1"/>
                <w:bCs w:val="1"/>
                <w:color w:val="auto"/>
              </w:rPr>
              <w:t>$7,376</w:t>
            </w:r>
          </w:p>
        </w:tc>
        <w:tc>
          <w:tcPr>
            <w:tcW w:w="13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24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jc w:val="right"/>
              <w:ind w:right="771"/>
              <w:spacing w:after="0"/>
              <w:rPr>
                <w:sz w:val="20"/>
                <w:szCs w:val="20"/>
                <w:color w:val="auto"/>
              </w:rPr>
            </w:pPr>
            <w:r>
              <w:rPr>
                <w:rFonts w:ascii="Arial" w:cs="Arial" w:eastAsia="Arial" w:hAnsi="Arial"/>
                <w:sz w:val="18"/>
                <w:szCs w:val="18"/>
                <w:color w:val="auto"/>
              </w:rPr>
              <w:t>68</w:t>
            </w:r>
          </w:p>
        </w:tc>
        <w:tc>
          <w:tcPr>
            <w:tcW w:w="17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8" w:right="239" w:bottom="1440" w:gutter="0" w:footer="0" w:header="0"/>
        </w:sectPr>
      </w:pPr>
    </w:p>
    <w:bookmarkStart w:id="68" w:name="page69"/>
    <w:bookmarkEnd w:id="68"/>
    <w:p>
      <w:pPr>
        <w:ind w:right="320" w:firstLine="360"/>
        <w:spacing w:after="0" w:line="246" w:lineRule="auto"/>
        <w:rPr>
          <w:sz w:val="20"/>
          <w:szCs w:val="20"/>
          <w:color w:val="auto"/>
        </w:rPr>
      </w:pPr>
      <w:r>
        <w:rPr>
          <w:rFonts w:ascii="Arial" w:cs="Arial" w:eastAsia="Arial" w:hAnsi="Arial"/>
          <w:sz w:val="18"/>
          <w:szCs w:val="18"/>
          <w:color w:val="auto"/>
        </w:rPr>
        <w:t>Deferred income tax assets, net of valuation allowances, are expected to be realized through the reversal of existing taxable temporary differences and future taxable income. In 2012, the Company recorded a net decrease in its valuation allowance of $3.1 million.</w:t>
      </w:r>
    </w:p>
    <w:p>
      <w:pPr>
        <w:spacing w:after="0" w:line="143" w:lineRule="exact"/>
        <w:rPr>
          <w:sz w:val="20"/>
          <w:szCs w:val="20"/>
          <w:color w:val="auto"/>
        </w:rPr>
      </w:pPr>
    </w:p>
    <w:p>
      <w:pPr>
        <w:ind w:right="60" w:firstLine="360"/>
        <w:spacing w:after="0" w:line="237" w:lineRule="auto"/>
        <w:rPr>
          <w:sz w:val="20"/>
          <w:szCs w:val="20"/>
          <w:color w:val="auto"/>
        </w:rPr>
      </w:pPr>
      <w:r>
        <w:rPr>
          <w:rFonts w:ascii="Arial" w:cs="Arial" w:eastAsia="Arial" w:hAnsi="Arial"/>
          <w:sz w:val="18"/>
          <w:szCs w:val="18"/>
          <w:color w:val="auto"/>
        </w:rPr>
        <w:t>At December 31, 2012, the Company had available approximately $633.8 million of net operating loss carryforwards, for which we have a deferred tax asset of $80.0 million, with expiration dates ranging from one year to indefinite that may be applied against future taxable income. Included in the net operating loss carryforwards is approximately $31.4 million of state net operating loss carryforwards that are subject to various business apportionment factors and multiple jurisdictional requirements when utilized. In addition, the Company had available a foreign tax credit carryforward of $19.2 million that will begin to expire in 2015, research and development credit carryforwards of $7.0 million that will begin to expire in 2023, and alternative minimum tax credit carryforwards of $1.3 million with no expiration date.</w:t>
      </w:r>
    </w:p>
    <w:p>
      <w:pPr>
        <w:spacing w:after="0" w:line="151"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The Company reported a U.S. net deferred tax asset of $71.8 million at December 31, 2012, which contained $28.5 million of tax attributes with limited lives. Although the Company is in a cumulative book income position over the evaluation period (three-year period ending December 31, 2012), management has evaluated its ability to utilize these tax attributes during the carryforward period. The Company’s future profits from operations coupled with the repatriation of non-U.S. earnings will generate income of sufficient character to utilize the remaining tax attributes. Accordingly, no valuation allowance has been established for the remaining U.S. net deferred tax assets.</w:t>
      </w:r>
    </w:p>
    <w:p>
      <w:pPr>
        <w:spacing w:after="0" w:line="149"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The Company records the residual U.S. and foreign taxes on certain amounts of current foreign earnings that have been targeted for repatriation to the U.S. As a result, such amounts are not considered to be permanently reinvested, and the Company accrued for the residual taxes on these earnings to the extent they cannot be repatriated in a tax-free manner.</w:t>
      </w:r>
    </w:p>
    <w:p>
      <w:pPr>
        <w:spacing w:after="0" w:line="149" w:lineRule="exact"/>
        <w:rPr>
          <w:sz w:val="20"/>
          <w:szCs w:val="20"/>
          <w:color w:val="auto"/>
        </w:rPr>
      </w:pPr>
    </w:p>
    <w:p>
      <w:pPr>
        <w:jc w:val="both"/>
        <w:ind w:right="200" w:firstLine="360"/>
        <w:spacing w:after="0"/>
        <w:rPr>
          <w:sz w:val="20"/>
          <w:szCs w:val="20"/>
          <w:color w:val="auto"/>
        </w:rPr>
      </w:pPr>
      <w:r>
        <w:rPr>
          <w:rFonts w:ascii="Arial" w:cs="Arial" w:eastAsia="Arial" w:hAnsi="Arial"/>
          <w:sz w:val="18"/>
          <w:szCs w:val="18"/>
          <w:color w:val="auto"/>
        </w:rPr>
        <w:t>At December 31, 2012 the Company reported a deferred tax liability of $1.5 million on $19.4 million of non-U.S. earnings that have been targeted for future repatriation to the U.S. Included in these amounts are $0.5 million of tax expense on approximately $12.1 million of foreign earnings that were generated in 2012.</w:t>
      </w:r>
    </w:p>
    <w:p>
      <w:pPr>
        <w:spacing w:after="0" w:line="149" w:lineRule="exact"/>
        <w:rPr>
          <w:sz w:val="20"/>
          <w:szCs w:val="20"/>
          <w:color w:val="auto"/>
        </w:rPr>
      </w:pPr>
    </w:p>
    <w:p>
      <w:pPr>
        <w:ind w:right="200" w:firstLine="360"/>
        <w:spacing w:after="0" w:line="239" w:lineRule="auto"/>
        <w:rPr>
          <w:sz w:val="20"/>
          <w:szCs w:val="20"/>
          <w:color w:val="auto"/>
        </w:rPr>
      </w:pPr>
      <w:r>
        <w:rPr>
          <w:rFonts w:ascii="Arial" w:cs="Arial" w:eastAsia="Arial" w:hAnsi="Arial"/>
          <w:sz w:val="18"/>
          <w:szCs w:val="18"/>
          <w:color w:val="auto"/>
        </w:rPr>
        <w:t>The accumulated undistributed earnings of the Company’s foreign operations were approximately $375.0 million, and are intended to remain permanently invested in foreign operations. Accordingly, no taxes have been provided on these earnings at December 31, 2012. If these earnings were distributed, the Company would be subject to both foreign withholding taxes and U.S. income taxes that may not be fully offset by foreign tax credits. A reasonable estimate of the deferred tax liability on these earnings is not practicable at this time.</w:t>
      </w:r>
    </w:p>
    <w:p>
      <w:pPr>
        <w:spacing w:after="0" w:line="148" w:lineRule="exact"/>
        <w:rPr>
          <w:sz w:val="20"/>
          <w:szCs w:val="20"/>
          <w:color w:val="auto"/>
        </w:rPr>
      </w:pPr>
    </w:p>
    <w:p>
      <w:pPr>
        <w:ind w:right="220" w:firstLine="360"/>
        <w:spacing w:after="0" w:line="246" w:lineRule="auto"/>
        <w:rPr>
          <w:sz w:val="20"/>
          <w:szCs w:val="20"/>
          <w:color w:val="auto"/>
        </w:rPr>
      </w:pPr>
      <w:r>
        <w:rPr>
          <w:rFonts w:ascii="Arial" w:cs="Arial" w:eastAsia="Arial" w:hAnsi="Arial"/>
          <w:sz w:val="18"/>
          <w:szCs w:val="18"/>
          <w:color w:val="auto"/>
        </w:rPr>
        <w:t>A reconciliation of the beginning and ending amount of unrecognized tax benefits, in accordance with applicable accounting guidance,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21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412"/>
        </w:trPr>
        <w:tc>
          <w:tcPr>
            <w:tcW w:w="5400" w:type="dxa"/>
            <w:vAlign w:val="bottom"/>
          </w:tcPr>
          <w:p>
            <w:pPr>
              <w:spacing w:after="0"/>
              <w:rPr>
                <w:sz w:val="20"/>
                <w:szCs w:val="20"/>
                <w:color w:val="auto"/>
              </w:rPr>
            </w:pPr>
            <w:r>
              <w:rPr>
                <w:rFonts w:ascii="Arial" w:cs="Arial" w:eastAsia="Arial" w:hAnsi="Arial"/>
                <w:sz w:val="18"/>
                <w:szCs w:val="18"/>
                <w:color w:val="auto"/>
              </w:rPr>
              <w:t>Unrecognized tax benefits balance at January 1</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$27,053</w:t>
            </w:r>
          </w:p>
        </w:tc>
        <w:tc>
          <w:tcPr>
            <w:tcW w:w="2160" w:type="dxa"/>
            <w:vAlign w:val="bottom"/>
          </w:tcPr>
          <w:p>
            <w:pPr>
              <w:jc w:val="right"/>
              <w:ind w:right="730"/>
              <w:spacing w:after="0"/>
              <w:rPr>
                <w:sz w:val="20"/>
                <w:szCs w:val="20"/>
                <w:color w:val="auto"/>
              </w:rPr>
            </w:pPr>
            <w:r>
              <w:rPr>
                <w:rFonts w:ascii="Arial" w:cs="Arial" w:eastAsia="Arial" w:hAnsi="Arial"/>
                <w:sz w:val="18"/>
                <w:szCs w:val="18"/>
                <w:color w:val="auto"/>
              </w:rPr>
              <w:t>$23,467</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$22,513</w:t>
            </w:r>
          </w:p>
        </w:tc>
      </w:tr>
      <w:tr>
        <w:trPr>
          <w:trHeight w:val="405"/>
        </w:trPr>
        <w:tc>
          <w:tcPr>
            <w:tcW w:w="5400" w:type="dxa"/>
            <w:vAlign w:val="bottom"/>
          </w:tcPr>
          <w:p>
            <w:pPr>
              <w:spacing w:after="0"/>
              <w:rPr>
                <w:sz w:val="20"/>
                <w:szCs w:val="20"/>
                <w:color w:val="auto"/>
              </w:rPr>
            </w:pPr>
            <w:r>
              <w:rPr>
                <w:rFonts w:ascii="Arial" w:cs="Arial" w:eastAsia="Arial" w:hAnsi="Arial"/>
                <w:sz w:val="18"/>
                <w:szCs w:val="18"/>
                <w:color w:val="auto"/>
              </w:rPr>
              <w:t>Increase in gross amounts of tax positions related to prior years</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9,454</w:t>
            </w:r>
          </w:p>
        </w:tc>
        <w:tc>
          <w:tcPr>
            <w:tcW w:w="2160" w:type="dxa"/>
            <w:vAlign w:val="bottom"/>
          </w:tcPr>
          <w:p>
            <w:pPr>
              <w:jc w:val="right"/>
              <w:ind w:right="730"/>
              <w:spacing w:after="0"/>
              <w:rPr>
                <w:sz w:val="20"/>
                <w:szCs w:val="20"/>
                <w:color w:val="auto"/>
              </w:rPr>
            </w:pPr>
            <w:r>
              <w:rPr>
                <w:rFonts w:ascii="Arial" w:cs="Arial" w:eastAsia="Arial" w:hAnsi="Arial"/>
                <w:sz w:val="18"/>
                <w:szCs w:val="18"/>
                <w:color w:val="auto"/>
              </w:rPr>
              <w:t>8,040</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405"/>
        </w:trPr>
        <w:tc>
          <w:tcPr>
            <w:tcW w:w="5400" w:type="dxa"/>
            <w:vAlign w:val="bottom"/>
          </w:tcPr>
          <w:p>
            <w:pPr>
              <w:spacing w:after="0"/>
              <w:rPr>
                <w:sz w:val="20"/>
                <w:szCs w:val="20"/>
                <w:color w:val="auto"/>
              </w:rPr>
            </w:pPr>
            <w:r>
              <w:rPr>
                <w:rFonts w:ascii="Arial" w:cs="Arial" w:eastAsia="Arial" w:hAnsi="Arial"/>
                <w:sz w:val="18"/>
                <w:szCs w:val="18"/>
                <w:color w:val="auto"/>
              </w:rPr>
              <w:t>Decrease in gross amounts of tax positions related to prior years</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2160" w:type="dxa"/>
            <w:vAlign w:val="bottom"/>
          </w:tcPr>
          <w:p>
            <w:pPr>
              <w:jc w:val="right"/>
              <w:ind w:right="670"/>
              <w:spacing w:after="0"/>
              <w:rPr>
                <w:sz w:val="20"/>
                <w:szCs w:val="20"/>
                <w:color w:val="auto"/>
              </w:rPr>
            </w:pPr>
            <w:r>
              <w:rPr>
                <w:rFonts w:ascii="Arial" w:cs="Arial" w:eastAsia="Arial" w:hAnsi="Arial"/>
                <w:sz w:val="18"/>
                <w:szCs w:val="18"/>
                <w:color w:val="auto"/>
              </w:rPr>
              <w:t>(37)</w:t>
            </w:r>
          </w:p>
        </w:tc>
        <w:tc>
          <w:tcPr>
            <w:tcW w:w="14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405"/>
        </w:trPr>
        <w:tc>
          <w:tcPr>
            <w:tcW w:w="5400" w:type="dxa"/>
            <w:vAlign w:val="bottom"/>
          </w:tcPr>
          <w:p>
            <w:pPr>
              <w:spacing w:after="0"/>
              <w:rPr>
                <w:sz w:val="20"/>
                <w:szCs w:val="20"/>
                <w:color w:val="auto"/>
              </w:rPr>
            </w:pPr>
            <w:r>
              <w:rPr>
                <w:rFonts w:ascii="Arial" w:cs="Arial" w:eastAsia="Arial" w:hAnsi="Arial"/>
                <w:sz w:val="18"/>
                <w:szCs w:val="18"/>
                <w:color w:val="auto"/>
              </w:rPr>
              <w:t>Increase in gross amounts of tax positions related to current year</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381</w:t>
            </w:r>
          </w:p>
        </w:tc>
        <w:tc>
          <w:tcPr>
            <w:tcW w:w="2160" w:type="dxa"/>
            <w:vAlign w:val="bottom"/>
          </w:tcPr>
          <w:p>
            <w:pPr>
              <w:jc w:val="right"/>
              <w:ind w:right="730"/>
              <w:spacing w:after="0"/>
              <w:rPr>
                <w:sz w:val="20"/>
                <w:szCs w:val="20"/>
                <w:color w:val="auto"/>
              </w:rPr>
            </w:pPr>
            <w:r>
              <w:rPr>
                <w:rFonts w:ascii="Arial" w:cs="Arial" w:eastAsia="Arial" w:hAnsi="Arial"/>
                <w:sz w:val="18"/>
                <w:szCs w:val="18"/>
                <w:color w:val="auto"/>
              </w:rPr>
              <w:t>1,005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1,043</w:t>
            </w:r>
          </w:p>
        </w:tc>
      </w:tr>
      <w:tr>
        <w:trPr>
          <w:trHeight w:val="405"/>
        </w:trPr>
        <w:tc>
          <w:tcPr>
            <w:tcW w:w="5400" w:type="dxa"/>
            <w:vAlign w:val="bottom"/>
          </w:tcPr>
          <w:p>
            <w:pPr>
              <w:spacing w:after="0"/>
              <w:rPr>
                <w:sz w:val="20"/>
                <w:szCs w:val="20"/>
                <w:color w:val="auto"/>
              </w:rPr>
            </w:pPr>
            <w:r>
              <w:rPr>
                <w:rFonts w:ascii="Arial" w:cs="Arial" w:eastAsia="Arial" w:hAnsi="Arial"/>
                <w:sz w:val="18"/>
                <w:szCs w:val="18"/>
                <w:color w:val="auto"/>
              </w:rPr>
              <w:t>Decrease due to settlements with tax authorities</w:t>
            </w:r>
          </w:p>
        </w:tc>
        <w:tc>
          <w:tcPr>
            <w:tcW w:w="2380" w:type="dxa"/>
            <w:vAlign w:val="bottom"/>
          </w:tcPr>
          <w:p>
            <w:pPr>
              <w:jc w:val="right"/>
              <w:ind w:right="650"/>
              <w:spacing w:after="0"/>
              <w:rPr>
                <w:sz w:val="20"/>
                <w:szCs w:val="20"/>
                <w:color w:val="auto"/>
              </w:rPr>
            </w:pPr>
            <w:r>
              <w:rPr>
                <w:rFonts w:ascii="Arial" w:cs="Arial" w:eastAsia="Arial" w:hAnsi="Arial"/>
                <w:sz w:val="18"/>
                <w:szCs w:val="18"/>
                <w:b w:val="1"/>
                <w:bCs w:val="1"/>
                <w:color w:val="auto"/>
              </w:rPr>
              <w:t>(13,099)</w:t>
            </w:r>
          </w:p>
        </w:tc>
        <w:tc>
          <w:tcPr>
            <w:tcW w:w="2160" w:type="dxa"/>
            <w:vAlign w:val="bottom"/>
          </w:tcPr>
          <w:p>
            <w:pPr>
              <w:jc w:val="right"/>
              <w:ind w:right="670"/>
              <w:spacing w:after="0"/>
              <w:rPr>
                <w:sz w:val="20"/>
                <w:szCs w:val="20"/>
                <w:color w:val="auto"/>
              </w:rPr>
            </w:pPr>
            <w:r>
              <w:rPr>
                <w:rFonts w:ascii="Arial" w:cs="Arial" w:eastAsia="Arial" w:hAnsi="Arial"/>
                <w:sz w:val="18"/>
                <w:szCs w:val="18"/>
                <w:color w:val="auto"/>
              </w:rPr>
              <w:t>(4,576)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05"/>
        </w:trPr>
        <w:tc>
          <w:tcPr>
            <w:tcW w:w="5400" w:type="dxa"/>
            <w:vAlign w:val="bottom"/>
          </w:tcPr>
          <w:p>
            <w:pPr>
              <w:spacing w:after="0"/>
              <w:rPr>
                <w:sz w:val="20"/>
                <w:szCs w:val="20"/>
                <w:color w:val="auto"/>
              </w:rPr>
            </w:pPr>
            <w:r>
              <w:rPr>
                <w:rFonts w:ascii="Arial" w:cs="Arial" w:eastAsia="Arial" w:hAnsi="Arial"/>
                <w:sz w:val="18"/>
                <w:szCs w:val="18"/>
                <w:color w:val="auto"/>
              </w:rPr>
              <w:t>Decrease due to lapse in statute of limitations</w:t>
            </w:r>
          </w:p>
        </w:tc>
        <w:tc>
          <w:tcPr>
            <w:tcW w:w="2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w:t>
            </w:r>
          </w:p>
        </w:tc>
        <w:tc>
          <w:tcPr>
            <w:tcW w:w="21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05"/>
        </w:trPr>
        <w:tc>
          <w:tcPr>
            <w:tcW w:w="5400" w:type="dxa"/>
            <w:vAlign w:val="bottom"/>
          </w:tcPr>
          <w:p>
            <w:pPr>
              <w:spacing w:after="0"/>
              <w:rPr>
                <w:sz w:val="20"/>
                <w:szCs w:val="20"/>
                <w:color w:val="auto"/>
              </w:rPr>
            </w:pPr>
            <w:r>
              <w:rPr>
                <w:rFonts w:ascii="Arial" w:cs="Arial" w:eastAsia="Arial" w:hAnsi="Arial"/>
                <w:sz w:val="18"/>
                <w:szCs w:val="18"/>
                <w:color w:val="auto"/>
              </w:rPr>
              <w:t>Currency translation</w:t>
            </w:r>
          </w:p>
        </w:tc>
        <w:tc>
          <w:tcPr>
            <w:tcW w:w="2380" w:type="dxa"/>
            <w:vAlign w:val="bottom"/>
          </w:tcPr>
          <w:p>
            <w:pPr>
              <w:jc w:val="right"/>
              <w:ind w:right="710"/>
              <w:spacing w:after="0"/>
              <w:rPr>
                <w:sz w:val="20"/>
                <w:szCs w:val="20"/>
                <w:color w:val="auto"/>
              </w:rPr>
            </w:pPr>
            <w:r>
              <w:rPr>
                <w:rFonts w:ascii="Arial" w:cs="Arial" w:eastAsia="Arial" w:hAnsi="Arial"/>
                <w:sz w:val="18"/>
                <w:szCs w:val="18"/>
                <w:b w:val="1"/>
                <w:bCs w:val="1"/>
                <w:color w:val="auto"/>
              </w:rPr>
              <w:t>617</w:t>
            </w:r>
          </w:p>
        </w:tc>
        <w:tc>
          <w:tcPr>
            <w:tcW w:w="2160" w:type="dxa"/>
            <w:vAlign w:val="bottom"/>
          </w:tcPr>
          <w:p>
            <w:pPr>
              <w:jc w:val="right"/>
              <w:ind w:right="670"/>
              <w:spacing w:after="0"/>
              <w:rPr>
                <w:sz w:val="20"/>
                <w:szCs w:val="20"/>
                <w:color w:val="auto"/>
              </w:rPr>
            </w:pPr>
            <w:r>
              <w:rPr>
                <w:rFonts w:ascii="Arial" w:cs="Arial" w:eastAsia="Arial" w:hAnsi="Arial"/>
                <w:sz w:val="18"/>
                <w:szCs w:val="18"/>
                <w:color w:val="auto"/>
              </w:rPr>
              <w:t>(846)</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654</w:t>
            </w:r>
          </w:p>
        </w:tc>
      </w:tr>
      <w:tr>
        <w:trPr>
          <w:trHeight w:val="189"/>
        </w:trPr>
        <w:tc>
          <w:tcPr>
            <w:tcW w:w="54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6"/>
        </w:trPr>
        <w:tc>
          <w:tcPr>
            <w:tcW w:w="5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Unrecognized tax benefits balance at December 31</w:t>
            </w:r>
          </w:p>
        </w:tc>
        <w:tc>
          <w:tcPr>
            <w:tcW w:w="238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$24,386</w:t>
            </w:r>
          </w:p>
        </w:tc>
        <w:tc>
          <w:tcPr>
            <w:tcW w:w="216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color w:val="auto"/>
              </w:rPr>
              <w:t>$27,053</w:t>
            </w:r>
          </w:p>
        </w:tc>
        <w:tc>
          <w:tcPr>
            <w:tcW w:w="1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$23,467</w:t>
            </w:r>
          </w:p>
        </w:tc>
      </w:tr>
      <w:tr>
        <w:trPr>
          <w:trHeight w:val="601"/>
        </w:trPr>
        <w:tc>
          <w:tcPr>
            <w:tcW w:w="5400" w:type="dxa"/>
            <w:vAlign w:val="bottom"/>
          </w:tcPr>
          <w:p>
            <w:pPr>
              <w:spacing w:after="0"/>
              <w:rPr>
                <w:sz w:val="24"/>
                <w:szCs w:val="24"/>
                <w:color w:val="auto"/>
              </w:rPr>
            </w:pPr>
          </w:p>
        </w:tc>
        <w:tc>
          <w:tcPr>
            <w:tcW w:w="2380" w:type="dxa"/>
            <w:vAlign w:val="bottom"/>
          </w:tcPr>
          <w:p>
            <w:pPr>
              <w:jc w:val="right"/>
              <w:ind w:right="1870"/>
              <w:spacing w:after="0"/>
              <w:rPr>
                <w:sz w:val="20"/>
                <w:szCs w:val="20"/>
                <w:color w:val="auto"/>
              </w:rPr>
            </w:pPr>
            <w:r>
              <w:rPr>
                <w:rFonts w:ascii="Arial" w:cs="Arial" w:eastAsia="Arial" w:hAnsi="Arial"/>
                <w:sz w:val="18"/>
                <w:szCs w:val="18"/>
                <w:color w:val="auto"/>
              </w:rPr>
              <w:t>69</w:t>
            </w:r>
          </w:p>
        </w:tc>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54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69" w:name="page70"/>
    <w:bookmarkEnd w:id="69"/>
    <w:p>
      <w:pPr>
        <w:ind w:right="160" w:firstLine="360"/>
        <w:spacing w:after="0" w:line="246" w:lineRule="auto"/>
        <w:rPr>
          <w:sz w:val="20"/>
          <w:szCs w:val="20"/>
          <w:color w:val="auto"/>
        </w:rPr>
      </w:pPr>
      <w:r>
        <w:rPr>
          <w:rFonts w:ascii="Arial" w:cs="Arial" w:eastAsia="Arial" w:hAnsi="Arial"/>
          <w:sz w:val="18"/>
          <w:szCs w:val="18"/>
          <w:color w:val="auto"/>
        </w:rPr>
        <w:t>At December 31, 2012, we had gross tax-effected unrecognized tax benefits of $24.4 million, all of which, if recognized, would impact the effective tax rate.</w:t>
      </w:r>
    </w:p>
    <w:p>
      <w:pPr>
        <w:spacing w:after="0" w:line="143"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The Company recognizes interest and penalties related to unrecognized tax benefits within its global operations as a component of income tax expense. The Company recognized interest and penalties of ($6.4) million, $1.1 million and $.3 million in the Statements of Income and Retained Earnings in 2012, 2011 and 2010, respectively. The 2012 amount includes the reversal of $4.4M of interest and penalties related to the settlement of audits. As of December 31, 2012 and 2011, the Company had approximately $1.4 million and $7.6 million, respectively, of accrued interest and penalties related to uncertain tax positions.</w:t>
      </w:r>
    </w:p>
    <w:p>
      <w:pPr>
        <w:spacing w:after="0" w:line="149"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In the normal course of business we are subject to examination by taxing authorities throughout the world, including major jurisdictions as the United States, Brazil, Canada, France, Germany, Italy, Mexico, and Switzerland. Open tax years in these jurisdictions range from 2000 to 2012. We are currently under audit in the U.S. and non-U.S. tax jurisdictions, including but not limited to Canada, Germany, and France.</w:t>
      </w:r>
    </w:p>
    <w:p>
      <w:pPr>
        <w:spacing w:after="0" w:line="149"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$ 0 million to a net decrease of $13.9 million, from the reevaluation of uncertain tax positions arising in examinations, in appeals, or in the courts, or from the closure of tax statutes. Not included in the range is $22.5 million of tax benefits in Germany related to a 1999 reorganization that have been challenged by the German tax authorities in the course of an audit of tax years 2000-2003.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Although we were required to pay approximately $13.2 million to the German tax authorities in order to continue to pursue the position; when taking into consideration the ECJ decision, the latest FTC decision and the lower court decision,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2012 and 2011, current income taxes receivable and deferred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5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6"/>
                <w:szCs w:val="16"/>
                <w:b w:val="1"/>
                <w:bCs w:val="1"/>
                <w:color w:val="auto"/>
              </w:rPr>
              <w:t>2012</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173"/>
        </w:trPr>
        <w:tc>
          <w:tcPr>
            <w:tcW w:w="4900" w:type="dxa"/>
            <w:vAlign w:val="bottom"/>
          </w:tcPr>
          <w:p>
            <w:pPr>
              <w:spacing w:after="0" w:line="173" w:lineRule="exact"/>
              <w:rPr>
                <w:sz w:val="20"/>
                <w:szCs w:val="20"/>
                <w:color w:val="auto"/>
              </w:rPr>
            </w:pPr>
            <w:r>
              <w:rPr>
                <w:rFonts w:ascii="Arial" w:cs="Arial" w:eastAsia="Arial" w:hAnsi="Arial"/>
                <w:sz w:val="18"/>
                <w:szCs w:val="18"/>
                <w:color w:val="auto"/>
              </w:rPr>
              <w:t>Income taxes receivable</w:t>
            </w:r>
          </w:p>
        </w:tc>
        <w:tc>
          <w:tcPr>
            <w:tcW w:w="3540" w:type="dxa"/>
            <w:vAlign w:val="bottom"/>
          </w:tcPr>
          <w:p>
            <w:pPr>
              <w:jc w:val="right"/>
              <w:ind w:right="50"/>
              <w:spacing w:after="0" w:line="173"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836"/>
              <w:spacing w:after="0" w:line="173"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2"/>
              <w:spacing w:after="0" w:line="173" w:lineRule="exact"/>
              <w:rPr>
                <w:sz w:val="20"/>
                <w:szCs w:val="20"/>
                <w:color w:val="auto"/>
              </w:rPr>
            </w:pPr>
            <w:r>
              <w:rPr>
                <w:rFonts w:ascii="Arial" w:cs="Arial" w:eastAsia="Arial" w:hAnsi="Arial"/>
                <w:sz w:val="18"/>
                <w:szCs w:val="18"/>
                <w:color w:val="auto"/>
              </w:rPr>
              <w:t>$9,884</w:t>
            </w: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4840" w:type="dxa"/>
            <w:vAlign w:val="bottom"/>
            <w:tcBorders>
              <w:bottom w:val="single" w:sz="8" w:color="auto"/>
            </w:tcBorders>
            <w:gridSpan w:val="2"/>
          </w:tcPr>
          <w:p>
            <w:pPr>
              <w:jc w:val="right"/>
              <w:ind w:right="836"/>
              <w:spacing w:after="0"/>
              <w:rPr>
                <w:sz w:val="20"/>
                <w:szCs w:val="20"/>
                <w:color w:val="auto"/>
              </w:rPr>
            </w:pPr>
            <w:r>
              <w:rPr>
                <w:rFonts w:ascii="Arial" w:cs="Arial" w:eastAsia="Arial" w:hAnsi="Arial"/>
                <w:sz w:val="18"/>
                <w:szCs w:val="18"/>
                <w:b w:val="1"/>
                <w:bCs w:val="1"/>
                <w:color w:val="auto"/>
              </w:rPr>
              <w:t>20,594</w:t>
            </w: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20,126</w:t>
            </w:r>
          </w:p>
        </w:tc>
      </w:tr>
      <w:tr>
        <w:trPr>
          <w:trHeight w:val="196"/>
        </w:trPr>
        <w:tc>
          <w:tcPr>
            <w:tcW w:w="4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income taxes receivable and deferred</w:t>
            </w:r>
          </w:p>
        </w:tc>
        <w:tc>
          <w:tcPr>
            <w:tcW w:w="4840" w:type="dxa"/>
            <w:vAlign w:val="bottom"/>
            <w:tcBorders>
              <w:bottom w:val="single" w:sz="8" w:color="auto"/>
            </w:tcBorders>
            <w:gridSpan w:val="2"/>
          </w:tcPr>
          <w:p>
            <w:pPr>
              <w:jc w:val="right"/>
              <w:ind w:right="836"/>
              <w:spacing w:after="0" w:line="196" w:lineRule="exact"/>
              <w:rPr>
                <w:sz w:val="20"/>
                <w:szCs w:val="20"/>
                <w:color w:val="auto"/>
              </w:rPr>
            </w:pPr>
            <w:r>
              <w:rPr>
                <w:rFonts w:ascii="Arial" w:cs="Arial" w:eastAsia="Arial" w:hAnsi="Arial"/>
                <w:sz w:val="18"/>
                <w:szCs w:val="18"/>
                <w:b w:val="1"/>
                <w:bCs w:val="1"/>
                <w:color w:val="auto"/>
              </w:rPr>
              <w:t>$20,594</w:t>
            </w:r>
          </w:p>
        </w:tc>
        <w:tc>
          <w:tcPr>
            <w:tcW w:w="16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$30,010</w:t>
            </w:r>
          </w:p>
        </w:tc>
      </w:tr>
      <w:tr>
        <w:trPr>
          <w:trHeight w:val="331"/>
        </w:trPr>
        <w:tc>
          <w:tcPr>
            <w:tcW w:w="9740" w:type="dxa"/>
            <w:vAlign w:val="bottom"/>
            <w:gridSpan w:val="3"/>
          </w:tcPr>
          <w:p>
            <w:pPr>
              <w:ind w:left="360"/>
              <w:spacing w:after="0"/>
              <w:rPr>
                <w:sz w:val="20"/>
                <w:szCs w:val="20"/>
                <w:color w:val="auto"/>
              </w:rPr>
            </w:pPr>
            <w:r>
              <w:rPr>
                <w:rFonts w:ascii="Arial" w:cs="Arial" w:eastAsia="Arial" w:hAnsi="Arial"/>
                <w:sz w:val="18"/>
                <w:szCs w:val="18"/>
                <w:color w:val="auto"/>
              </w:rPr>
              <w:t>As of December 31, 2012 and 2011, noncurrent taxes receivable and deferred consisted of the following:</w:t>
            </w:r>
          </w:p>
        </w:tc>
        <w:tc>
          <w:tcPr>
            <w:tcW w:w="1680" w:type="dxa"/>
            <w:vAlign w:val="bottom"/>
          </w:tcPr>
          <w:p>
            <w:pPr>
              <w:spacing w:after="0"/>
              <w:rPr>
                <w:sz w:val="24"/>
                <w:szCs w:val="24"/>
                <w:color w:val="auto"/>
              </w:rPr>
            </w:pPr>
          </w:p>
        </w:tc>
      </w:tr>
      <w:tr>
        <w:trPr>
          <w:trHeight w:val="149"/>
        </w:trPr>
        <w:tc>
          <w:tcPr>
            <w:tcW w:w="490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r>
      <w:tr>
        <w:trPr>
          <w:trHeight w:val="183"/>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16"/>
              <w:spacing w:after="0" w:line="183" w:lineRule="exact"/>
              <w:rPr>
                <w:sz w:val="20"/>
                <w:szCs w:val="20"/>
                <w:color w:val="auto"/>
              </w:rPr>
            </w:pPr>
            <w:r>
              <w:rPr>
                <w:rFonts w:ascii="Arial" w:cs="Arial" w:eastAsia="Arial" w:hAnsi="Arial"/>
                <w:sz w:val="16"/>
                <w:szCs w:val="16"/>
                <w:b w:val="1"/>
                <w:bCs w:val="1"/>
                <w:color w:val="auto"/>
              </w:rPr>
              <w:t>2012</w:t>
            </w:r>
          </w:p>
        </w:tc>
        <w:tc>
          <w:tcPr>
            <w:tcW w:w="1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2011</w:t>
            </w:r>
          </w:p>
        </w:tc>
      </w:tr>
      <w:tr>
        <w:trPr>
          <w:trHeight w:val="173"/>
        </w:trPr>
        <w:tc>
          <w:tcPr>
            <w:tcW w:w="4900" w:type="dxa"/>
            <w:vAlign w:val="bottom"/>
          </w:tcPr>
          <w:p>
            <w:pPr>
              <w:spacing w:after="0" w:line="173" w:lineRule="exact"/>
              <w:rPr>
                <w:sz w:val="20"/>
                <w:szCs w:val="20"/>
                <w:color w:val="auto"/>
              </w:rPr>
            </w:pPr>
            <w:r>
              <w:rPr>
                <w:rFonts w:ascii="Arial" w:cs="Arial" w:eastAsia="Arial" w:hAnsi="Arial"/>
                <w:sz w:val="18"/>
                <w:szCs w:val="18"/>
                <w:color w:val="auto"/>
              </w:rPr>
              <w:t>Income taxes receivable</w:t>
            </w:r>
          </w:p>
        </w:tc>
        <w:tc>
          <w:tcPr>
            <w:tcW w:w="4840" w:type="dxa"/>
            <w:vAlign w:val="bottom"/>
            <w:gridSpan w:val="2"/>
          </w:tcPr>
          <w:p>
            <w:pPr>
              <w:jc w:val="right"/>
              <w:ind w:right="836"/>
              <w:spacing w:after="0" w:line="173" w:lineRule="exact"/>
              <w:rPr>
                <w:sz w:val="20"/>
                <w:szCs w:val="20"/>
                <w:color w:val="auto"/>
              </w:rPr>
            </w:pPr>
            <w:r>
              <w:rPr>
                <w:rFonts w:ascii="Arial" w:cs="Arial" w:eastAsia="Arial" w:hAnsi="Arial"/>
                <w:sz w:val="18"/>
                <w:szCs w:val="18"/>
                <w:b w:val="1"/>
                <w:bCs w:val="1"/>
                <w:color w:val="auto"/>
              </w:rPr>
              <w:t>$16,751</w:t>
            </w:r>
          </w:p>
        </w:tc>
        <w:tc>
          <w:tcPr>
            <w:tcW w:w="1680" w:type="dxa"/>
            <w:vAlign w:val="bottom"/>
          </w:tcPr>
          <w:p>
            <w:pPr>
              <w:jc w:val="right"/>
              <w:ind w:right="12"/>
              <w:spacing w:after="0" w:line="173" w:lineRule="exact"/>
              <w:rPr>
                <w:sz w:val="20"/>
                <w:szCs w:val="20"/>
                <w:color w:val="auto"/>
              </w:rPr>
            </w:pPr>
            <w:r>
              <w:rPr>
                <w:rFonts w:ascii="Arial" w:cs="Arial" w:eastAsia="Arial" w:hAnsi="Arial"/>
                <w:sz w:val="18"/>
                <w:szCs w:val="18"/>
                <w:color w:val="auto"/>
              </w:rPr>
              <w:t>$16,516</w:t>
            </w:r>
          </w:p>
        </w:tc>
      </w:tr>
      <w:tr>
        <w:trPr>
          <w:trHeight w:val="225"/>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4840" w:type="dxa"/>
            <w:vAlign w:val="bottom"/>
            <w:tcBorders>
              <w:bottom w:val="single" w:sz="8" w:color="auto"/>
            </w:tcBorders>
            <w:gridSpan w:val="2"/>
          </w:tcPr>
          <w:p>
            <w:pPr>
              <w:jc w:val="right"/>
              <w:ind w:right="836"/>
              <w:spacing w:after="0"/>
              <w:rPr>
                <w:sz w:val="20"/>
                <w:szCs w:val="20"/>
                <w:color w:val="auto"/>
              </w:rPr>
            </w:pPr>
            <w:r>
              <w:rPr>
                <w:rFonts w:ascii="Arial" w:cs="Arial" w:eastAsia="Arial" w:hAnsi="Arial"/>
                <w:sz w:val="18"/>
                <w:szCs w:val="18"/>
                <w:b w:val="1"/>
                <w:bCs w:val="1"/>
                <w:color w:val="auto"/>
              </w:rPr>
              <w:t>107,135</w:t>
            </w: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118,128</w:t>
            </w:r>
          </w:p>
        </w:tc>
      </w:tr>
      <w:tr>
        <w:trPr>
          <w:trHeight w:val="196"/>
        </w:trPr>
        <w:tc>
          <w:tcPr>
            <w:tcW w:w="4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noncurrent deferred taxes and taxes receivable</w:t>
            </w:r>
          </w:p>
        </w:tc>
        <w:tc>
          <w:tcPr>
            <w:tcW w:w="4840" w:type="dxa"/>
            <w:vAlign w:val="bottom"/>
            <w:tcBorders>
              <w:bottom w:val="single" w:sz="8" w:color="auto"/>
            </w:tcBorders>
            <w:gridSpan w:val="2"/>
          </w:tcPr>
          <w:p>
            <w:pPr>
              <w:jc w:val="right"/>
              <w:ind w:right="836"/>
              <w:spacing w:after="0" w:line="196" w:lineRule="exact"/>
              <w:rPr>
                <w:sz w:val="20"/>
                <w:szCs w:val="20"/>
                <w:color w:val="auto"/>
              </w:rPr>
            </w:pPr>
            <w:r>
              <w:rPr>
                <w:rFonts w:ascii="Arial" w:cs="Arial" w:eastAsia="Arial" w:hAnsi="Arial"/>
                <w:sz w:val="18"/>
                <w:szCs w:val="18"/>
                <w:b w:val="1"/>
                <w:bCs w:val="1"/>
                <w:color w:val="auto"/>
              </w:rPr>
              <w:t>$123,886</w:t>
            </w:r>
          </w:p>
        </w:tc>
        <w:tc>
          <w:tcPr>
            <w:tcW w:w="16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$134,644</w:t>
            </w:r>
          </w:p>
        </w:tc>
      </w:tr>
      <w:tr>
        <w:trPr>
          <w:trHeight w:val="399"/>
        </w:trPr>
        <w:tc>
          <w:tcPr>
            <w:tcW w:w="4900" w:type="dxa"/>
            <w:vAlign w:val="bottom"/>
          </w:tcPr>
          <w:p>
            <w:pPr>
              <w:spacing w:after="0"/>
              <w:rPr>
                <w:sz w:val="24"/>
                <w:szCs w:val="24"/>
                <w:color w:val="auto"/>
              </w:rPr>
            </w:pPr>
          </w:p>
        </w:tc>
        <w:tc>
          <w:tcPr>
            <w:tcW w:w="3540" w:type="dxa"/>
            <w:vAlign w:val="bottom"/>
          </w:tcPr>
          <w:p>
            <w:pPr>
              <w:jc w:val="right"/>
              <w:ind w:right="2530"/>
              <w:spacing w:after="0"/>
              <w:rPr>
                <w:sz w:val="20"/>
                <w:szCs w:val="20"/>
                <w:color w:val="auto"/>
              </w:rPr>
            </w:pPr>
            <w:r>
              <w:rPr>
                <w:rFonts w:ascii="Arial" w:cs="Arial" w:eastAsia="Arial" w:hAnsi="Arial"/>
                <w:sz w:val="18"/>
                <w:szCs w:val="18"/>
                <w:color w:val="auto"/>
              </w:rPr>
              <w:t>70</w:t>
            </w: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49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70" w:name="page71"/>
    <w:bookmarkEnd w:id="70"/>
    <w:p>
      <w:pPr>
        <w:ind w:left="360"/>
        <w:spacing w:after="0"/>
        <w:rPr>
          <w:sz w:val="20"/>
          <w:szCs w:val="20"/>
          <w:color w:val="auto"/>
        </w:rPr>
      </w:pPr>
      <w:r>
        <w:rPr>
          <w:rFonts w:ascii="Arial" w:cs="Arial" w:eastAsia="Arial" w:hAnsi="Arial"/>
          <w:sz w:val="18"/>
          <w:szCs w:val="18"/>
          <w:color w:val="auto"/>
        </w:rPr>
        <w:t>As of December 31, 2012 and 2011, current taxes payable and deferred consisted of the following:</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Borders>
              <w:top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173"/>
        </w:trPr>
        <w:tc>
          <w:tcPr>
            <w:tcW w:w="20" w:type="dxa"/>
            <w:vAlign w:val="bottom"/>
          </w:tcPr>
          <w:p>
            <w:pPr>
              <w:spacing w:after="0"/>
              <w:rPr>
                <w:sz w:val="15"/>
                <w:szCs w:val="15"/>
                <w:color w:val="auto"/>
              </w:rPr>
            </w:pPr>
          </w:p>
        </w:tc>
        <w:tc>
          <w:tcPr>
            <w:tcW w:w="5160" w:type="dxa"/>
            <w:vAlign w:val="bottom"/>
            <w:tcBorders>
              <w:top w:val="single" w:sz="8" w:color="auto"/>
            </w:tcBorders>
          </w:tcPr>
          <w:p>
            <w:pPr>
              <w:ind w:left="80"/>
              <w:spacing w:after="0" w:line="173" w:lineRule="exact"/>
              <w:rPr>
                <w:sz w:val="20"/>
                <w:szCs w:val="20"/>
                <w:color w:val="auto"/>
              </w:rPr>
            </w:pPr>
            <w:r>
              <w:rPr>
                <w:rFonts w:ascii="Arial" w:cs="Arial" w:eastAsia="Arial" w:hAnsi="Arial"/>
                <w:sz w:val="18"/>
                <w:szCs w:val="18"/>
                <w:color w:val="auto"/>
              </w:rPr>
              <w:t>Taxes payable</w:t>
            </w:r>
          </w:p>
        </w:tc>
        <w:tc>
          <w:tcPr>
            <w:tcW w:w="2660" w:type="dxa"/>
            <w:vAlign w:val="bottom"/>
            <w:tcBorders>
              <w:top w:val="single" w:sz="8" w:color="auto"/>
            </w:tcBorders>
          </w:tcPr>
          <w:p>
            <w:pPr>
              <w:jc w:val="right"/>
              <w:ind w:right="692"/>
              <w:spacing w:after="0" w:line="173" w:lineRule="exact"/>
              <w:rPr>
                <w:sz w:val="20"/>
                <w:szCs w:val="20"/>
                <w:color w:val="auto"/>
              </w:rPr>
            </w:pPr>
            <w:r>
              <w:rPr>
                <w:rFonts w:ascii="Arial" w:cs="Arial" w:eastAsia="Arial" w:hAnsi="Arial"/>
                <w:sz w:val="18"/>
                <w:szCs w:val="18"/>
                <w:b w:val="1"/>
                <w:bCs w:val="1"/>
                <w:color w:val="auto"/>
              </w:rPr>
              <w:t>$10,636</w:t>
            </w:r>
          </w:p>
        </w:tc>
        <w:tc>
          <w:tcPr>
            <w:tcW w:w="1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$3,365</w:t>
            </w:r>
          </w:p>
        </w:tc>
      </w:tr>
      <w:tr>
        <w:trPr>
          <w:trHeight w:val="225"/>
        </w:trPr>
        <w:tc>
          <w:tcPr>
            <w:tcW w:w="20" w:type="dxa"/>
            <w:vAlign w:val="bottom"/>
          </w:tcPr>
          <w:p>
            <w:pPr>
              <w:spacing w:after="0"/>
              <w:rPr>
                <w:sz w:val="19"/>
                <w:szCs w:val="19"/>
                <w:color w:val="auto"/>
              </w:rPr>
            </w:pPr>
          </w:p>
        </w:tc>
        <w:tc>
          <w:tcPr>
            <w:tcW w:w="5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Deferred income taxes</w:t>
            </w:r>
          </w:p>
        </w:tc>
        <w:tc>
          <w:tcPr>
            <w:tcW w:w="26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2,916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w:t>
            </w:r>
          </w:p>
        </w:tc>
      </w:tr>
      <w:tr>
        <w:trPr>
          <w:trHeight w:val="196"/>
        </w:trPr>
        <w:tc>
          <w:tcPr>
            <w:tcW w:w="20" w:type="dxa"/>
            <w:vAlign w:val="bottom"/>
          </w:tcPr>
          <w:p>
            <w:pPr>
              <w:spacing w:after="0"/>
              <w:rPr>
                <w:sz w:val="17"/>
                <w:szCs w:val="17"/>
                <w:color w:val="auto"/>
              </w:rPr>
            </w:pPr>
          </w:p>
        </w:tc>
        <w:tc>
          <w:tcPr>
            <w:tcW w:w="51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 current income taxes payable and deferred</w:t>
            </w:r>
          </w:p>
        </w:tc>
        <w:tc>
          <w:tcPr>
            <w:tcW w:w="2660" w:type="dxa"/>
            <w:vAlign w:val="bottom"/>
            <w:tcBorders>
              <w:bottom w:val="single" w:sz="8" w:color="auto"/>
            </w:tcBorders>
          </w:tcPr>
          <w:p>
            <w:pPr>
              <w:jc w:val="right"/>
              <w:ind w:right="692"/>
              <w:spacing w:after="0" w:line="196" w:lineRule="exact"/>
              <w:rPr>
                <w:sz w:val="20"/>
                <w:szCs w:val="20"/>
                <w:color w:val="auto"/>
              </w:rPr>
            </w:pPr>
            <w:r>
              <w:rPr>
                <w:rFonts w:ascii="Arial" w:cs="Arial" w:eastAsia="Arial" w:hAnsi="Arial"/>
                <w:sz w:val="18"/>
                <w:szCs w:val="18"/>
                <w:b w:val="1"/>
                <w:bCs w:val="1"/>
                <w:color w:val="auto"/>
              </w:rPr>
              <w:t>$13,552</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$8,766</w:t>
            </w:r>
          </w:p>
        </w:tc>
      </w:tr>
    </w:tbl>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Taxes paid, net of refunds, amounted to $15.1 million in 2012, $13.7 million in 2011, and $9.2 million in 2010.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0"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market price data)</w:t>
            </w:r>
          </w:p>
        </w:tc>
        <w:tc>
          <w:tcPr>
            <w:tcW w:w="25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2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color w:val="auto"/>
              </w:rPr>
              <w:t>2011</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399"/>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available to common shareholders</w:t>
            </w:r>
          </w:p>
        </w:tc>
        <w:tc>
          <w:tcPr>
            <w:tcW w:w="258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$30,977</w:t>
            </w:r>
          </w:p>
        </w:tc>
        <w:tc>
          <w:tcPr>
            <w:tcW w:w="20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$34,938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$37,636</w:t>
            </w:r>
          </w:p>
        </w:tc>
        <w:tc>
          <w:tcPr>
            <w:tcW w:w="0" w:type="dxa"/>
            <w:vAlign w:val="bottom"/>
          </w:tcPr>
          <w:p>
            <w:pPr>
              <w:spacing w:after="0"/>
              <w:rPr>
                <w:sz w:val="1"/>
                <w:szCs w:val="1"/>
                <w:color w:val="auto"/>
              </w:rPr>
            </w:pPr>
          </w:p>
        </w:tc>
      </w:tr>
      <w:tr>
        <w:trPr>
          <w:trHeight w:val="412"/>
        </w:trPr>
        <w:tc>
          <w:tcPr>
            <w:tcW w:w="554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540" w:type="dxa"/>
            <w:vAlign w:val="bottom"/>
          </w:tcPr>
          <w:p>
            <w:pPr>
              <w:ind w:left="180"/>
              <w:spacing w:after="0"/>
              <w:rPr>
                <w:sz w:val="20"/>
                <w:szCs w:val="20"/>
                <w:color w:val="auto"/>
              </w:rPr>
            </w:pPr>
            <w:r>
              <w:rPr>
                <w:rFonts w:ascii="Arial" w:cs="Arial" w:eastAsia="Arial" w:hAnsi="Arial"/>
                <w:sz w:val="18"/>
                <w:szCs w:val="18"/>
                <w:color w:val="auto"/>
              </w:rPr>
              <w:t>Weighted average number of shares used in</w:t>
            </w:r>
          </w:p>
        </w:tc>
        <w:tc>
          <w:tcPr>
            <w:tcW w:w="2580" w:type="dxa"/>
            <w:vAlign w:val="bottom"/>
            <w:vMerge w:val="restart"/>
          </w:tcPr>
          <w:p>
            <w:pPr>
              <w:jc w:val="right"/>
              <w:ind w:right="672"/>
              <w:spacing w:after="0"/>
              <w:rPr>
                <w:sz w:val="20"/>
                <w:szCs w:val="20"/>
                <w:color w:val="auto"/>
              </w:rPr>
            </w:pPr>
            <w:r>
              <w:rPr>
                <w:rFonts w:ascii="Arial" w:cs="Arial" w:eastAsia="Arial" w:hAnsi="Arial"/>
                <w:sz w:val="18"/>
                <w:szCs w:val="18"/>
                <w:b w:val="1"/>
                <w:bCs w:val="1"/>
                <w:color w:val="auto"/>
              </w:rPr>
              <w:t>31,356</w:t>
            </w: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40" w:type="dxa"/>
            <w:vAlign w:val="bottom"/>
          </w:tcPr>
          <w:p>
            <w:pPr>
              <w:ind w:left="180"/>
              <w:spacing w:after="0"/>
              <w:rPr>
                <w:sz w:val="20"/>
                <w:szCs w:val="20"/>
                <w:color w:val="auto"/>
              </w:rPr>
            </w:pPr>
            <w:r>
              <w:rPr>
                <w:rFonts w:ascii="Arial" w:cs="Arial" w:eastAsia="Arial" w:hAnsi="Arial"/>
                <w:sz w:val="18"/>
                <w:szCs w:val="18"/>
                <w:color w:val="auto"/>
              </w:rPr>
              <w:t>calculating basic net income/(loss) per share</w:t>
            </w:r>
          </w:p>
        </w:tc>
        <w:tc>
          <w:tcPr>
            <w:tcW w:w="2580" w:type="dxa"/>
            <w:vAlign w:val="bottom"/>
            <w:vMerge w:val="continue"/>
          </w:tcPr>
          <w:p>
            <w:pPr>
              <w:spacing w:after="0"/>
              <w:rPr>
                <w:sz w:val="18"/>
                <w:szCs w:val="18"/>
                <w:color w:val="auto"/>
              </w:rPr>
            </w:pPr>
          </w:p>
        </w:tc>
        <w:tc>
          <w:tcPr>
            <w:tcW w:w="2020" w:type="dxa"/>
            <w:vAlign w:val="bottom"/>
          </w:tcPr>
          <w:p>
            <w:pPr>
              <w:jc w:val="right"/>
              <w:ind w:right="672"/>
              <w:spacing w:after="0"/>
              <w:rPr>
                <w:sz w:val="20"/>
                <w:szCs w:val="20"/>
                <w:color w:val="auto"/>
              </w:rPr>
            </w:pPr>
            <w:r>
              <w:rPr>
                <w:rFonts w:ascii="Arial" w:cs="Arial" w:eastAsia="Arial" w:hAnsi="Arial"/>
                <w:sz w:val="18"/>
                <w:szCs w:val="18"/>
                <w:color w:val="auto"/>
              </w:rPr>
              <w:t>31,262</w:t>
            </w:r>
          </w:p>
        </w:tc>
        <w:tc>
          <w:tcPr>
            <w:tcW w:w="1280" w:type="dxa"/>
            <w:vAlign w:val="bottom"/>
          </w:tcPr>
          <w:p>
            <w:pPr>
              <w:jc w:val="right"/>
              <w:spacing w:after="0"/>
              <w:rPr>
                <w:sz w:val="20"/>
                <w:szCs w:val="20"/>
                <w:color w:val="auto"/>
              </w:rPr>
            </w:pPr>
            <w:r>
              <w:rPr>
                <w:rFonts w:ascii="Arial" w:cs="Arial" w:eastAsia="Arial" w:hAnsi="Arial"/>
                <w:sz w:val="18"/>
                <w:szCs w:val="18"/>
                <w:color w:val="auto"/>
              </w:rPr>
              <w:t>31,072</w:t>
            </w:r>
          </w:p>
        </w:tc>
        <w:tc>
          <w:tcPr>
            <w:tcW w:w="0" w:type="dxa"/>
            <w:vAlign w:val="bottom"/>
          </w:tcPr>
          <w:p>
            <w:pPr>
              <w:spacing w:after="0"/>
              <w:rPr>
                <w:sz w:val="1"/>
                <w:szCs w:val="1"/>
                <w:color w:val="auto"/>
              </w:rPr>
            </w:pPr>
          </w:p>
        </w:tc>
      </w:tr>
      <w:tr>
        <w:trPr>
          <w:trHeight w:val="405"/>
        </w:trPr>
        <w:tc>
          <w:tcPr>
            <w:tcW w:w="554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580" w:type="dxa"/>
            <w:vAlign w:val="bottom"/>
          </w:tcPr>
          <w:p>
            <w:pPr>
              <w:jc w:val="right"/>
              <w:ind w:right="672"/>
              <w:spacing w:after="0"/>
              <w:rPr>
                <w:sz w:val="20"/>
                <w:szCs w:val="20"/>
                <w:color w:val="auto"/>
              </w:rPr>
            </w:pPr>
            <w:r>
              <w:rPr>
                <w:rFonts w:ascii="Arial" w:cs="Arial" w:eastAsia="Arial" w:hAnsi="Arial"/>
                <w:sz w:val="18"/>
                <w:szCs w:val="18"/>
                <w:b w:val="1"/>
                <w:bCs w:val="1"/>
                <w:color w:val="auto"/>
              </w:rPr>
              <w:t>57</w:t>
            </w:r>
          </w:p>
        </w:tc>
        <w:tc>
          <w:tcPr>
            <w:tcW w:w="2020" w:type="dxa"/>
            <w:vAlign w:val="bottom"/>
          </w:tcPr>
          <w:p>
            <w:pPr>
              <w:jc w:val="right"/>
              <w:ind w:right="672"/>
              <w:spacing w:after="0"/>
              <w:rPr>
                <w:sz w:val="20"/>
                <w:szCs w:val="20"/>
                <w:color w:val="auto"/>
              </w:rPr>
            </w:pPr>
            <w:r>
              <w:rPr>
                <w:rFonts w:ascii="Arial" w:cs="Arial" w:eastAsia="Arial" w:hAnsi="Arial"/>
                <w:sz w:val="18"/>
                <w:szCs w:val="18"/>
                <w:color w:val="auto"/>
              </w:rPr>
              <w:t>104</w:t>
            </w: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92"/>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Long-term incentive plan</w:t>
            </w:r>
          </w:p>
        </w:tc>
        <w:tc>
          <w:tcPr>
            <w:tcW w:w="258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223</w:t>
            </w:r>
          </w:p>
        </w:tc>
        <w:tc>
          <w:tcPr>
            <w:tcW w:w="20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144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98"/>
        </w:trPr>
        <w:tc>
          <w:tcPr>
            <w:tcW w:w="554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580" w:type="dxa"/>
            <w:vAlign w:val="bottom"/>
            <w:vMerge w:val="restart"/>
          </w:tcPr>
          <w:p>
            <w:pPr>
              <w:jc w:val="right"/>
              <w:ind w:right="672"/>
              <w:spacing w:after="0"/>
              <w:rPr>
                <w:sz w:val="20"/>
                <w:szCs w:val="20"/>
                <w:color w:val="auto"/>
              </w:rPr>
            </w:pPr>
            <w:r>
              <w:rPr>
                <w:rFonts w:ascii="Arial" w:cs="Arial" w:eastAsia="Arial" w:hAnsi="Arial"/>
                <w:sz w:val="18"/>
                <w:szCs w:val="18"/>
                <w:b w:val="1"/>
                <w:bCs w:val="1"/>
                <w:color w:val="auto"/>
              </w:rPr>
              <w:t>31,636</w:t>
            </w: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58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right"/>
              <w:ind w:right="672"/>
              <w:spacing w:after="0" w:line="203" w:lineRule="exact"/>
              <w:rPr>
                <w:sz w:val="20"/>
                <w:szCs w:val="20"/>
                <w:color w:val="auto"/>
              </w:rPr>
            </w:pPr>
            <w:r>
              <w:rPr>
                <w:rFonts w:ascii="Arial" w:cs="Arial" w:eastAsia="Arial" w:hAnsi="Arial"/>
                <w:sz w:val="18"/>
                <w:szCs w:val="18"/>
                <w:color w:val="auto"/>
              </w:rPr>
              <w:t>31,510</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31,209</w:t>
            </w:r>
          </w:p>
        </w:tc>
        <w:tc>
          <w:tcPr>
            <w:tcW w:w="0" w:type="dxa"/>
            <w:vAlign w:val="bottom"/>
          </w:tcPr>
          <w:p>
            <w:pPr>
              <w:spacing w:after="0"/>
              <w:rPr>
                <w:sz w:val="1"/>
                <w:szCs w:val="1"/>
                <w:color w:val="auto"/>
              </w:rPr>
            </w:pPr>
          </w:p>
        </w:tc>
      </w:tr>
      <w:tr>
        <w:trPr>
          <w:trHeight w:val="398"/>
        </w:trPr>
        <w:tc>
          <w:tcPr>
            <w:tcW w:w="5540" w:type="dxa"/>
            <w:vAlign w:val="bottom"/>
          </w:tcPr>
          <w:p>
            <w:pPr>
              <w:spacing w:after="0"/>
              <w:rPr>
                <w:sz w:val="20"/>
                <w:szCs w:val="20"/>
                <w:color w:val="auto"/>
              </w:rPr>
            </w:pPr>
            <w:r>
              <w:rPr>
                <w:rFonts w:ascii="Arial" w:cs="Arial" w:eastAsia="Arial" w:hAnsi="Arial"/>
                <w:sz w:val="18"/>
                <w:szCs w:val="18"/>
                <w:color w:val="auto"/>
              </w:rPr>
              <w:t>Effect of stock-based compensation plans</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that were not included in the computation of</w:t>
            </w:r>
          </w:p>
        </w:tc>
        <w:tc>
          <w:tcPr>
            <w:tcW w:w="25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diluted earnings per share because</w:t>
            </w:r>
          </w:p>
        </w:tc>
        <w:tc>
          <w:tcPr>
            <w:tcW w:w="2580" w:type="dxa"/>
            <w:vAlign w:val="bottom"/>
            <w:vMerge w:val="restart"/>
          </w:tcPr>
          <w:p>
            <w:pPr>
              <w:jc w:val="right"/>
              <w:ind w:right="672"/>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to do so would have been antidilutive</w:t>
            </w:r>
          </w:p>
        </w:tc>
        <w:tc>
          <w:tcPr>
            <w:tcW w:w="258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right"/>
              <w:ind w:right="672"/>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554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580" w:type="dxa"/>
            <w:vAlign w:val="bottom"/>
            <w:vMerge w:val="restart"/>
          </w:tcPr>
          <w:p>
            <w:pPr>
              <w:jc w:val="right"/>
              <w:ind w:right="672"/>
              <w:spacing w:after="0"/>
              <w:rPr>
                <w:sz w:val="20"/>
                <w:szCs w:val="20"/>
                <w:color w:val="auto"/>
              </w:rPr>
            </w:pPr>
            <w:r>
              <w:rPr>
                <w:rFonts w:ascii="Arial" w:cs="Arial" w:eastAsia="Arial" w:hAnsi="Arial"/>
                <w:sz w:val="18"/>
                <w:szCs w:val="18"/>
                <w:b w:val="1"/>
                <w:bCs w:val="1"/>
                <w:color w:val="auto"/>
              </w:rPr>
              <w:t>$21.51</w:t>
            </w: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58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right"/>
              <w:ind w:right="672"/>
              <w:spacing w:after="0" w:line="203" w:lineRule="exact"/>
              <w:rPr>
                <w:sz w:val="20"/>
                <w:szCs w:val="20"/>
                <w:color w:val="auto"/>
              </w:rPr>
            </w:pPr>
            <w:r>
              <w:rPr>
                <w:rFonts w:ascii="Arial" w:cs="Arial" w:eastAsia="Arial" w:hAnsi="Arial"/>
                <w:sz w:val="18"/>
                <w:szCs w:val="18"/>
                <w:color w:val="auto"/>
              </w:rPr>
              <w:t>$23.44</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412"/>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40" w:type="dxa"/>
            <w:vAlign w:val="bottom"/>
          </w:tcPr>
          <w:p>
            <w:pPr>
              <w:ind w:left="180"/>
              <w:spacing w:after="0"/>
              <w:rPr>
                <w:sz w:val="20"/>
                <w:szCs w:val="20"/>
                <w:color w:val="auto"/>
              </w:rPr>
            </w:pPr>
            <w:r>
              <w:rPr>
                <w:rFonts w:ascii="Arial" w:cs="Arial" w:eastAsia="Arial" w:hAnsi="Arial"/>
                <w:sz w:val="18"/>
                <w:szCs w:val="18"/>
                <w:color w:val="auto"/>
              </w:rPr>
              <w:t>Basic</w:t>
            </w:r>
          </w:p>
        </w:tc>
        <w:tc>
          <w:tcPr>
            <w:tcW w:w="2580" w:type="dxa"/>
            <w:vAlign w:val="bottom"/>
          </w:tcPr>
          <w:p>
            <w:pPr>
              <w:jc w:val="right"/>
              <w:ind w:right="672"/>
              <w:spacing w:after="0"/>
              <w:rPr>
                <w:sz w:val="20"/>
                <w:szCs w:val="20"/>
                <w:color w:val="auto"/>
              </w:rPr>
            </w:pPr>
            <w:r>
              <w:rPr>
                <w:rFonts w:ascii="Arial" w:cs="Arial" w:eastAsia="Arial" w:hAnsi="Arial"/>
                <w:sz w:val="18"/>
                <w:szCs w:val="18"/>
                <w:b w:val="1"/>
                <w:bCs w:val="1"/>
                <w:color w:val="auto"/>
              </w:rPr>
              <w:t>$0.99</w:t>
            </w:r>
          </w:p>
        </w:tc>
        <w:tc>
          <w:tcPr>
            <w:tcW w:w="2020" w:type="dxa"/>
            <w:vAlign w:val="bottom"/>
          </w:tcPr>
          <w:p>
            <w:pPr>
              <w:jc w:val="right"/>
              <w:ind w:right="672"/>
              <w:spacing w:after="0"/>
              <w:rPr>
                <w:sz w:val="20"/>
                <w:szCs w:val="20"/>
                <w:color w:val="auto"/>
              </w:rPr>
            </w:pPr>
            <w:r>
              <w:rPr>
                <w:rFonts w:ascii="Arial" w:cs="Arial" w:eastAsia="Arial" w:hAnsi="Arial"/>
                <w:sz w:val="18"/>
                <w:szCs w:val="18"/>
                <w:color w:val="auto"/>
              </w:rPr>
              <w:t>$1.12</w:t>
            </w:r>
          </w:p>
        </w:tc>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92"/>
        </w:trPr>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58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*$0.97</w:t>
            </w:r>
          </w:p>
        </w:tc>
        <w:tc>
          <w:tcPr>
            <w:tcW w:w="20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color w:val="auto"/>
              </w:rPr>
              <w:t>$1.11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As of December 31, 2012, 2011, and 2010, there was no dilution resulting from the convertible debt instrument, purchased call option, and warrant that are described in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80" w:firstLine="8"/>
        <w:spacing w:after="0" w:line="246" w:lineRule="auto"/>
        <w:tabs>
          <w:tab w:leader="none" w:pos="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a loss from continuing operations in 2012, the calculation of diluted income per share cannot be calculated by dividing net income by the diluted shares in the table above. See Statement of Income.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71" w:name="page72"/>
    <w:bookmarkEnd w:id="71"/>
    <w:p>
      <w:pPr>
        <w:ind w:right="260" w:firstLine="360"/>
        <w:spacing w:after="0" w:line="246" w:lineRule="auto"/>
        <w:rPr>
          <w:sz w:val="20"/>
          <w:szCs w:val="20"/>
          <w:color w:val="auto"/>
        </w:rPr>
      </w:pPr>
      <w:r>
        <w:rPr>
          <w:rFonts w:ascii="Arial" w:cs="Arial" w:eastAsia="Arial" w:hAnsi="Arial"/>
          <w:sz w:val="18"/>
          <w:szCs w:val="18"/>
          <w:color w:val="auto"/>
        </w:rPr>
        <w:t>Shares outstanding, net of treasury shares, were 31.4 million as of December 31, 2012, 31.3 million as of December 31, 2011, and 31.2 million as of December 31,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Property, Plant and Equipment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property, plant and equipment are summarized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4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2011</w:t>
            </w:r>
          </w:p>
        </w:tc>
        <w:tc>
          <w:tcPr>
            <w:tcW w:w="34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Estimated useful life</w:t>
            </w:r>
          </w:p>
        </w:tc>
      </w:tr>
      <w:tr>
        <w:trPr>
          <w:trHeight w:val="412"/>
        </w:trPr>
        <w:tc>
          <w:tcPr>
            <w:tcW w:w="40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420" w:type="dxa"/>
            <w:vAlign w:val="bottom"/>
          </w:tcPr>
          <w:p>
            <w:pPr>
              <w:jc w:val="right"/>
              <w:ind w:right="392"/>
              <w:spacing w:after="0"/>
              <w:rPr>
                <w:sz w:val="20"/>
                <w:szCs w:val="20"/>
                <w:color w:val="auto"/>
              </w:rPr>
            </w:pPr>
            <w:r>
              <w:rPr>
                <w:rFonts w:ascii="Arial" w:cs="Arial" w:eastAsia="Arial" w:hAnsi="Arial"/>
                <w:sz w:val="18"/>
                <w:szCs w:val="18"/>
                <w:b w:val="1"/>
                <w:bCs w:val="1"/>
                <w:color w:val="auto"/>
              </w:rPr>
              <w:t>$26,985</w:t>
            </w: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$28,145</w:t>
            </w:r>
          </w:p>
        </w:tc>
        <w:tc>
          <w:tcPr>
            <w:tcW w:w="3480" w:type="dxa"/>
            <w:vAlign w:val="bottom"/>
          </w:tcPr>
          <w:p>
            <w:pPr>
              <w:ind w:left="180"/>
              <w:spacing w:after="0"/>
              <w:rPr>
                <w:sz w:val="20"/>
                <w:szCs w:val="20"/>
                <w:color w:val="auto"/>
              </w:rPr>
            </w:pPr>
            <w:r>
              <w:rPr>
                <w:rFonts w:ascii="Arial" w:cs="Arial" w:eastAsia="Arial" w:hAnsi="Arial"/>
                <w:sz w:val="18"/>
                <w:szCs w:val="18"/>
                <w:color w:val="auto"/>
              </w:rPr>
              <w:t>25 years for improvements</w:t>
            </w:r>
          </w:p>
        </w:tc>
      </w:tr>
      <w:tr>
        <w:trPr>
          <w:trHeight w:val="405"/>
        </w:trPr>
        <w:tc>
          <w:tcPr>
            <w:tcW w:w="4080" w:type="dxa"/>
            <w:vAlign w:val="bottom"/>
          </w:tcPr>
          <w:p>
            <w:pPr>
              <w:spacing w:after="0"/>
              <w:rPr>
                <w:sz w:val="20"/>
                <w:szCs w:val="20"/>
                <w:color w:val="auto"/>
              </w:rPr>
            </w:pPr>
            <w:r>
              <w:rPr>
                <w:rFonts w:ascii="Arial" w:cs="Arial" w:eastAsia="Arial" w:hAnsi="Arial"/>
                <w:sz w:val="18"/>
                <w:szCs w:val="18"/>
                <w:color w:val="auto"/>
              </w:rPr>
              <w:t>Buildings</w:t>
            </w:r>
          </w:p>
        </w:tc>
        <w:tc>
          <w:tcPr>
            <w:tcW w:w="2420" w:type="dxa"/>
            <w:vAlign w:val="bottom"/>
          </w:tcPr>
          <w:p>
            <w:pPr>
              <w:jc w:val="right"/>
              <w:ind w:right="392"/>
              <w:spacing w:after="0"/>
              <w:rPr>
                <w:sz w:val="20"/>
                <w:szCs w:val="20"/>
                <w:color w:val="auto"/>
              </w:rPr>
            </w:pPr>
            <w:r>
              <w:rPr>
                <w:rFonts w:ascii="Arial" w:cs="Arial" w:eastAsia="Arial" w:hAnsi="Arial"/>
                <w:sz w:val="18"/>
                <w:szCs w:val="18"/>
                <w:b w:val="1"/>
                <w:bCs w:val="1"/>
                <w:color w:val="auto"/>
              </w:rPr>
              <w:t>244,104</w:t>
            </w: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247,214</w:t>
            </w:r>
          </w:p>
        </w:tc>
        <w:tc>
          <w:tcPr>
            <w:tcW w:w="3480" w:type="dxa"/>
            <w:vAlign w:val="bottom"/>
          </w:tcPr>
          <w:p>
            <w:pPr>
              <w:ind w:left="180"/>
              <w:spacing w:after="0"/>
              <w:rPr>
                <w:sz w:val="20"/>
                <w:szCs w:val="20"/>
                <w:color w:val="auto"/>
              </w:rPr>
            </w:pPr>
            <w:r>
              <w:rPr>
                <w:rFonts w:ascii="Arial" w:cs="Arial" w:eastAsia="Arial" w:hAnsi="Arial"/>
                <w:sz w:val="18"/>
                <w:szCs w:val="18"/>
                <w:color w:val="auto"/>
              </w:rPr>
              <w:t>25 to 40 years</w:t>
            </w:r>
          </w:p>
        </w:tc>
      </w:tr>
      <w:tr>
        <w:trPr>
          <w:trHeight w:val="405"/>
        </w:trPr>
        <w:tc>
          <w:tcPr>
            <w:tcW w:w="40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20" w:type="dxa"/>
            <w:vAlign w:val="bottom"/>
          </w:tcPr>
          <w:p>
            <w:pPr>
              <w:jc w:val="right"/>
              <w:ind w:right="392"/>
              <w:spacing w:after="0"/>
              <w:rPr>
                <w:sz w:val="20"/>
                <w:szCs w:val="20"/>
                <w:color w:val="auto"/>
              </w:rPr>
            </w:pPr>
            <w:r>
              <w:rPr>
                <w:rFonts w:ascii="Arial" w:cs="Arial" w:eastAsia="Arial" w:hAnsi="Arial"/>
                <w:sz w:val="18"/>
                <w:szCs w:val="18"/>
                <w:b w:val="1"/>
                <w:bCs w:val="1"/>
                <w:color w:val="auto"/>
              </w:rPr>
              <w:t>863,811</w:t>
            </w: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831,974</w:t>
            </w:r>
          </w:p>
        </w:tc>
        <w:tc>
          <w:tcPr>
            <w:tcW w:w="3480" w:type="dxa"/>
            <w:vAlign w:val="bottom"/>
          </w:tcPr>
          <w:p>
            <w:pPr>
              <w:ind w:left="180"/>
              <w:spacing w:after="0"/>
              <w:rPr>
                <w:sz w:val="20"/>
                <w:szCs w:val="20"/>
                <w:color w:val="auto"/>
              </w:rPr>
            </w:pPr>
            <w:r>
              <w:rPr>
                <w:rFonts w:ascii="Arial" w:cs="Arial" w:eastAsia="Arial" w:hAnsi="Arial"/>
                <w:sz w:val="18"/>
                <w:szCs w:val="18"/>
                <w:color w:val="auto"/>
              </w:rPr>
              <w:t>10 years</w:t>
            </w:r>
          </w:p>
        </w:tc>
      </w:tr>
      <w:tr>
        <w:trPr>
          <w:trHeight w:val="405"/>
        </w:trPr>
        <w:tc>
          <w:tcPr>
            <w:tcW w:w="4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20" w:type="dxa"/>
            <w:vAlign w:val="bottom"/>
          </w:tcPr>
          <w:p>
            <w:pPr>
              <w:jc w:val="right"/>
              <w:ind w:right="392"/>
              <w:spacing w:after="0"/>
              <w:rPr>
                <w:sz w:val="20"/>
                <w:szCs w:val="20"/>
                <w:color w:val="auto"/>
              </w:rPr>
            </w:pPr>
            <w:r>
              <w:rPr>
                <w:rFonts w:ascii="Arial" w:cs="Arial" w:eastAsia="Arial" w:hAnsi="Arial"/>
                <w:sz w:val="18"/>
                <w:szCs w:val="18"/>
                <w:b w:val="1"/>
                <w:bCs w:val="1"/>
                <w:color w:val="auto"/>
              </w:rPr>
              <w:t>7,249</w:t>
            </w: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9,211</w:t>
            </w:r>
          </w:p>
        </w:tc>
        <w:tc>
          <w:tcPr>
            <w:tcW w:w="3480" w:type="dxa"/>
            <w:vAlign w:val="bottom"/>
          </w:tcPr>
          <w:p>
            <w:pPr>
              <w:ind w:left="180"/>
              <w:spacing w:after="0"/>
              <w:rPr>
                <w:sz w:val="20"/>
                <w:szCs w:val="20"/>
                <w:color w:val="auto"/>
              </w:rPr>
            </w:pPr>
            <w:r>
              <w:rPr>
                <w:rFonts w:ascii="Arial" w:cs="Arial" w:eastAsia="Arial" w:hAnsi="Arial"/>
                <w:sz w:val="18"/>
                <w:szCs w:val="18"/>
                <w:color w:val="auto"/>
              </w:rPr>
              <w:t>5 years</w:t>
            </w:r>
          </w:p>
        </w:tc>
      </w:tr>
      <w:tr>
        <w:trPr>
          <w:trHeight w:val="405"/>
        </w:trPr>
        <w:tc>
          <w:tcPr>
            <w:tcW w:w="4080" w:type="dxa"/>
            <w:vAlign w:val="bottom"/>
          </w:tcPr>
          <w:p>
            <w:pPr>
              <w:spacing w:after="0"/>
              <w:rPr>
                <w:sz w:val="20"/>
                <w:szCs w:val="20"/>
                <w:color w:val="auto"/>
              </w:rPr>
            </w:pPr>
            <w:r>
              <w:rPr>
                <w:rFonts w:ascii="Arial" w:cs="Arial" w:eastAsia="Arial" w:hAnsi="Arial"/>
                <w:sz w:val="18"/>
                <w:szCs w:val="18"/>
                <w:color w:val="auto"/>
              </w:rPr>
              <w:t>Computer and other equipment</w:t>
            </w:r>
          </w:p>
        </w:tc>
        <w:tc>
          <w:tcPr>
            <w:tcW w:w="2420" w:type="dxa"/>
            <w:vAlign w:val="bottom"/>
          </w:tcPr>
          <w:p>
            <w:pPr>
              <w:jc w:val="right"/>
              <w:ind w:right="392"/>
              <w:spacing w:after="0"/>
              <w:rPr>
                <w:sz w:val="20"/>
                <w:szCs w:val="20"/>
                <w:color w:val="auto"/>
              </w:rPr>
            </w:pPr>
            <w:r>
              <w:rPr>
                <w:rFonts w:ascii="Arial" w:cs="Arial" w:eastAsia="Arial" w:hAnsi="Arial"/>
                <w:sz w:val="18"/>
                <w:szCs w:val="18"/>
                <w:b w:val="1"/>
                <w:bCs w:val="1"/>
                <w:color w:val="auto"/>
              </w:rPr>
              <w:t>11,946</w:t>
            </w: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11,237</w:t>
            </w:r>
          </w:p>
        </w:tc>
        <w:tc>
          <w:tcPr>
            <w:tcW w:w="3480" w:type="dxa"/>
            <w:vAlign w:val="bottom"/>
          </w:tcPr>
          <w:p>
            <w:pPr>
              <w:ind w:left="180"/>
              <w:spacing w:after="0"/>
              <w:rPr>
                <w:sz w:val="20"/>
                <w:szCs w:val="20"/>
                <w:color w:val="auto"/>
              </w:rPr>
            </w:pPr>
            <w:r>
              <w:rPr>
                <w:rFonts w:ascii="Arial" w:cs="Arial" w:eastAsia="Arial" w:hAnsi="Arial"/>
                <w:sz w:val="18"/>
                <w:szCs w:val="18"/>
                <w:color w:val="auto"/>
              </w:rPr>
              <w:t>3 to 10 years</w:t>
            </w:r>
          </w:p>
        </w:tc>
      </w:tr>
      <w:tr>
        <w:trPr>
          <w:trHeight w:val="392"/>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Software</w:t>
            </w:r>
          </w:p>
        </w:tc>
        <w:tc>
          <w:tcPr>
            <w:tcW w:w="24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47,576</w:t>
            </w:r>
          </w:p>
        </w:tc>
        <w:tc>
          <w:tcPr>
            <w:tcW w:w="14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50,673</w:t>
            </w:r>
          </w:p>
        </w:tc>
        <w:tc>
          <w:tcPr>
            <w:tcW w:w="3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 to 8 years</w:t>
            </w:r>
          </w:p>
        </w:tc>
      </w:tr>
      <w:tr>
        <w:trPr>
          <w:trHeight w:val="412"/>
        </w:trPr>
        <w:tc>
          <w:tcPr>
            <w:tcW w:w="408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420" w:type="dxa"/>
            <w:vAlign w:val="bottom"/>
          </w:tcPr>
          <w:p>
            <w:pPr>
              <w:jc w:val="right"/>
              <w:ind w:right="392"/>
              <w:spacing w:after="0"/>
              <w:rPr>
                <w:sz w:val="20"/>
                <w:szCs w:val="20"/>
                <w:color w:val="auto"/>
              </w:rPr>
            </w:pPr>
            <w:r>
              <w:rPr>
                <w:rFonts w:ascii="Arial" w:cs="Arial" w:eastAsia="Arial" w:hAnsi="Arial"/>
                <w:sz w:val="18"/>
                <w:szCs w:val="18"/>
                <w:b w:val="1"/>
                <w:bCs w:val="1"/>
                <w:color w:val="auto"/>
              </w:rPr>
              <w:t>1,201,671</w:t>
            </w:r>
          </w:p>
        </w:tc>
        <w:tc>
          <w:tcPr>
            <w:tcW w:w="1440" w:type="dxa"/>
            <w:vAlign w:val="bottom"/>
          </w:tcPr>
          <w:p>
            <w:pPr>
              <w:jc w:val="right"/>
              <w:ind w:right="192"/>
              <w:spacing w:after="0"/>
              <w:rPr>
                <w:sz w:val="20"/>
                <w:szCs w:val="20"/>
                <w:color w:val="auto"/>
              </w:rPr>
            </w:pPr>
            <w:r>
              <w:rPr>
                <w:rFonts w:ascii="Arial" w:cs="Arial" w:eastAsia="Arial" w:hAnsi="Arial"/>
                <w:sz w:val="18"/>
                <w:szCs w:val="18"/>
                <w:color w:val="auto"/>
              </w:rPr>
              <w:t>1,178,454</w:t>
            </w:r>
          </w:p>
        </w:tc>
        <w:tc>
          <w:tcPr>
            <w:tcW w:w="3480" w:type="dxa"/>
            <w:vAlign w:val="bottom"/>
          </w:tcPr>
          <w:p>
            <w:pPr>
              <w:spacing w:after="0"/>
              <w:rPr>
                <w:sz w:val="24"/>
                <w:szCs w:val="24"/>
                <w:color w:val="auto"/>
              </w:rPr>
            </w:pPr>
          </w:p>
        </w:tc>
      </w:tr>
      <w:tr>
        <w:trPr>
          <w:trHeight w:val="392"/>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depreciation</w:t>
            </w:r>
          </w:p>
        </w:tc>
        <w:tc>
          <w:tcPr>
            <w:tcW w:w="24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(781,517)</w:t>
            </w: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(739,501)</w:t>
            </w:r>
          </w:p>
        </w:tc>
        <w:tc>
          <w:tcPr>
            <w:tcW w:w="3480" w:type="dxa"/>
            <w:vAlign w:val="bottom"/>
            <w:tcBorders>
              <w:bottom w:val="single" w:sz="8" w:color="auto"/>
            </w:tcBorders>
          </w:tcPr>
          <w:p>
            <w:pPr>
              <w:spacing w:after="0"/>
              <w:rPr>
                <w:sz w:val="24"/>
                <w:szCs w:val="24"/>
                <w:color w:val="auto"/>
              </w:rPr>
            </w:pPr>
          </w:p>
        </w:tc>
      </w:tr>
      <w:tr>
        <w:trPr>
          <w:trHeight w:val="399"/>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plant and equipment, net</w:t>
            </w:r>
          </w:p>
        </w:tc>
        <w:tc>
          <w:tcPr>
            <w:tcW w:w="24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$420,154</w:t>
            </w:r>
          </w:p>
        </w:tc>
        <w:tc>
          <w:tcPr>
            <w:tcW w:w="14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$438,953</w:t>
            </w:r>
          </w:p>
        </w:tc>
        <w:tc>
          <w:tcPr>
            <w:tcW w:w="3480" w:type="dxa"/>
            <w:vAlign w:val="bottom"/>
            <w:tcBorders>
              <w:bottom w:val="single" w:sz="8" w:color="auto"/>
            </w:tcBorders>
          </w:tcPr>
          <w:p>
            <w:pPr>
              <w:spacing w:after="0"/>
              <w:rPr>
                <w:sz w:val="24"/>
                <w:szCs w:val="24"/>
                <w:color w:val="auto"/>
              </w:rPr>
            </w:pPr>
          </w:p>
        </w:tc>
      </w:tr>
    </w:tbl>
    <w:p>
      <w:pPr>
        <w:spacing w:after="0" w:line="121"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color w:val="auto"/>
        </w:rPr>
        <w:t>Expenditures for maintenance and repairs are charged to income as incurred and amounted to $17.0 million in 2012, $20.0 million in 2011, and $20.8 million in 2010.</w:t>
      </w:r>
    </w:p>
    <w:p>
      <w:pPr>
        <w:spacing w:after="0" w:line="143" w:lineRule="exact"/>
        <w:rPr>
          <w:sz w:val="20"/>
          <w:szCs w:val="20"/>
          <w:color w:val="auto"/>
        </w:rPr>
      </w:pPr>
    </w:p>
    <w:p>
      <w:pPr>
        <w:ind w:right="180" w:firstLine="360"/>
        <w:spacing w:after="0" w:line="239" w:lineRule="auto"/>
        <w:rPr>
          <w:sz w:val="20"/>
          <w:szCs w:val="20"/>
          <w:color w:val="auto"/>
        </w:rPr>
      </w:pPr>
      <w:r>
        <w:rPr>
          <w:rFonts w:ascii="Arial" w:cs="Arial" w:eastAsia="Arial" w:hAnsi="Arial"/>
          <w:sz w:val="18"/>
          <w:szCs w:val="18"/>
          <w:color w:val="auto"/>
        </w:rPr>
        <w:t>Depreciation expense was $56.6 million in 2012, $56.1 million in 2011, and $53.0 million in 2010. Software amortization is recorded in Selling and general expense and was $5.8 million in 2012 and 2011, and $5.6 million in 2010. Capital expenditures, including capitalized software, were $37.2 million in 2012, $27.5 million in 2011, and $31.0 million in 2010. Unamortized software cost was $22.4 million and $27.7 million as of December 31, 2012 and 2011,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Goodwill and Other Intangible Assets</w:t>
      </w:r>
    </w:p>
    <w:p>
      <w:pPr>
        <w:spacing w:after="0" w:line="180"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49" w:lineRule="exact"/>
        <w:rPr>
          <w:sz w:val="20"/>
          <w:szCs w:val="20"/>
          <w:color w:val="auto"/>
        </w:rPr>
      </w:pPr>
    </w:p>
    <w:p>
      <w:pPr>
        <w:ind w:right="320" w:firstLine="360"/>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48" w:lineRule="exact"/>
        <w:rPr>
          <w:sz w:val="20"/>
          <w:szCs w:val="20"/>
          <w:color w:val="auto"/>
        </w:rPr>
      </w:pPr>
    </w:p>
    <w:p>
      <w:pPr>
        <w:ind w:right="20" w:firstLine="360"/>
        <w:spacing w:after="0"/>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72" w:name="page73"/>
    <w:bookmarkEnd w:id="72"/>
    <w:p>
      <w:pPr>
        <w:ind w:right="80"/>
        <w:spacing w:after="0" w:line="246" w:lineRule="auto"/>
        <w:rPr>
          <w:sz w:val="20"/>
          <w:szCs w:val="20"/>
          <w:color w:val="auto"/>
        </w:rPr>
      </w:pPr>
      <w:r>
        <w:rPr>
          <w:rFonts w:ascii="Arial" w:cs="Arial" w:eastAsia="Arial" w:hAnsi="Arial"/>
          <w:sz w:val="18"/>
          <w:szCs w:val="18"/>
          <w:color w:val="auto"/>
        </w:rPr>
        <w:t>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43" w:lineRule="exact"/>
        <w:rPr>
          <w:sz w:val="20"/>
          <w:szCs w:val="20"/>
          <w:color w:val="auto"/>
        </w:rPr>
      </w:pPr>
    </w:p>
    <w:p>
      <w:pPr>
        <w:ind w:right="120" w:firstLine="360"/>
        <w:spacing w:after="0" w:line="239" w:lineRule="auto"/>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2012 the Company applied the qualitative assessment approach (See Recent Accounting Pronouncements under Note 1) in performing its annual evaluation of goodwill and concluded that no impairment provision was required. In addition, there were no amounts at risk due to the large spread between the fair and carrying values.</w:t>
      </w:r>
    </w:p>
    <w:p>
      <w:pPr>
        <w:spacing w:after="0" w:line="148"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2010 to December 31, 2012,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Borders>
              <w:top w:val="single" w:sz="8" w:color="auto"/>
            </w:tcBorders>
          </w:tcPr>
          <w:p>
            <w:pPr>
              <w:spacing w:after="0"/>
              <w:rPr>
                <w:sz w:val="14"/>
                <w:szCs w:val="14"/>
                <w:color w:val="auto"/>
              </w:rPr>
            </w:pPr>
          </w:p>
        </w:tc>
        <w:tc>
          <w:tcPr>
            <w:tcW w:w="29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Balance at</w:t>
            </w:r>
          </w:p>
        </w:tc>
        <w:tc>
          <w:tcPr>
            <w:tcW w:w="17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Currency</w:t>
            </w: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Balance at</w:t>
            </w:r>
          </w:p>
        </w:tc>
        <w:tc>
          <w:tcPr>
            <w:tcW w:w="120" w:type="dxa"/>
            <w:vAlign w:val="bottom"/>
            <w:gridSpan w:val="2"/>
          </w:tcPr>
          <w:p>
            <w:pPr>
              <w:spacing w:after="0"/>
              <w:rPr>
                <w:sz w:val="14"/>
                <w:szCs w:val="14"/>
                <w:color w:val="auto"/>
              </w:rPr>
            </w:pPr>
          </w:p>
        </w:tc>
      </w:tr>
      <w:tr>
        <w:trPr>
          <w:trHeight w:val="175"/>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2011</w:t>
            </w:r>
          </w:p>
        </w:tc>
        <w:tc>
          <w:tcPr>
            <w:tcW w:w="1780" w:type="dxa"/>
            <w:vAlign w:val="bottom"/>
          </w:tcPr>
          <w:p>
            <w:pPr>
              <w:jc w:val="right"/>
              <w:ind w:right="173"/>
              <w:spacing w:after="0"/>
              <w:rPr>
                <w:sz w:val="20"/>
                <w:szCs w:val="20"/>
                <w:color w:val="auto"/>
              </w:rPr>
            </w:pPr>
            <w:r>
              <w:rPr>
                <w:rFonts w:ascii="Arial" w:cs="Arial" w:eastAsia="Arial" w:hAnsi="Arial"/>
                <w:sz w:val="14"/>
                <w:szCs w:val="14"/>
                <w:b w:val="1"/>
                <w:bCs w:val="1"/>
                <w:color w:val="auto"/>
              </w:rPr>
              <w:t>Amortization</w:t>
            </w:r>
          </w:p>
        </w:tc>
        <w:tc>
          <w:tcPr>
            <w:tcW w:w="16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Translation</w:t>
            </w:r>
          </w:p>
        </w:tc>
        <w:tc>
          <w:tcPr>
            <w:tcW w:w="16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2012</w:t>
            </w:r>
          </w:p>
        </w:tc>
      </w:tr>
      <w:tr>
        <w:trPr>
          <w:trHeight w:val="195"/>
        </w:trPr>
        <w:tc>
          <w:tcPr>
            <w:tcW w:w="3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Amortized intangible assets:</w:t>
            </w:r>
          </w:p>
        </w:tc>
        <w:tc>
          <w:tcPr>
            <w:tcW w:w="29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160"/>
              <w:spacing w:after="0" w:line="202" w:lineRule="exact"/>
              <w:rPr>
                <w:sz w:val="20"/>
                <w:szCs w:val="20"/>
                <w:color w:val="auto"/>
              </w:rPr>
            </w:pPr>
            <w:r>
              <w:rPr>
                <w:rFonts w:ascii="Arial" w:cs="Arial" w:eastAsia="Arial" w:hAnsi="Arial"/>
                <w:sz w:val="18"/>
                <w:szCs w:val="18"/>
                <w:color w:val="auto"/>
              </w:rPr>
              <w:t>AEC trade names</w:t>
            </w:r>
          </w:p>
        </w:tc>
        <w:tc>
          <w:tcPr>
            <w:tcW w:w="29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$43</w:t>
            </w:r>
          </w:p>
        </w:tc>
        <w:tc>
          <w:tcPr>
            <w:tcW w:w="1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w:t>
            </w:r>
          </w:p>
        </w:tc>
        <w:tc>
          <w:tcPr>
            <w:tcW w:w="120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160"/>
              <w:spacing w:after="0" w:line="202" w:lineRule="exact"/>
              <w:rPr>
                <w:sz w:val="20"/>
                <w:szCs w:val="20"/>
                <w:color w:val="auto"/>
              </w:rPr>
            </w:pPr>
            <w:r>
              <w:rPr>
                <w:rFonts w:ascii="Arial" w:cs="Arial" w:eastAsia="Arial" w:hAnsi="Arial"/>
                <w:sz w:val="18"/>
                <w:szCs w:val="18"/>
                <w:color w:val="auto"/>
              </w:rPr>
              <w:t>AEC customer contracts</w:t>
            </w:r>
          </w:p>
        </w:tc>
        <w:tc>
          <w:tcPr>
            <w:tcW w:w="29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808</w:t>
            </w:r>
          </w:p>
        </w:tc>
        <w:tc>
          <w:tcPr>
            <w:tcW w:w="1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(202)</w:t>
            </w:r>
          </w:p>
        </w:tc>
        <w:tc>
          <w:tcPr>
            <w:tcW w:w="1200" w:type="dxa"/>
            <w:vAlign w:val="bottom"/>
          </w:tcPr>
          <w:p>
            <w:pPr>
              <w:spacing w:after="0"/>
              <w:rPr>
                <w:sz w:val="17"/>
                <w:szCs w:val="17"/>
                <w:color w:val="auto"/>
              </w:rPr>
            </w:pPr>
          </w:p>
        </w:tc>
        <w:tc>
          <w:tcPr>
            <w:tcW w:w="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AEC technology</w:t>
            </w:r>
          </w:p>
        </w:tc>
        <w:tc>
          <w:tcPr>
            <w:tcW w:w="2920" w:type="dxa"/>
            <w:vAlign w:val="bottom"/>
            <w:tcBorders>
              <w:bottom w:val="single" w:sz="8" w:color="auto"/>
            </w:tcBorders>
          </w:tcPr>
          <w:p>
            <w:pPr>
              <w:jc w:val="right"/>
              <w:ind w:right="115"/>
              <w:spacing w:after="0" w:line="203" w:lineRule="exact"/>
              <w:rPr>
                <w:sz w:val="20"/>
                <w:szCs w:val="20"/>
                <w:color w:val="auto"/>
              </w:rPr>
            </w:pPr>
            <w:r>
              <w:rPr>
                <w:rFonts w:ascii="Arial" w:cs="Arial" w:eastAsia="Arial" w:hAnsi="Arial"/>
                <w:sz w:val="18"/>
                <w:szCs w:val="18"/>
                <w:color w:val="auto"/>
              </w:rPr>
              <w:t>228</w:t>
            </w:r>
          </w:p>
        </w:tc>
        <w:tc>
          <w:tcPr>
            <w:tcW w:w="1780" w:type="dxa"/>
            <w:vAlign w:val="bottom"/>
            <w:tcBorders>
              <w:bottom w:val="single" w:sz="8" w:color="auto"/>
            </w:tcBorders>
          </w:tcPr>
          <w:p>
            <w:pPr>
              <w:jc w:val="right"/>
              <w:ind w:right="113"/>
              <w:spacing w:after="0" w:line="203" w:lineRule="exact"/>
              <w:rPr>
                <w:sz w:val="20"/>
                <w:szCs w:val="20"/>
                <w:color w:val="auto"/>
              </w:rPr>
            </w:pPr>
            <w:r>
              <w:rPr>
                <w:rFonts w:ascii="Arial" w:cs="Arial" w:eastAsia="Arial" w:hAnsi="Arial"/>
                <w:sz w:val="18"/>
                <w:szCs w:val="18"/>
                <w:color w:val="auto"/>
              </w:rPr>
              <w:t>(24)</w:t>
            </w:r>
          </w:p>
        </w:tc>
        <w:tc>
          <w:tcPr>
            <w:tcW w:w="1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920" w:type="dxa"/>
            <w:vAlign w:val="bottom"/>
            <w:tcBorders>
              <w:bottom w:val="single" w:sz="8" w:color="auto"/>
            </w:tcBorders>
          </w:tcPr>
          <w:p>
            <w:pPr>
              <w:jc w:val="right"/>
              <w:ind w:right="115"/>
              <w:spacing w:after="0" w:line="196" w:lineRule="exact"/>
              <w:rPr>
                <w:sz w:val="20"/>
                <w:szCs w:val="20"/>
                <w:color w:val="auto"/>
              </w:rPr>
            </w:pPr>
            <w:r>
              <w:rPr>
                <w:rFonts w:ascii="Arial" w:cs="Arial" w:eastAsia="Arial" w:hAnsi="Arial"/>
                <w:sz w:val="18"/>
                <w:szCs w:val="18"/>
                <w:color w:val="auto"/>
              </w:rPr>
              <w:t>$1,079</w:t>
            </w:r>
          </w:p>
        </w:tc>
        <w:tc>
          <w:tcPr>
            <w:tcW w:w="1780" w:type="dxa"/>
            <w:vAlign w:val="bottom"/>
            <w:tcBorders>
              <w:bottom w:val="single" w:sz="8" w:color="auto"/>
            </w:tcBorders>
          </w:tcPr>
          <w:p>
            <w:pPr>
              <w:jc w:val="right"/>
              <w:ind w:right="113"/>
              <w:spacing w:after="0" w:line="196" w:lineRule="exact"/>
              <w:rPr>
                <w:sz w:val="20"/>
                <w:szCs w:val="20"/>
                <w:color w:val="auto"/>
              </w:rPr>
            </w:pPr>
            <w:r>
              <w:rPr>
                <w:rFonts w:ascii="Arial" w:cs="Arial" w:eastAsia="Arial" w:hAnsi="Arial"/>
                <w:sz w:val="18"/>
                <w:szCs w:val="18"/>
                <w:color w:val="auto"/>
              </w:rPr>
              <w:t>($231)</w:t>
            </w:r>
          </w:p>
        </w:tc>
        <w:tc>
          <w:tcPr>
            <w:tcW w:w="120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$848</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348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Goodwill</w:t>
            </w:r>
          </w:p>
        </w:tc>
        <w:tc>
          <w:tcPr>
            <w:tcW w:w="2920" w:type="dxa"/>
            <w:vAlign w:val="bottom"/>
            <w:tcBorders>
              <w:bottom w:val="single" w:sz="8" w:color="auto"/>
            </w:tcBorders>
          </w:tcPr>
          <w:p>
            <w:pPr>
              <w:jc w:val="right"/>
              <w:ind w:right="115"/>
              <w:spacing w:after="0" w:line="203" w:lineRule="exact"/>
              <w:rPr>
                <w:sz w:val="20"/>
                <w:szCs w:val="20"/>
                <w:color w:val="auto"/>
              </w:rPr>
            </w:pPr>
            <w:r>
              <w:rPr>
                <w:rFonts w:ascii="Arial" w:cs="Arial" w:eastAsia="Arial" w:hAnsi="Arial"/>
                <w:sz w:val="18"/>
                <w:szCs w:val="18"/>
                <w:color w:val="auto"/>
              </w:rPr>
              <w:t>$75,469</w:t>
            </w:r>
          </w:p>
        </w:tc>
        <w:tc>
          <w:tcPr>
            <w:tcW w:w="1780" w:type="dxa"/>
            <w:vAlign w:val="bottom"/>
            <w:tcBorders>
              <w:bottom w:val="single" w:sz="8" w:color="auto"/>
            </w:tcBorders>
          </w:tcPr>
          <w:p>
            <w:pPr>
              <w:jc w:val="right"/>
              <w:ind w:right="173"/>
              <w:spacing w:after="0" w:line="203" w:lineRule="exact"/>
              <w:rPr>
                <w:sz w:val="20"/>
                <w:szCs w:val="20"/>
                <w:color w:val="auto"/>
              </w:rPr>
            </w:pPr>
            <w:r>
              <w:rPr>
                <w:rFonts w:ascii="Arial" w:cs="Arial" w:eastAsia="Arial" w:hAnsi="Arial"/>
                <w:sz w:val="18"/>
                <w:szCs w:val="18"/>
                <w:color w:val="auto"/>
              </w:rPr>
              <w:t>$  -</w:t>
            </w:r>
          </w:p>
        </w:tc>
        <w:tc>
          <w:tcPr>
            <w:tcW w:w="1640" w:type="dxa"/>
            <w:vAlign w:val="bottom"/>
            <w:tcBorders>
              <w:bottom w:val="single" w:sz="8" w:color="auto"/>
            </w:tcBorders>
            <w:gridSpan w:val="2"/>
          </w:tcPr>
          <w:p>
            <w:pPr>
              <w:jc w:val="right"/>
              <w:ind w:right="110"/>
              <w:spacing w:after="0" w:line="203" w:lineRule="exact"/>
              <w:rPr>
                <w:sz w:val="20"/>
                <w:szCs w:val="20"/>
                <w:color w:val="auto"/>
              </w:rPr>
            </w:pPr>
            <w:r>
              <w:rPr>
                <w:rFonts w:ascii="Arial" w:cs="Arial" w:eastAsia="Arial" w:hAnsi="Arial"/>
                <w:sz w:val="18"/>
                <w:szCs w:val="18"/>
                <w:color w:val="auto"/>
              </w:rPr>
              <w:t>$1,053</w:t>
            </w:r>
          </w:p>
        </w:tc>
        <w:tc>
          <w:tcPr>
            <w:tcW w:w="15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$76,522</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4"/>
          </w:tcPr>
          <w:p>
            <w:pPr>
              <w:spacing w:after="0"/>
              <w:rPr>
                <w:sz w:val="20"/>
                <w:szCs w:val="20"/>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tcPr>
          <w:p>
            <w:pPr>
              <w:jc w:val="right"/>
              <w:ind w:right="655"/>
              <w:spacing w:after="0" w:line="143" w:lineRule="exact"/>
              <w:rPr>
                <w:sz w:val="20"/>
                <w:szCs w:val="20"/>
                <w:color w:val="auto"/>
              </w:rPr>
            </w:pPr>
            <w:r>
              <w:rPr>
                <w:rFonts w:ascii="Arial" w:cs="Arial" w:eastAsia="Arial" w:hAnsi="Arial"/>
                <w:sz w:val="14"/>
                <w:szCs w:val="14"/>
                <w:b w:val="1"/>
                <w:bCs w:val="1"/>
                <w:color w:val="auto"/>
              </w:rPr>
              <w:t>Balance at</w:t>
            </w:r>
          </w:p>
        </w:tc>
        <w:tc>
          <w:tcPr>
            <w:tcW w:w="17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36"/>
              <w:spacing w:after="0" w:line="143" w:lineRule="exact"/>
              <w:rPr>
                <w:sz w:val="20"/>
                <w:szCs w:val="20"/>
                <w:color w:val="auto"/>
              </w:rPr>
            </w:pPr>
            <w:r>
              <w:rPr>
                <w:rFonts w:ascii="Arial" w:cs="Arial" w:eastAsia="Arial" w:hAnsi="Arial"/>
                <w:sz w:val="14"/>
                <w:szCs w:val="14"/>
                <w:b w:val="1"/>
                <w:bCs w:val="1"/>
                <w:color w:val="auto"/>
              </w:rPr>
              <w:t>Currency</w:t>
            </w:r>
          </w:p>
        </w:tc>
        <w:tc>
          <w:tcPr>
            <w:tcW w:w="4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spacing w:after="0" w:line="143" w:lineRule="exact"/>
              <w:rPr>
                <w:sz w:val="20"/>
                <w:szCs w:val="20"/>
                <w:color w:val="auto"/>
              </w:rPr>
            </w:pPr>
            <w:r>
              <w:rPr>
                <w:rFonts w:ascii="Arial" w:cs="Arial" w:eastAsia="Arial" w:hAnsi="Arial"/>
                <w:sz w:val="14"/>
                <w:szCs w:val="14"/>
                <w:b w:val="1"/>
                <w:bCs w:val="1"/>
                <w:color w:val="auto"/>
              </w:rPr>
              <w:t>Balance at</w:t>
            </w:r>
          </w:p>
        </w:tc>
        <w:tc>
          <w:tcPr>
            <w:tcW w:w="20" w:type="dxa"/>
            <w:vAlign w:val="bottom"/>
          </w:tcPr>
          <w:p>
            <w:pPr>
              <w:spacing w:after="0"/>
              <w:rPr>
                <w:sz w:val="12"/>
                <w:szCs w:val="12"/>
                <w:color w:val="auto"/>
              </w:rPr>
            </w:pPr>
          </w:p>
        </w:tc>
      </w:tr>
      <w:tr>
        <w:trPr>
          <w:trHeight w:val="175"/>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Pr>
          <w:p>
            <w:pPr>
              <w:jc w:val="right"/>
              <w:ind w:right="655"/>
              <w:spacing w:after="0"/>
              <w:rPr>
                <w:sz w:val="20"/>
                <w:szCs w:val="20"/>
                <w:color w:val="auto"/>
              </w:rPr>
            </w:pPr>
            <w:r>
              <w:rPr>
                <w:rFonts w:ascii="Arial" w:cs="Arial" w:eastAsia="Arial" w:hAnsi="Arial"/>
                <w:sz w:val="14"/>
                <w:szCs w:val="14"/>
                <w:b w:val="1"/>
                <w:bCs w:val="1"/>
                <w:color w:val="auto"/>
              </w:rPr>
              <w:t>December 31, 2010</w:t>
            </w:r>
          </w:p>
        </w:tc>
        <w:tc>
          <w:tcPr>
            <w:tcW w:w="1780" w:type="dxa"/>
            <w:vAlign w:val="bottom"/>
          </w:tcPr>
          <w:p>
            <w:pPr>
              <w:jc w:val="right"/>
              <w:ind w:right="593"/>
              <w:spacing w:after="0"/>
              <w:rPr>
                <w:sz w:val="20"/>
                <w:szCs w:val="20"/>
                <w:color w:val="auto"/>
              </w:rPr>
            </w:pPr>
            <w:r>
              <w:rPr>
                <w:rFonts w:ascii="Arial" w:cs="Arial" w:eastAsia="Arial" w:hAnsi="Arial"/>
                <w:sz w:val="14"/>
                <w:szCs w:val="14"/>
                <w:b w:val="1"/>
                <w:bCs w:val="1"/>
                <w:color w:val="auto"/>
              </w:rPr>
              <w:t>Amortization</w:t>
            </w:r>
          </w:p>
        </w:tc>
        <w:tc>
          <w:tcPr>
            <w:tcW w:w="1200" w:type="dxa"/>
            <w:vAlign w:val="bottom"/>
          </w:tcPr>
          <w:p>
            <w:pPr>
              <w:jc w:val="right"/>
              <w:ind w:right="136"/>
              <w:spacing w:after="0"/>
              <w:rPr>
                <w:sz w:val="20"/>
                <w:szCs w:val="20"/>
                <w:color w:val="auto"/>
              </w:rPr>
            </w:pPr>
            <w:r>
              <w:rPr>
                <w:rFonts w:ascii="Arial" w:cs="Arial" w:eastAsia="Arial" w:hAnsi="Arial"/>
                <w:sz w:val="14"/>
                <w:szCs w:val="14"/>
                <w:b w:val="1"/>
                <w:bCs w:val="1"/>
                <w:color w:val="auto"/>
              </w:rPr>
              <w:t>Translation</w:t>
            </w:r>
          </w:p>
        </w:tc>
        <w:tc>
          <w:tcPr>
            <w:tcW w:w="440" w:type="dxa"/>
            <w:vAlign w:val="bottom"/>
          </w:tcPr>
          <w:p>
            <w:pPr>
              <w:spacing w:after="0"/>
              <w:rPr>
                <w:sz w:val="15"/>
                <w:szCs w:val="15"/>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 2011</w:t>
            </w:r>
          </w:p>
        </w:tc>
      </w:tr>
      <w:tr>
        <w:trPr>
          <w:trHeight w:val="195"/>
        </w:trPr>
        <w:tc>
          <w:tcPr>
            <w:tcW w:w="3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Amortized intangible assets:</w:t>
            </w:r>
          </w:p>
        </w:tc>
        <w:tc>
          <w:tcPr>
            <w:tcW w:w="29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160"/>
              <w:spacing w:after="0" w:line="202" w:lineRule="exact"/>
              <w:rPr>
                <w:sz w:val="20"/>
                <w:szCs w:val="20"/>
                <w:color w:val="auto"/>
              </w:rPr>
            </w:pPr>
            <w:r>
              <w:rPr>
                <w:rFonts w:ascii="Arial" w:cs="Arial" w:eastAsia="Arial" w:hAnsi="Arial"/>
                <w:sz w:val="18"/>
                <w:szCs w:val="18"/>
                <w:color w:val="auto"/>
              </w:rPr>
              <w:t>PMC technology rights</w:t>
            </w:r>
          </w:p>
        </w:tc>
        <w:tc>
          <w:tcPr>
            <w:tcW w:w="2920" w:type="dxa"/>
            <w:vAlign w:val="bottom"/>
          </w:tcPr>
          <w:p>
            <w:pPr>
              <w:jc w:val="right"/>
              <w:ind w:right="875"/>
              <w:spacing w:after="0" w:line="202" w:lineRule="exact"/>
              <w:rPr>
                <w:sz w:val="20"/>
                <w:szCs w:val="20"/>
                <w:color w:val="auto"/>
              </w:rPr>
            </w:pPr>
            <w:r>
              <w:rPr>
                <w:rFonts w:ascii="Arial" w:cs="Arial" w:eastAsia="Arial" w:hAnsi="Arial"/>
                <w:sz w:val="18"/>
                <w:szCs w:val="18"/>
                <w:color w:val="auto"/>
              </w:rPr>
              <w:t>$222</w:t>
            </w:r>
          </w:p>
        </w:tc>
        <w:tc>
          <w:tcPr>
            <w:tcW w:w="1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($231)</w:t>
            </w:r>
          </w:p>
        </w:tc>
        <w:tc>
          <w:tcPr>
            <w:tcW w:w="120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$9</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160"/>
              <w:spacing w:after="0" w:line="202" w:lineRule="exact"/>
              <w:rPr>
                <w:sz w:val="20"/>
                <w:szCs w:val="20"/>
                <w:color w:val="auto"/>
              </w:rPr>
            </w:pPr>
            <w:r>
              <w:rPr>
                <w:rFonts w:ascii="Arial" w:cs="Arial" w:eastAsia="Arial" w:hAnsi="Arial"/>
                <w:sz w:val="18"/>
                <w:szCs w:val="18"/>
                <w:color w:val="auto"/>
              </w:rPr>
              <w:t>AEC trade names</w:t>
            </w:r>
          </w:p>
        </w:tc>
        <w:tc>
          <w:tcPr>
            <w:tcW w:w="2920" w:type="dxa"/>
            <w:vAlign w:val="bottom"/>
          </w:tcPr>
          <w:p>
            <w:pPr>
              <w:jc w:val="right"/>
              <w:ind w:right="875"/>
              <w:spacing w:after="0" w:line="202" w:lineRule="exact"/>
              <w:rPr>
                <w:sz w:val="20"/>
                <w:szCs w:val="20"/>
                <w:color w:val="auto"/>
              </w:rPr>
            </w:pPr>
            <w:r>
              <w:rPr>
                <w:rFonts w:ascii="Arial" w:cs="Arial" w:eastAsia="Arial" w:hAnsi="Arial"/>
                <w:sz w:val="18"/>
                <w:szCs w:val="18"/>
                <w:color w:val="auto"/>
              </w:rPr>
              <w:t>48</w:t>
            </w:r>
          </w:p>
        </w:tc>
        <w:tc>
          <w:tcPr>
            <w:tcW w:w="1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(5)</w:t>
            </w:r>
          </w:p>
        </w:tc>
        <w:tc>
          <w:tcPr>
            <w:tcW w:w="120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tcPr>
          <w:p>
            <w:pPr>
              <w:ind w:left="160"/>
              <w:spacing w:after="0" w:line="202" w:lineRule="exact"/>
              <w:rPr>
                <w:sz w:val="20"/>
                <w:szCs w:val="20"/>
                <w:color w:val="auto"/>
              </w:rPr>
            </w:pPr>
            <w:r>
              <w:rPr>
                <w:rFonts w:ascii="Arial" w:cs="Arial" w:eastAsia="Arial" w:hAnsi="Arial"/>
                <w:sz w:val="18"/>
                <w:szCs w:val="18"/>
                <w:color w:val="auto"/>
              </w:rPr>
              <w:t>AEC customer contracts</w:t>
            </w:r>
          </w:p>
        </w:tc>
        <w:tc>
          <w:tcPr>
            <w:tcW w:w="2920" w:type="dxa"/>
            <w:vAlign w:val="bottom"/>
          </w:tcPr>
          <w:p>
            <w:pPr>
              <w:jc w:val="right"/>
              <w:ind w:right="875"/>
              <w:spacing w:after="0" w:line="202" w:lineRule="exact"/>
              <w:rPr>
                <w:sz w:val="20"/>
                <w:szCs w:val="20"/>
                <w:color w:val="auto"/>
              </w:rPr>
            </w:pPr>
            <w:r>
              <w:rPr>
                <w:rFonts w:ascii="Arial" w:cs="Arial" w:eastAsia="Arial" w:hAnsi="Arial"/>
                <w:sz w:val="18"/>
                <w:szCs w:val="18"/>
                <w:color w:val="auto"/>
              </w:rPr>
              <w:t>1,055</w:t>
            </w:r>
          </w:p>
        </w:tc>
        <w:tc>
          <w:tcPr>
            <w:tcW w:w="1780" w:type="dxa"/>
            <w:vAlign w:val="bottom"/>
          </w:tcPr>
          <w:p>
            <w:pPr>
              <w:jc w:val="right"/>
              <w:ind w:right="753"/>
              <w:spacing w:after="0" w:line="202" w:lineRule="exact"/>
              <w:rPr>
                <w:sz w:val="20"/>
                <w:szCs w:val="20"/>
                <w:color w:val="auto"/>
              </w:rPr>
            </w:pPr>
            <w:r>
              <w:rPr>
                <w:rFonts w:ascii="Arial" w:cs="Arial" w:eastAsia="Arial" w:hAnsi="Arial"/>
                <w:sz w:val="18"/>
                <w:szCs w:val="18"/>
                <w:color w:val="auto"/>
              </w:rPr>
              <w:t>(247)</w:t>
            </w:r>
          </w:p>
        </w:tc>
        <w:tc>
          <w:tcPr>
            <w:tcW w:w="120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AEC technology</w:t>
            </w:r>
          </w:p>
        </w:tc>
        <w:tc>
          <w:tcPr>
            <w:tcW w:w="2920" w:type="dxa"/>
            <w:vAlign w:val="bottom"/>
            <w:tcBorders>
              <w:bottom w:val="single" w:sz="8" w:color="auto"/>
            </w:tcBorders>
          </w:tcPr>
          <w:p>
            <w:pPr>
              <w:jc w:val="right"/>
              <w:ind w:right="875"/>
              <w:spacing w:after="0" w:line="203" w:lineRule="exact"/>
              <w:rPr>
                <w:sz w:val="20"/>
                <w:szCs w:val="20"/>
                <w:color w:val="auto"/>
              </w:rPr>
            </w:pPr>
            <w:r>
              <w:rPr>
                <w:rFonts w:ascii="Arial" w:cs="Arial" w:eastAsia="Arial" w:hAnsi="Arial"/>
                <w:sz w:val="18"/>
                <w:szCs w:val="18"/>
                <w:color w:val="auto"/>
              </w:rPr>
              <w:t>253</w:t>
            </w:r>
          </w:p>
        </w:tc>
        <w:tc>
          <w:tcPr>
            <w:tcW w:w="1780" w:type="dxa"/>
            <w:vAlign w:val="bottom"/>
            <w:tcBorders>
              <w:bottom w:val="single" w:sz="8" w:color="auto"/>
            </w:tcBorders>
          </w:tcPr>
          <w:p>
            <w:pPr>
              <w:jc w:val="right"/>
              <w:ind w:right="753"/>
              <w:spacing w:after="0" w:line="203" w:lineRule="exact"/>
              <w:rPr>
                <w:sz w:val="20"/>
                <w:szCs w:val="20"/>
                <w:color w:val="auto"/>
              </w:rPr>
            </w:pPr>
            <w:r>
              <w:rPr>
                <w:rFonts w:ascii="Arial" w:cs="Arial" w:eastAsia="Arial" w:hAnsi="Arial"/>
                <w:sz w:val="18"/>
                <w:szCs w:val="18"/>
                <w:color w:val="auto"/>
              </w:rPr>
              <w:t>(25)</w:t>
            </w:r>
          </w:p>
        </w:tc>
        <w:tc>
          <w:tcPr>
            <w:tcW w:w="1200" w:type="dxa"/>
            <w:vAlign w:val="bottom"/>
            <w:tcBorders>
              <w:bottom w:val="single" w:sz="8" w:color="auto"/>
            </w:tcBorders>
          </w:tcPr>
          <w:p>
            <w:pPr>
              <w:jc w:val="right"/>
              <w:ind w:right="256"/>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920" w:type="dxa"/>
            <w:vAlign w:val="bottom"/>
            <w:tcBorders>
              <w:bottom w:val="single" w:sz="8" w:color="auto"/>
            </w:tcBorders>
          </w:tcPr>
          <w:p>
            <w:pPr>
              <w:jc w:val="right"/>
              <w:ind w:right="875"/>
              <w:spacing w:after="0" w:line="196" w:lineRule="exact"/>
              <w:rPr>
                <w:sz w:val="20"/>
                <w:szCs w:val="20"/>
                <w:color w:val="auto"/>
              </w:rPr>
            </w:pPr>
            <w:r>
              <w:rPr>
                <w:rFonts w:ascii="Arial" w:cs="Arial" w:eastAsia="Arial" w:hAnsi="Arial"/>
                <w:sz w:val="18"/>
                <w:szCs w:val="18"/>
                <w:color w:val="auto"/>
              </w:rPr>
              <w:t>$1,578</w:t>
            </w:r>
          </w:p>
        </w:tc>
        <w:tc>
          <w:tcPr>
            <w:tcW w:w="1780" w:type="dxa"/>
            <w:vAlign w:val="bottom"/>
            <w:tcBorders>
              <w:bottom w:val="single" w:sz="8" w:color="auto"/>
            </w:tcBorders>
          </w:tcPr>
          <w:p>
            <w:pPr>
              <w:jc w:val="right"/>
              <w:ind w:right="753"/>
              <w:spacing w:after="0" w:line="196" w:lineRule="exact"/>
              <w:rPr>
                <w:sz w:val="20"/>
                <w:szCs w:val="20"/>
                <w:color w:val="auto"/>
              </w:rPr>
            </w:pPr>
            <w:r>
              <w:rPr>
                <w:rFonts w:ascii="Arial" w:cs="Arial" w:eastAsia="Arial" w:hAnsi="Arial"/>
                <w:sz w:val="18"/>
                <w:szCs w:val="18"/>
                <w:color w:val="auto"/>
              </w:rPr>
              <w:t>($508)</w:t>
            </w:r>
          </w:p>
        </w:tc>
        <w:tc>
          <w:tcPr>
            <w:tcW w:w="1200" w:type="dxa"/>
            <w:vAlign w:val="bottom"/>
            <w:tcBorders>
              <w:bottom w:val="single" w:sz="8" w:color="auto"/>
            </w:tcBorders>
          </w:tcPr>
          <w:p>
            <w:pPr>
              <w:jc w:val="right"/>
              <w:ind w:right="256"/>
              <w:spacing w:after="0" w:line="196" w:lineRule="exact"/>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$1,079</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348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4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Goodwill</w:t>
            </w:r>
          </w:p>
        </w:tc>
        <w:tc>
          <w:tcPr>
            <w:tcW w:w="2920" w:type="dxa"/>
            <w:vAlign w:val="bottom"/>
            <w:tcBorders>
              <w:bottom w:val="single" w:sz="8" w:color="auto"/>
            </w:tcBorders>
          </w:tcPr>
          <w:p>
            <w:pPr>
              <w:jc w:val="right"/>
              <w:ind w:right="875"/>
              <w:spacing w:after="0" w:line="203" w:lineRule="exact"/>
              <w:rPr>
                <w:sz w:val="20"/>
                <w:szCs w:val="20"/>
                <w:color w:val="auto"/>
              </w:rPr>
            </w:pPr>
            <w:r>
              <w:rPr>
                <w:rFonts w:ascii="Arial" w:cs="Arial" w:eastAsia="Arial" w:hAnsi="Arial"/>
                <w:sz w:val="18"/>
                <w:szCs w:val="18"/>
                <w:color w:val="auto"/>
              </w:rPr>
              <w:t>$77,196</w:t>
            </w:r>
          </w:p>
        </w:tc>
        <w:tc>
          <w:tcPr>
            <w:tcW w:w="1780" w:type="dxa"/>
            <w:vAlign w:val="bottom"/>
            <w:tcBorders>
              <w:bottom w:val="single" w:sz="8" w:color="auto"/>
            </w:tcBorders>
          </w:tcPr>
          <w:p>
            <w:pPr>
              <w:jc w:val="right"/>
              <w:ind w:right="813"/>
              <w:spacing w:after="0" w:line="203" w:lineRule="exact"/>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tcPr>
          <w:p>
            <w:pPr>
              <w:jc w:val="right"/>
              <w:ind w:right="196"/>
              <w:spacing w:after="0" w:line="203" w:lineRule="exact"/>
              <w:rPr>
                <w:sz w:val="20"/>
                <w:szCs w:val="20"/>
                <w:color w:val="auto"/>
              </w:rPr>
            </w:pPr>
            <w:r>
              <w:rPr>
                <w:rFonts w:ascii="Arial" w:cs="Arial" w:eastAsia="Arial" w:hAnsi="Arial"/>
                <w:sz w:val="18"/>
                <w:szCs w:val="18"/>
                <w:color w:val="auto"/>
              </w:rPr>
              <w:t>($1,727)</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$75,469</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2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As of December 31, 2012, the balance of goodwill was $76.5 million and was completely attributable to our Machine Clothing reportable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of intangibles for the years ending December 31, 2013 through 2017,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Year</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r>
      <w:tr>
        <w:trPr>
          <w:trHeight w:val="195"/>
        </w:trPr>
        <w:tc>
          <w:tcPr>
            <w:tcW w:w="3140" w:type="dxa"/>
            <w:vAlign w:val="bottom"/>
          </w:tcPr>
          <w:p>
            <w:pPr>
              <w:ind w:left="1140"/>
              <w:spacing w:after="0" w:line="195" w:lineRule="exact"/>
              <w:rPr>
                <w:sz w:val="20"/>
                <w:szCs w:val="20"/>
                <w:color w:val="auto"/>
              </w:rPr>
            </w:pPr>
            <w:r>
              <w:rPr>
                <w:rFonts w:ascii="Arial" w:cs="Arial" w:eastAsia="Arial" w:hAnsi="Arial"/>
                <w:sz w:val="18"/>
                <w:szCs w:val="18"/>
                <w:color w:val="auto"/>
              </w:rPr>
              <w:t>2013</w:t>
            </w:r>
          </w:p>
        </w:tc>
        <w:tc>
          <w:tcPr>
            <w:tcW w:w="2560" w:type="dxa"/>
            <w:vAlign w:val="bottom"/>
          </w:tcPr>
          <w:p>
            <w:pPr>
              <w:jc w:val="right"/>
              <w:spacing w:after="0" w:line="195" w:lineRule="exact"/>
              <w:rPr>
                <w:sz w:val="20"/>
                <w:szCs w:val="20"/>
                <w:color w:val="auto"/>
              </w:rPr>
            </w:pPr>
            <w:r>
              <w:rPr>
                <w:rFonts w:ascii="Arial" w:cs="Arial" w:eastAsia="Arial" w:hAnsi="Arial"/>
                <w:sz w:val="18"/>
                <w:szCs w:val="18"/>
                <w:color w:val="auto"/>
              </w:rPr>
              <w:t>$231</w:t>
            </w:r>
          </w:p>
        </w:tc>
      </w:tr>
      <w:tr>
        <w:trPr>
          <w:trHeight w:val="203"/>
        </w:trPr>
        <w:tc>
          <w:tcPr>
            <w:tcW w:w="3140" w:type="dxa"/>
            <w:vAlign w:val="bottom"/>
          </w:tcPr>
          <w:p>
            <w:pPr>
              <w:ind w:left="1140"/>
              <w:spacing w:after="0" w:line="202" w:lineRule="exact"/>
              <w:rPr>
                <w:sz w:val="20"/>
                <w:szCs w:val="20"/>
                <w:color w:val="auto"/>
              </w:rPr>
            </w:pPr>
            <w:r>
              <w:rPr>
                <w:rFonts w:ascii="Arial" w:cs="Arial" w:eastAsia="Arial" w:hAnsi="Arial"/>
                <w:sz w:val="18"/>
                <w:szCs w:val="18"/>
                <w:color w:val="auto"/>
              </w:rPr>
              <w:t>2014</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3140" w:type="dxa"/>
            <w:vAlign w:val="bottom"/>
          </w:tcPr>
          <w:p>
            <w:pPr>
              <w:ind w:left="1140"/>
              <w:spacing w:after="0" w:line="202" w:lineRule="exact"/>
              <w:rPr>
                <w:sz w:val="20"/>
                <w:szCs w:val="20"/>
                <w:color w:val="auto"/>
              </w:rPr>
            </w:pPr>
            <w:r>
              <w:rPr>
                <w:rFonts w:ascii="Arial" w:cs="Arial" w:eastAsia="Arial" w:hAnsi="Arial"/>
                <w:sz w:val="18"/>
                <w:szCs w:val="18"/>
                <w:color w:val="auto"/>
              </w:rPr>
              <w:t>2015</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3140" w:type="dxa"/>
            <w:vAlign w:val="bottom"/>
          </w:tcPr>
          <w:p>
            <w:pPr>
              <w:ind w:left="1140"/>
              <w:spacing w:after="0" w:line="202" w:lineRule="exact"/>
              <w:rPr>
                <w:sz w:val="20"/>
                <w:szCs w:val="20"/>
                <w:color w:val="auto"/>
              </w:rPr>
            </w:pPr>
            <w:r>
              <w:rPr>
                <w:rFonts w:ascii="Arial" w:cs="Arial" w:eastAsia="Arial" w:hAnsi="Arial"/>
                <w:sz w:val="18"/>
                <w:szCs w:val="18"/>
                <w:color w:val="auto"/>
              </w:rPr>
              <w:t>2016</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3140" w:type="dxa"/>
            <w:vAlign w:val="bottom"/>
            <w:tcBorders>
              <w:bottom w:val="single" w:sz="8" w:color="auto"/>
            </w:tcBorders>
          </w:tcPr>
          <w:p>
            <w:pPr>
              <w:ind w:left="1140"/>
              <w:spacing w:after="0" w:line="203" w:lineRule="exact"/>
              <w:rPr>
                <w:sz w:val="20"/>
                <w:szCs w:val="20"/>
                <w:color w:val="auto"/>
              </w:rPr>
            </w:pPr>
            <w:r>
              <w:rPr>
                <w:rFonts w:ascii="Arial" w:cs="Arial" w:eastAsia="Arial" w:hAnsi="Arial"/>
                <w:sz w:val="18"/>
                <w:szCs w:val="18"/>
                <w:color w:val="auto"/>
              </w:rPr>
              <w:t>2017</w:t>
            </w:r>
          </w:p>
        </w:tc>
        <w:tc>
          <w:tcPr>
            <w:tcW w:w="2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11. Accrued Liabilities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liabilities consist of:</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3"/>
        </w:trPr>
        <w:tc>
          <w:tcPr>
            <w:tcW w:w="7240" w:type="dxa"/>
            <w:vAlign w:val="bottom"/>
            <w:gridSpan w:val="2"/>
          </w:tcPr>
          <w:p>
            <w:pPr>
              <w:spacing w:after="0" w:line="173" w:lineRule="exact"/>
              <w:rPr>
                <w:sz w:val="20"/>
                <w:szCs w:val="20"/>
                <w:color w:val="auto"/>
              </w:rPr>
            </w:pPr>
            <w:r>
              <w:rPr>
                <w:rFonts w:ascii="Arial" w:cs="Arial" w:eastAsia="Arial" w:hAnsi="Arial"/>
                <w:sz w:val="18"/>
                <w:szCs w:val="18"/>
                <w:color w:val="auto"/>
              </w:rPr>
              <w:t>Salaries and wages</w:t>
            </w:r>
          </w:p>
        </w:tc>
        <w:tc>
          <w:tcPr>
            <w:tcW w:w="2900" w:type="dxa"/>
            <w:vAlign w:val="bottom"/>
          </w:tcPr>
          <w:p>
            <w:pPr>
              <w:jc w:val="right"/>
              <w:ind w:right="451"/>
              <w:spacing w:after="0" w:line="173" w:lineRule="exact"/>
              <w:rPr>
                <w:sz w:val="20"/>
                <w:szCs w:val="20"/>
                <w:color w:val="auto"/>
              </w:rPr>
            </w:pPr>
            <w:r>
              <w:rPr>
                <w:rFonts w:ascii="Arial" w:cs="Arial" w:eastAsia="Arial" w:hAnsi="Arial"/>
                <w:sz w:val="18"/>
                <w:szCs w:val="18"/>
                <w:b w:val="1"/>
                <w:bCs w:val="1"/>
                <w:color w:val="auto"/>
              </w:rPr>
              <w:t>$18,007</w:t>
            </w:r>
          </w:p>
        </w:tc>
        <w:tc>
          <w:tcPr>
            <w:tcW w:w="1280" w:type="dxa"/>
            <w:vAlign w:val="bottom"/>
          </w:tcPr>
          <w:p>
            <w:pPr>
              <w:jc w:val="right"/>
              <w:spacing w:after="0" w:line="173" w:lineRule="exact"/>
              <w:rPr>
                <w:sz w:val="20"/>
                <w:szCs w:val="20"/>
                <w:color w:val="auto"/>
              </w:rPr>
            </w:pPr>
            <w:r>
              <w:rPr>
                <w:rFonts w:ascii="Arial" w:cs="Arial" w:eastAsia="Arial" w:hAnsi="Arial"/>
                <w:sz w:val="18"/>
                <w:szCs w:val="18"/>
                <w:color w:val="auto"/>
              </w:rPr>
              <w:t>$18,066</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Accrual for compensated absences</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12,985</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12,931</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Employee benefits</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9,627</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Pension liability - current portion</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2,318</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Postretirement medical benefits - current portion</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5,547</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Returns and allowances</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19,536</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15,609</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Interest</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3,062</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costs</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4,947</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Dividends</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Workers' compensation</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2,924</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Billings in excess of revenue recognized</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4,920</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Professional fees</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3,173</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Utilities</w:t>
            </w:r>
          </w:p>
        </w:tc>
        <w:tc>
          <w:tcPr>
            <w:tcW w:w="2900" w:type="dxa"/>
            <w:vAlign w:val="bottom"/>
          </w:tcPr>
          <w:p>
            <w:pPr>
              <w:jc w:val="right"/>
              <w:ind w:right="451"/>
              <w:spacing w:after="0" w:line="202" w:lineRule="exact"/>
              <w:rPr>
                <w:sz w:val="20"/>
                <w:szCs w:val="20"/>
                <w:color w:val="auto"/>
              </w:rPr>
            </w:pPr>
            <w:r>
              <w:rPr>
                <w:rFonts w:ascii="Arial" w:cs="Arial" w:eastAsia="Arial" w:hAnsi="Arial"/>
                <w:sz w:val="18"/>
                <w:szCs w:val="18"/>
                <w:b w:val="1"/>
                <w:bCs w:val="1"/>
                <w:color w:val="auto"/>
              </w:rPr>
              <w:t>1,073</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5"/>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15,138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14,221</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jc w:val="right"/>
              <w:ind w:right="451"/>
              <w:spacing w:after="0" w:line="196" w:lineRule="exact"/>
              <w:rPr>
                <w:sz w:val="20"/>
                <w:szCs w:val="20"/>
                <w:color w:val="auto"/>
              </w:rPr>
            </w:pPr>
            <w:r>
              <w:rPr>
                <w:rFonts w:ascii="Arial" w:cs="Arial" w:eastAsia="Arial" w:hAnsi="Arial"/>
                <w:sz w:val="18"/>
                <w:szCs w:val="18"/>
                <w:b w:val="1"/>
                <w:bCs w:val="1"/>
                <w:color w:val="auto"/>
              </w:rPr>
              <w:t>$103,257</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$105,104</w:t>
            </w:r>
          </w:p>
        </w:tc>
        <w:tc>
          <w:tcPr>
            <w:tcW w:w="0" w:type="dxa"/>
            <w:vAlign w:val="bottom"/>
          </w:tcPr>
          <w:p>
            <w:pPr>
              <w:spacing w:after="0"/>
              <w:rPr>
                <w:sz w:val="1"/>
                <w:szCs w:val="1"/>
                <w:color w:val="auto"/>
              </w:rPr>
            </w:pPr>
          </w:p>
        </w:tc>
      </w:tr>
      <w:tr>
        <w:trPr>
          <w:trHeight w:val="331"/>
        </w:trPr>
        <w:tc>
          <w:tcPr>
            <w:tcW w:w="7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12. Financial Instruments</w:t>
            </w:r>
          </w:p>
        </w:tc>
        <w:tc>
          <w:tcPr>
            <w:tcW w:w="2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Long-term debt, principally to banks and bondholders, consists of:</w:t>
            </w:r>
          </w:p>
        </w:tc>
        <w:tc>
          <w:tcPr>
            <w:tcW w:w="2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22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 except interest rates)</w:t>
            </w:r>
          </w:p>
        </w:tc>
        <w:tc>
          <w:tcPr>
            <w:tcW w:w="2900" w:type="dxa"/>
            <w:vAlign w:val="bottom"/>
            <w:tcBorders>
              <w:bottom w:val="single" w:sz="8" w:color="auto"/>
            </w:tcBorders>
          </w:tcPr>
          <w:p>
            <w:pPr>
              <w:jc w:val="right"/>
              <w:ind w:right="1131"/>
              <w:spacing w:after="0" w:line="196" w:lineRule="exact"/>
              <w:rPr>
                <w:sz w:val="20"/>
                <w:szCs w:val="20"/>
                <w:color w:val="auto"/>
              </w:rPr>
            </w:pPr>
            <w:r>
              <w:rPr>
                <w:rFonts w:ascii="Arial" w:cs="Arial" w:eastAsia="Arial" w:hAnsi="Arial"/>
                <w:sz w:val="18"/>
                <w:szCs w:val="18"/>
                <w:b w:val="1"/>
                <w:bCs w:val="1"/>
                <w:color w:val="auto"/>
              </w:rPr>
              <w:t>2012</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98"/>
        </w:trPr>
        <w:tc>
          <w:tcPr>
            <w:tcW w:w="7240" w:type="dxa"/>
            <w:vAlign w:val="bottom"/>
            <w:gridSpan w:val="2"/>
          </w:tcPr>
          <w:p>
            <w:pPr>
              <w:spacing w:after="0"/>
              <w:rPr>
                <w:sz w:val="20"/>
                <w:szCs w:val="20"/>
                <w:color w:val="auto"/>
              </w:rPr>
            </w:pPr>
            <w:r>
              <w:rPr>
                <w:rFonts w:ascii="Arial" w:cs="Arial" w:eastAsia="Arial" w:hAnsi="Arial"/>
                <w:sz w:val="18"/>
                <w:szCs w:val="18"/>
                <w:color w:val="auto"/>
              </w:rPr>
              <w:t>Convertible notes, par value $28,437, issued in March 2006 with fixed</w:t>
            </w:r>
          </w:p>
        </w:tc>
        <w:tc>
          <w:tcPr>
            <w:tcW w:w="2900" w:type="dxa"/>
            <w:vAlign w:val="bottom"/>
            <w:vMerge w:val="restart"/>
          </w:tcPr>
          <w:p>
            <w:pPr>
              <w:jc w:val="right"/>
              <w:ind w:right="1131"/>
              <w:spacing w:after="0"/>
              <w:rPr>
                <w:sz w:val="20"/>
                <w:szCs w:val="20"/>
                <w:color w:val="auto"/>
              </w:rPr>
            </w:pPr>
            <w:r>
              <w:rPr>
                <w:rFonts w:ascii="Arial" w:cs="Arial" w:eastAsia="Arial" w:hAnsi="Arial"/>
                <w:sz w:val="18"/>
                <w:szCs w:val="18"/>
                <w:b w:val="1"/>
                <w:bCs w:val="1"/>
                <w:color w:val="auto"/>
              </w:rPr>
              <w:t>$28,261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40" w:type="dxa"/>
            <w:vAlign w:val="bottom"/>
            <w:gridSpan w:val="2"/>
          </w:tcPr>
          <w:p>
            <w:pPr>
              <w:spacing w:after="0"/>
              <w:rPr>
                <w:sz w:val="20"/>
                <w:szCs w:val="20"/>
                <w:color w:val="auto"/>
              </w:rPr>
            </w:pPr>
            <w:r>
              <w:rPr>
                <w:rFonts w:ascii="Arial" w:cs="Arial" w:eastAsia="Arial" w:hAnsi="Arial"/>
                <w:sz w:val="18"/>
                <w:szCs w:val="18"/>
                <w:color w:val="auto"/>
              </w:rPr>
              <w:t>contractual interest rates of 2.25%, due in 2026</w:t>
            </w:r>
          </w:p>
        </w:tc>
        <w:tc>
          <w:tcPr>
            <w:tcW w:w="2900" w:type="dxa"/>
            <w:vAlign w:val="bottom"/>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$27,228</w:t>
            </w:r>
          </w:p>
        </w:tc>
        <w:tc>
          <w:tcPr>
            <w:tcW w:w="0" w:type="dxa"/>
            <w:vAlign w:val="bottom"/>
          </w:tcPr>
          <w:p>
            <w:pPr>
              <w:spacing w:after="0"/>
              <w:rPr>
                <w:sz w:val="1"/>
                <w:szCs w:val="1"/>
                <w:color w:val="auto"/>
              </w:rPr>
            </w:pPr>
          </w:p>
        </w:tc>
      </w:tr>
      <w:tr>
        <w:trPr>
          <w:trHeight w:val="405"/>
        </w:trPr>
        <w:tc>
          <w:tcPr>
            <w:tcW w:w="7240" w:type="dxa"/>
            <w:vAlign w:val="bottom"/>
            <w:gridSpan w:val="2"/>
          </w:tcPr>
          <w:p>
            <w:pPr>
              <w:spacing w:after="0"/>
              <w:rPr>
                <w:sz w:val="20"/>
                <w:szCs w:val="20"/>
                <w:color w:val="auto"/>
              </w:rPr>
            </w:pPr>
            <w:r>
              <w:rPr>
                <w:rFonts w:ascii="Arial" w:cs="Arial" w:eastAsia="Arial" w:hAnsi="Arial"/>
                <w:sz w:val="18"/>
                <w:szCs w:val="18"/>
                <w:color w:val="auto"/>
              </w:rPr>
              <w:t>Private placement with a fixed interest rate of 6.84%, due in 2013 through 2017</w:t>
            </w:r>
          </w:p>
        </w:tc>
        <w:tc>
          <w:tcPr>
            <w:tcW w:w="2900" w:type="dxa"/>
            <w:vAlign w:val="bottom"/>
          </w:tcPr>
          <w:p>
            <w:pPr>
              <w:jc w:val="right"/>
              <w:ind w:right="1131"/>
              <w:spacing w:after="0"/>
              <w:rPr>
                <w:sz w:val="20"/>
                <w:szCs w:val="20"/>
                <w:color w:val="auto"/>
              </w:rPr>
            </w:pPr>
            <w:r>
              <w:rPr>
                <w:rFonts w:ascii="Arial" w:cs="Arial" w:eastAsia="Arial" w:hAnsi="Arial"/>
                <w:sz w:val="18"/>
                <w:szCs w:val="18"/>
                <w:b w:val="1"/>
                <w:bCs w:val="1"/>
                <w:color w:val="auto"/>
              </w:rPr>
              <w:t>150,000</w:t>
            </w:r>
          </w:p>
        </w:tc>
        <w:tc>
          <w:tcPr>
            <w:tcW w:w="128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391"/>
        </w:trPr>
        <w:tc>
          <w:tcPr>
            <w:tcW w:w="7240" w:type="dxa"/>
            <w:vAlign w:val="bottom"/>
            <w:gridSpan w:val="2"/>
          </w:tcPr>
          <w:p>
            <w:pPr>
              <w:spacing w:after="0"/>
              <w:rPr>
                <w:sz w:val="20"/>
                <w:szCs w:val="20"/>
                <w:color w:val="auto"/>
              </w:rPr>
            </w:pPr>
            <w:r>
              <w:rPr>
                <w:rFonts w:ascii="Arial" w:cs="Arial" w:eastAsia="Arial" w:hAnsi="Arial"/>
                <w:sz w:val="18"/>
                <w:szCs w:val="18"/>
                <w:color w:val="auto"/>
              </w:rPr>
              <w:t>Credit agreement with borrowings outstanding at an end of period interest rate</w:t>
            </w:r>
          </w:p>
        </w:tc>
        <w:tc>
          <w:tcPr>
            <w:tcW w:w="2900" w:type="dxa"/>
            <w:vAlign w:val="bottom"/>
            <w:vMerge w:val="restart"/>
          </w:tcPr>
          <w:p>
            <w:pPr>
              <w:jc w:val="right"/>
              <w:ind w:right="1131"/>
              <w:spacing w:after="0"/>
              <w:rPr>
                <w:sz w:val="20"/>
                <w:szCs w:val="20"/>
                <w:color w:val="auto"/>
              </w:rPr>
            </w:pPr>
            <w:r>
              <w:rPr>
                <w:rFonts w:ascii="Arial" w:cs="Arial" w:eastAsia="Arial" w:hAnsi="Arial"/>
                <w:sz w:val="18"/>
                <w:szCs w:val="18"/>
                <w:b w:val="1"/>
                <w:bCs w:val="1"/>
                <w:color w:val="auto"/>
              </w:rPr>
              <w:t>132,000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40" w:type="dxa"/>
            <w:vAlign w:val="bottom"/>
            <w:gridSpan w:val="2"/>
          </w:tcPr>
          <w:p>
            <w:pPr>
              <w:spacing w:after="0"/>
              <w:rPr>
                <w:sz w:val="20"/>
                <w:szCs w:val="20"/>
                <w:color w:val="auto"/>
              </w:rPr>
            </w:pPr>
            <w:r>
              <w:rPr>
                <w:rFonts w:ascii="Arial" w:cs="Arial" w:eastAsia="Arial" w:hAnsi="Arial"/>
                <w:sz w:val="18"/>
                <w:szCs w:val="18"/>
                <w:color w:val="auto"/>
              </w:rPr>
              <w:t>of 3.92% in 2012 and 3.61% in 2011, due in 2015</w:t>
            </w:r>
          </w:p>
        </w:tc>
        <w:tc>
          <w:tcPr>
            <w:tcW w:w="2900" w:type="dxa"/>
            <w:vAlign w:val="bottom"/>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187,000</w:t>
            </w:r>
          </w:p>
        </w:tc>
        <w:tc>
          <w:tcPr>
            <w:tcW w:w="0" w:type="dxa"/>
            <w:vAlign w:val="bottom"/>
          </w:tcPr>
          <w:p>
            <w:pPr>
              <w:spacing w:after="0"/>
              <w:rPr>
                <w:sz w:val="1"/>
                <w:szCs w:val="1"/>
                <w:color w:val="auto"/>
              </w:rPr>
            </w:pPr>
          </w:p>
        </w:tc>
      </w:tr>
      <w:tr>
        <w:trPr>
          <w:trHeight w:val="391"/>
        </w:trPr>
        <w:tc>
          <w:tcPr>
            <w:tcW w:w="7240" w:type="dxa"/>
            <w:vAlign w:val="bottom"/>
            <w:gridSpan w:val="2"/>
          </w:tcPr>
          <w:p>
            <w:pPr>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2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United States, at an average end of period rate of 3.06% in 2012 and 3.05% in</w:t>
            </w:r>
          </w:p>
        </w:tc>
        <w:tc>
          <w:tcPr>
            <w:tcW w:w="2900" w:type="dxa"/>
            <w:vAlign w:val="bottom"/>
            <w:vMerge w:val="restart"/>
          </w:tcPr>
          <w:p>
            <w:pPr>
              <w:jc w:val="right"/>
              <w:ind w:right="1131"/>
              <w:spacing w:after="0"/>
              <w:rPr>
                <w:sz w:val="20"/>
                <w:szCs w:val="20"/>
                <w:color w:val="auto"/>
              </w:rPr>
            </w:pPr>
            <w:r>
              <w:rPr>
                <w:rFonts w:ascii="Arial" w:cs="Arial" w:eastAsia="Arial" w:hAnsi="Arial"/>
                <w:sz w:val="18"/>
                <w:szCs w:val="18"/>
                <w:b w:val="1"/>
                <w:bCs w:val="1"/>
                <w:color w:val="auto"/>
              </w:rPr>
              <w:t>8,892</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2011, due in varying amounts through 2021</w:t>
            </w:r>
          </w:p>
        </w:tc>
        <w:tc>
          <w:tcPr>
            <w:tcW w:w="29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412"/>
        </w:trPr>
        <w:tc>
          <w:tcPr>
            <w:tcW w:w="72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900" w:type="dxa"/>
            <w:vAlign w:val="bottom"/>
          </w:tcPr>
          <w:p>
            <w:pPr>
              <w:jc w:val="right"/>
              <w:ind w:right="1131"/>
              <w:spacing w:after="0"/>
              <w:rPr>
                <w:sz w:val="20"/>
                <w:szCs w:val="20"/>
                <w:color w:val="auto"/>
              </w:rPr>
            </w:pPr>
            <w:r>
              <w:rPr>
                <w:rFonts w:ascii="Arial" w:cs="Arial" w:eastAsia="Arial" w:hAnsi="Arial"/>
                <w:sz w:val="18"/>
                <w:szCs w:val="18"/>
                <w:b w:val="1"/>
                <w:bCs w:val="1"/>
                <w:color w:val="auto"/>
              </w:rPr>
              <w:t>319,153</w:t>
            </w:r>
          </w:p>
        </w:tc>
        <w:tc>
          <w:tcPr>
            <w:tcW w:w="1280" w:type="dxa"/>
            <w:vAlign w:val="bottom"/>
          </w:tcPr>
          <w:p>
            <w:pPr>
              <w:jc w:val="right"/>
              <w:spacing w:after="0"/>
              <w:rPr>
                <w:sz w:val="20"/>
                <w:szCs w:val="20"/>
                <w:color w:val="auto"/>
              </w:rPr>
            </w:pPr>
            <w:r>
              <w:rPr>
                <w:rFonts w:ascii="Arial" w:cs="Arial" w:eastAsia="Arial" w:hAnsi="Arial"/>
                <w:sz w:val="18"/>
                <w:szCs w:val="18"/>
                <w:color w:val="auto"/>
              </w:rPr>
              <w:t>374,388</w:t>
            </w:r>
          </w:p>
        </w:tc>
        <w:tc>
          <w:tcPr>
            <w:tcW w:w="0" w:type="dxa"/>
            <w:vAlign w:val="bottom"/>
          </w:tcPr>
          <w:p>
            <w:pPr>
              <w:spacing w:after="0"/>
              <w:rPr>
                <w:sz w:val="1"/>
                <w:szCs w:val="1"/>
                <w:color w:val="auto"/>
              </w:rPr>
            </w:pPr>
          </w:p>
        </w:tc>
      </w:tr>
      <w:tr>
        <w:trPr>
          <w:trHeight w:val="392"/>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current portion</w:t>
            </w:r>
          </w:p>
        </w:tc>
        <w:tc>
          <w:tcPr>
            <w:tcW w:w="2900" w:type="dxa"/>
            <w:vAlign w:val="bottom"/>
            <w:tcBorders>
              <w:bottom w:val="single" w:sz="8" w:color="auto"/>
            </w:tcBorders>
          </w:tcPr>
          <w:p>
            <w:pPr>
              <w:jc w:val="right"/>
              <w:ind w:right="1131"/>
              <w:spacing w:after="0"/>
              <w:rPr>
                <w:sz w:val="20"/>
                <w:szCs w:val="20"/>
                <w:color w:val="auto"/>
              </w:rPr>
            </w:pPr>
            <w:r>
              <w:rPr>
                <w:rFonts w:ascii="Arial" w:cs="Arial" w:eastAsia="Arial" w:hAnsi="Arial"/>
                <w:sz w:val="18"/>
                <w:szCs w:val="18"/>
                <w:b w:val="1"/>
                <w:bCs w:val="1"/>
                <w:color w:val="auto"/>
              </w:rPr>
              <w:t>(83,276)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399"/>
        </w:trPr>
        <w:tc>
          <w:tcPr>
            <w:tcW w:w="7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2900" w:type="dxa"/>
            <w:vAlign w:val="bottom"/>
            <w:tcBorders>
              <w:bottom w:val="single" w:sz="8" w:color="auto"/>
            </w:tcBorders>
          </w:tcPr>
          <w:p>
            <w:pPr>
              <w:jc w:val="right"/>
              <w:ind w:right="1131"/>
              <w:spacing w:after="0"/>
              <w:rPr>
                <w:sz w:val="20"/>
                <w:szCs w:val="20"/>
                <w:color w:val="auto"/>
              </w:rPr>
            </w:pPr>
            <w:r>
              <w:rPr>
                <w:rFonts w:ascii="Arial" w:cs="Arial" w:eastAsia="Arial" w:hAnsi="Arial"/>
                <w:sz w:val="18"/>
                <w:szCs w:val="18"/>
                <w:b w:val="1"/>
                <w:bCs w:val="1"/>
                <w:color w:val="auto"/>
              </w:rPr>
              <w:t>$235,877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$373,125</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Principal payments due on long-term debt are: 2013, $83.3 million; 2014, $3.8 million; 2015, $182.0 million; 2017, $50.0 million. Total principal payments in 2016, 2018 and thereafter total $0.1 million. Cash payments of interest amounted to $18.4 million in 2012, $20.2 million in 2011, and $17.4 million in 2010.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74" w:name="page75"/>
    <w:bookmarkEnd w:id="74"/>
    <w:p>
      <w:pPr>
        <w:ind w:right="160" w:firstLine="360"/>
        <w:spacing w:after="0" w:line="236" w:lineRule="auto"/>
        <w:rPr>
          <w:sz w:val="20"/>
          <w:szCs w:val="20"/>
          <w:color w:val="auto"/>
        </w:rPr>
      </w:pPr>
      <w:r>
        <w:rPr>
          <w:rFonts w:ascii="Arial" w:cs="Arial" w:eastAsia="Arial" w:hAnsi="Arial"/>
          <w:sz w:val="18"/>
          <w:szCs w:val="18"/>
          <w:color w:val="auto"/>
        </w:rPr>
        <w:t>The note agreement and guaranty (“the Prudential agreement”) was entered into in October 2005 and was amended and restated as of July 16, 2010, 2010, with the Prudential Insurance Company of America, and certain other purchasers, in an aggregate principal amount of $150 million, with interest at 6.84% and a maturity date of October 25, 2017. There are mandatory payments of $50 million on October 25, 2013, and October 25, 2015. At the noteholders’ election, certain prepayments may also be required in connection with certain asset dispositions or financings. The notes may not otherwise be prepaid without a premium, under certain market conditions. The note agreement contains customary terms, as well as affirmative covenants, negative covenants, and events of default comparable to those in our current principal credit facility. For disclosure purposes, we are required to measure the fair value of outstanding debt on a recurring basis. As of December 31, 2012, the fair value of the note agreement was approximately $171.9 million, which was measured using active market interest rates.</w:t>
      </w:r>
    </w:p>
    <w:p>
      <w:pPr>
        <w:spacing w:after="0" w:line="153"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On July 16, 2010, we entered into a $390 million unsecured five-year revolving credit facility agreement under which $132 million of borrowings were outstanding as of December 31, 2012. The applicable interest rate for borrowings under the agreement, as well as under the former agreement, is LIBOR plus a spread, based on our leverage ratio at the time of borrowing.</w:t>
      </w:r>
    </w:p>
    <w:p>
      <w:pPr>
        <w:spacing w:after="0" w:line="149"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Our ability to borrow additional amounts under the agreement is conditional upon the absence of any defaults, as well as the absence of any material adverse change. Based on our maximum leverage ratio and our consolidated EBITDA (as defined in the agreement), and without modification to any other credit agreements as of December 31, 2012, we would have been able to borrow an additional $258 million under our agreement.</w:t>
      </w:r>
    </w:p>
    <w:p>
      <w:pPr>
        <w:spacing w:after="0" w:line="148" w:lineRule="exact"/>
        <w:rPr>
          <w:sz w:val="20"/>
          <w:szCs w:val="20"/>
          <w:color w:val="auto"/>
        </w:rPr>
      </w:pPr>
    </w:p>
    <w:p>
      <w:pPr>
        <w:jc w:val="both"/>
        <w:ind w:right="160" w:firstLine="360"/>
        <w:spacing w:after="0" w:line="237" w:lineRule="auto"/>
        <w:rPr>
          <w:sz w:val="20"/>
          <w:szCs w:val="20"/>
          <w:color w:val="auto"/>
        </w:rPr>
      </w:pPr>
      <w:r>
        <w:rPr>
          <w:rFonts w:ascii="Arial" w:cs="Arial" w:eastAsia="Arial" w:hAnsi="Arial"/>
          <w:sz w:val="18"/>
          <w:szCs w:val="18"/>
          <w:color w:val="auto"/>
        </w:rPr>
        <w:t>Also on July 16, 2010, we entered into interest rate hedging transactions that have the effect of fixing the LIBOR portion of the effective interest rate (before addition of the spread) on $105 million of the indebtedness drawn under the new agreement at the rate of 2.04% for the next five years. Under the terms of these transactions, we pay the fixed rate of 2.04% and the counterparties pay a floating rate based on the three-month LIBOR rate at each quarterly calculation date, which on October 12, 2012 was 0.34%. The net effect is to fix the effective interest rate on $105 million of indebtedness at 2.04%, plus the applicable spread, until these swap agreements expire on July 16, 2015. On October 16, 2012, the applicable spread was 2.25%, yielding an effective annual rate of 4.29%. This interest rate swap is accounted for as a hedge of future cash flows, as further described in Note 13 of the Notes to Consolidated Financial Statements.</w:t>
      </w:r>
    </w:p>
    <w:p>
      <w:pPr>
        <w:spacing w:after="0" w:line="149"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We are currently required to maintain a leverage ratio of not greater than 3.50 to 1.00 and minimum interest coverage of 3.00 to 1.00 under the new credit agreement and the Prudential agreement.</w:t>
      </w:r>
    </w:p>
    <w:p>
      <w:pPr>
        <w:spacing w:after="0" w:line="143" w:lineRule="exact"/>
        <w:rPr>
          <w:sz w:val="20"/>
          <w:szCs w:val="20"/>
          <w:color w:val="auto"/>
        </w:rPr>
      </w:pPr>
    </w:p>
    <w:p>
      <w:pPr>
        <w:ind w:right="320" w:firstLine="360"/>
        <w:spacing w:after="0"/>
        <w:rPr>
          <w:sz w:val="20"/>
          <w:szCs w:val="20"/>
          <w:color w:val="auto"/>
        </w:rPr>
      </w:pPr>
      <w:r>
        <w:rPr>
          <w:rFonts w:ascii="Arial" w:cs="Arial" w:eastAsia="Arial" w:hAnsi="Arial"/>
          <w:sz w:val="18"/>
          <w:szCs w:val="18"/>
          <w:color w:val="auto"/>
        </w:rPr>
        <w:t>As of December 31, 2012, our leverage ratio was 1.06 to 1.00 and our interest coverage ratio was 13.29 to 1.00. We may purchase our Common Stock or pay dividends to the extent our leverage ratio remains at or below 3.50 to 1.00, and may make acquisitions with cash provided our leverage ratio would not exceed 3.00 to 1.00 after giving pro forma effect to the acquisition.</w:t>
      </w:r>
    </w:p>
    <w:p>
      <w:pPr>
        <w:spacing w:after="0" w:line="149" w:lineRule="exact"/>
        <w:rPr>
          <w:sz w:val="20"/>
          <w:szCs w:val="20"/>
          <w:color w:val="auto"/>
        </w:rPr>
      </w:pPr>
    </w:p>
    <w:p>
      <w:pPr>
        <w:ind w:right="420" w:firstLine="360"/>
        <w:spacing w:after="0"/>
        <w:rPr>
          <w:sz w:val="20"/>
          <w:szCs w:val="20"/>
          <w:color w:val="auto"/>
        </w:rPr>
      </w:pPr>
      <w:r>
        <w:rPr>
          <w:rFonts w:ascii="Arial" w:cs="Arial" w:eastAsia="Arial" w:hAnsi="Arial"/>
          <w:sz w:val="18"/>
          <w:szCs w:val="18"/>
          <w:color w:val="auto"/>
        </w:rPr>
        <w:t>On January 25, 2013, the Company announced the redemption, at 100 percent of principal, of all remaining 2.25% Convertible Senior Notes due 2026 (“the Notes”). As of December 31, 2012, the fair value of the balance of the Notes outstanding was approximately $28.4 million, which was measured using quoted prices in active markets.</w:t>
      </w:r>
    </w:p>
    <w:p>
      <w:pPr>
        <w:spacing w:after="0" w:line="149"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Holders were entitled to convert their Notes at any time on or after February 15, 2013. Before February 15, 2013, a holder may have converted Notes during the five-business-day period immediately after any period of five consecutive trading days in which the trading price per Note for each of such five days was less than 103% of the product of the last reported sale price of our Class A common stock and the conversion rate on such day. Additionally, holders were entitled to convert prior to February 15, 2013, if we elected to distribute to all or substantially all of our Class A shareholders (a) rights or warrants to purchase shares of Class A common stock for less than their trading value, or (b) assets, debt securities, or rights to purchase securities, which distribution has a per share value exceeding 15% of the current trading value of the Class A common stock.</w:t>
      </w:r>
    </w:p>
    <w:p>
      <w:pPr>
        <w:spacing w:after="0" w:line="149" w:lineRule="exact"/>
        <w:rPr>
          <w:sz w:val="20"/>
          <w:szCs w:val="20"/>
          <w:color w:val="auto"/>
        </w:rPr>
      </w:pPr>
    </w:p>
    <w:p>
      <w:pPr>
        <w:ind w:right="640" w:firstLine="360"/>
        <w:spacing w:after="0" w:line="246" w:lineRule="auto"/>
        <w:rPr>
          <w:sz w:val="20"/>
          <w:szCs w:val="20"/>
          <w:color w:val="auto"/>
        </w:rPr>
      </w:pPr>
      <w:r>
        <w:rPr>
          <w:rFonts w:ascii="Arial" w:cs="Arial" w:eastAsia="Arial" w:hAnsi="Arial"/>
          <w:sz w:val="18"/>
          <w:szCs w:val="18"/>
          <w:color w:val="auto"/>
        </w:rPr>
        <w:t>Converting holders are entitled to receive, upon conversion of their Notes, (1) an amount in cash equal to the lesser of the principal amount of the Note and the Note’s conversion value, and (2) if the conversion value of the Note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75" w:name="page76"/>
    <w:bookmarkEnd w:id="75"/>
    <w:p>
      <w:pPr>
        <w:ind w:right="200"/>
        <w:spacing w:after="0" w:line="237" w:lineRule="auto"/>
        <w:rPr>
          <w:sz w:val="20"/>
          <w:szCs w:val="20"/>
          <w:color w:val="auto"/>
        </w:rPr>
      </w:pPr>
      <w:r>
        <w:rPr>
          <w:rFonts w:ascii="Arial" w:cs="Arial" w:eastAsia="Arial" w:hAnsi="Arial"/>
          <w:sz w:val="18"/>
          <w:szCs w:val="18"/>
          <w:color w:val="auto"/>
        </w:rPr>
        <w:t>exceeds the principal amount, shares of our Class A common stock in respect of the excess conversion value. The conversion rate of the Notes (subject to adjustment upon the occurrence of certain events) is 23.2078 shares per $1,000 principal amount of Notes (equivalent to a conversion price of $43.09 per share of Class A common stock). The exact amount payable upon conversion would be determined in accordance with the terms of the indenture pursuant to which the Notes were issued and will be based on a daily conversion value calculated on a proportionate basis by reference to the volume-weighted average price of our Class A common stock for each day during a twenty-five day period relating to the conversion.</w:t>
      </w:r>
    </w:p>
    <w:p>
      <w:pPr>
        <w:spacing w:after="0" w:line="151" w:lineRule="exact"/>
        <w:rPr>
          <w:sz w:val="20"/>
          <w:szCs w:val="20"/>
          <w:color w:val="auto"/>
        </w:rPr>
      </w:pPr>
    </w:p>
    <w:p>
      <w:pPr>
        <w:ind w:firstLine="360"/>
        <w:spacing w:after="0" w:line="239" w:lineRule="auto"/>
        <w:rPr>
          <w:sz w:val="20"/>
          <w:szCs w:val="20"/>
          <w:color w:val="auto"/>
        </w:rPr>
      </w:pPr>
      <w:r>
        <w:rPr>
          <w:rFonts w:ascii="Arial" w:cs="Arial" w:eastAsia="Arial" w:hAnsi="Arial"/>
          <w:sz w:val="18"/>
          <w:szCs w:val="18"/>
          <w:color w:val="auto"/>
        </w:rPr>
        <w:t>In connection with the sale of the Notes, we entered into hedge and warrant transactions with respect to our Class A common stock. These transactions are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w:t>
      </w:r>
    </w:p>
    <w:p>
      <w:pPr>
        <w:spacing w:after="0" w:line="148" w:lineRule="exact"/>
        <w:rPr>
          <w:sz w:val="20"/>
          <w:szCs w:val="20"/>
          <w:color w:val="auto"/>
        </w:rPr>
      </w:pPr>
    </w:p>
    <w:p>
      <w:pPr>
        <w:ind w:right="80" w:firstLine="360"/>
        <w:spacing w:after="0" w:line="238" w:lineRule="auto"/>
        <w:rPr>
          <w:sz w:val="20"/>
          <w:szCs w:val="20"/>
          <w:color w:val="auto"/>
        </w:rPr>
      </w:pPr>
      <w:r>
        <w:rPr>
          <w:rFonts w:ascii="Arial" w:cs="Arial" w:eastAsia="Arial" w:hAnsi="Arial"/>
          <w:sz w:val="18"/>
          <w:szCs w:val="18"/>
          <w:color w:val="auto"/>
        </w:rPr>
        <w:t>Pursuant to the hedge transactions, if we deliver notice to the counterparties of any conversion of the Notes on or prior to March 15, 2013, the counterparties are in the aggregate obligated to deliver to the Company the number of shares of Class A common stock that we are obligated to deliver to the holders of the Notes with respect to such conversion, exclusive of any shares deliverable by the Company by reason of any additional (or “make whole”) premium relating to the Notes or by reason of any election by the Company to unilaterally increase the conversion rate. The Note hedge and warrant transactions had a net cost of $14.7 million.</w:t>
      </w:r>
    </w:p>
    <w:p>
      <w:pPr>
        <w:spacing w:after="0" w:line="149" w:lineRule="exact"/>
        <w:rPr>
          <w:sz w:val="20"/>
          <w:szCs w:val="20"/>
          <w:color w:val="auto"/>
        </w:rPr>
      </w:pPr>
    </w:p>
    <w:p>
      <w:pPr>
        <w:ind w:right="20" w:firstLine="360"/>
        <w:spacing w:after="0" w:line="236" w:lineRule="auto"/>
        <w:rPr>
          <w:sz w:val="20"/>
          <w:szCs w:val="20"/>
          <w:color w:val="auto"/>
        </w:rPr>
      </w:pPr>
      <w:r>
        <w:rPr>
          <w:rFonts w:ascii="Arial" w:cs="Arial" w:eastAsia="Arial" w:hAnsi="Arial"/>
          <w:sz w:val="18"/>
          <w:szCs w:val="18"/>
          <w:color w:val="auto"/>
        </w:rPr>
        <w:t>Pursuant to the warrant transactions, we sold a total of 4.1 million warrants, each exercisable to buy a single share of Class A common stock at an initial strike price of $52.25 per share. The warrants are American-style warrants (exercisable at any time), and expire over a period of sixty trading days beginning on September 15, 2013. If the warrants are exercised when they expire, we may choose either net cash or net share settlement. If the warrants are exercised before they expire, they must be net share settled. If we elect to net cash settle the warrants, we will pay cash in an amount equal to, for each exercise of warrants, (i) the number of warrants exercised multiplied by (ii) the excess of the volume weighted average price of our Class A common stock on the expiration date of such warrants (the “settlement price”) over the strike price. Under net share settlement, we will deliver to the warrant holders a number of shares of our Class A common stock equal to, for each exercise of warrants, the amount payable upon net cash settlement divided by the settlement price.</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2012, the carrying amounts of the debt and equity components of our bifurcated convertible debt instrument were</w:t>
      </w:r>
    </w:p>
    <w:p>
      <w:pPr>
        <w:spacing w:after="0" w:line="234" w:lineRule="auto"/>
        <w:rPr>
          <w:sz w:val="20"/>
          <w:szCs w:val="20"/>
          <w:color w:val="auto"/>
        </w:rPr>
      </w:pPr>
      <w:r>
        <w:rPr>
          <w:rFonts w:ascii="Arial" w:cs="Arial" w:eastAsia="Arial" w:hAnsi="Arial"/>
          <w:sz w:val="18"/>
          <w:szCs w:val="18"/>
          <w:color w:val="auto"/>
        </w:rPr>
        <w:t>$28.2 million and $25.5 million, respectively. The equity component is included in additional paid-in capital in the equity section of the balance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sheet.</w:t>
      </w:r>
    </w:p>
    <w:p>
      <w:pPr>
        <w:spacing w:after="0" w:line="158"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The convertible feature of the Notes, the convertible note hedge, and the warrant transactions each meet the requirements of the applicable accounting guidance to be accounted for as equity instruments. As such, the convertible feature of the Notes has not been accounted for as a derivative (which would be marked to market each reporting period) and in the event the debt is converted, no gain or loss is recognized, as the cash payment of principal reduces the recorded liability and the issuance of common shares would be recorded in stockholders’ equity.</w:t>
      </w:r>
    </w:p>
    <w:p>
      <w:pPr>
        <w:spacing w:after="0" w:line="149" w:lineRule="exact"/>
        <w:rPr>
          <w:sz w:val="20"/>
          <w:szCs w:val="20"/>
          <w:color w:val="auto"/>
        </w:rPr>
      </w:pPr>
    </w:p>
    <w:p>
      <w:pPr>
        <w:ind w:right="120" w:firstLine="360"/>
        <w:spacing w:after="0" w:line="255" w:lineRule="auto"/>
        <w:rPr>
          <w:sz w:val="20"/>
          <w:szCs w:val="20"/>
          <w:color w:val="auto"/>
        </w:rPr>
      </w:pPr>
      <w:r>
        <w:rPr>
          <w:rFonts w:ascii="Arial" w:cs="Arial" w:eastAsia="Arial" w:hAnsi="Arial"/>
          <w:sz w:val="17"/>
          <w:szCs w:val="17"/>
          <w:color w:val="auto"/>
        </w:rPr>
        <w:t>In addition, the amount paid for the call option and the premium received for the warrant were recorded as additional paid-in capital in the accompanying consolidated balance sheet and are not accounted for as derivatives (which would be marked to market each reporting period). Incremental net shares for the convertible note feature and the warrant agreement will be included in future diluted earnings per share calculations for those periods in which our average common stock price exceeds $ 43.09 per share in the case of the Senior Notes and $49.20 per share in the case of the warrants. The purchased call option is antidilutive and is excluded from the diluted earnings per share calculation.</w:t>
      </w:r>
    </w:p>
    <w:p>
      <w:pPr>
        <w:spacing w:after="0" w:line="137"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Indebtedness under the Prudential note and guaranty agreement, the convertible Notes, and the credit agreement is ranked equally in right of payment to all unsecured senior debt.</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 compliance with all debt covenants as of December 31, 2012.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13. Fair-Value Measurements</w:t>
      </w:r>
    </w:p>
    <w:p>
      <w:pPr>
        <w:spacing w:after="0" w:line="180" w:lineRule="exact"/>
        <w:rPr>
          <w:sz w:val="20"/>
          <w:szCs w:val="20"/>
          <w:color w:val="auto"/>
        </w:rPr>
      </w:pPr>
    </w:p>
    <w:p>
      <w:pPr>
        <w:ind w:right="60" w:firstLine="360"/>
        <w:spacing w:after="0" w:line="237" w:lineRule="auto"/>
        <w:rPr>
          <w:sz w:val="20"/>
          <w:szCs w:val="20"/>
          <w:color w:val="auto"/>
        </w:rPr>
      </w:pPr>
      <w:r>
        <w:rPr>
          <w:rFonts w:ascii="Arial" w:cs="Arial" w:eastAsia="Arial" w:hAnsi="Arial"/>
          <w:sz w:val="18"/>
          <w:szCs w:val="18"/>
          <w:color w:val="auto"/>
        </w:rPr>
        <w:t>In accordance with fair value reporting standards, we categorize our financial assets and liabilities in three general levels: Level 1 inputs are quoted prices in active markets for identical assets or liabilities; Level 2 inputs include data points that are observable, such as quoted prices for similar assets or liabilities in active markets, quoted prices for identical assets or similar assets or liabilities in markets that are not active, and inputs (other than quoted prices) such as interest rates and yield curves that are observable for the asset and liability, either directly or indirectly; Level 3 inputs are unobservable data points for the asset or liability, and include situations in which there is little, if any, market activity for the asset or liability.</w:t>
      </w:r>
    </w:p>
    <w:p>
      <w:pPr>
        <w:spacing w:after="0" w:line="151" w:lineRule="exact"/>
        <w:rPr>
          <w:sz w:val="20"/>
          <w:szCs w:val="20"/>
          <w:color w:val="auto"/>
        </w:rPr>
      </w:pPr>
    </w:p>
    <w:p>
      <w:pPr>
        <w:ind w:right="200" w:firstLine="360"/>
        <w:spacing w:after="0" w:line="246" w:lineRule="auto"/>
        <w:rPr>
          <w:sz w:val="20"/>
          <w:szCs w:val="20"/>
          <w:color w:val="auto"/>
        </w:rPr>
      </w:pPr>
      <w:r>
        <w:rPr>
          <w:rFonts w:ascii="Arial" w:cs="Arial" w:eastAsia="Arial" w:hAnsi="Arial"/>
          <w:sz w:val="18"/>
          <w:szCs w:val="18"/>
          <w:color w:val="auto"/>
        </w:rPr>
        <w:t>As of December 31, 2012 and 2011, we had no Level 3 financial assets or liabilities. The following table presents the fair-value hierarchy for our Level 1 and 2 financial assets and liabilities measured at fair value on a recurring basis: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Quoted prices in</w:t>
            </w:r>
          </w:p>
        </w:tc>
        <w:tc>
          <w:tcPr>
            <w:tcW w:w="1740" w:type="dxa"/>
            <w:vAlign w:val="bottom"/>
            <w:gridSpan w:val="2"/>
          </w:tcPr>
          <w:p>
            <w:pPr>
              <w:jc w:val="center"/>
              <w:ind w:left="196"/>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7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94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 fair value at</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active markets</w:t>
            </w:r>
          </w:p>
        </w:tc>
        <w:tc>
          <w:tcPr>
            <w:tcW w:w="174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207"/>
        </w:trPr>
        <w:tc>
          <w:tcPr>
            <w:tcW w:w="4740" w:type="dxa"/>
            <w:vAlign w:val="bottom"/>
            <w:tcBorders>
              <w:bottom w:val="single" w:sz="8" w:color="auto"/>
            </w:tcBorders>
            <w:vMerge w:val="continue"/>
          </w:tcPr>
          <w:p>
            <w:pPr>
              <w:spacing w:after="0"/>
              <w:rPr>
                <w:sz w:val="18"/>
                <w:szCs w:val="18"/>
                <w:color w:val="auto"/>
              </w:rPr>
            </w:pPr>
          </w:p>
        </w:tc>
        <w:tc>
          <w:tcPr>
            <w:tcW w:w="294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year end</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 1)</w:t>
            </w:r>
          </w:p>
        </w:tc>
        <w:tc>
          <w:tcPr>
            <w:tcW w:w="1440" w:type="dxa"/>
            <w:vAlign w:val="bottom"/>
            <w:tcBorders>
              <w:bottom w:val="single" w:sz="8" w:color="auto"/>
            </w:tcBorders>
          </w:tcPr>
          <w:p>
            <w:pPr>
              <w:jc w:val="center"/>
              <w:ind w:left="496"/>
              <w:spacing w:after="0"/>
              <w:rPr>
                <w:sz w:val="20"/>
                <w:szCs w:val="20"/>
                <w:color w:val="auto"/>
              </w:rPr>
            </w:pPr>
            <w:r>
              <w:rPr>
                <w:rFonts w:ascii="Arial" w:cs="Arial" w:eastAsia="Arial" w:hAnsi="Arial"/>
                <w:sz w:val="16"/>
                <w:szCs w:val="16"/>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740" w:type="dxa"/>
            <w:vAlign w:val="bottom"/>
          </w:tcPr>
          <w:p>
            <w:pPr>
              <w:spacing w:after="0" w:line="177" w:lineRule="exact"/>
              <w:rPr>
                <w:sz w:val="20"/>
                <w:szCs w:val="20"/>
                <w:color w:val="auto"/>
              </w:rPr>
            </w:pPr>
            <w:r>
              <w:rPr>
                <w:rFonts w:ascii="Arial" w:cs="Arial" w:eastAsia="Arial" w:hAnsi="Arial"/>
                <w:sz w:val="18"/>
                <w:szCs w:val="18"/>
                <w:b w:val="1"/>
                <w:bCs w:val="1"/>
                <w:color w:val="auto"/>
              </w:rPr>
              <w:t>Year ended December 31, 2012</w:t>
            </w:r>
          </w:p>
        </w:tc>
        <w:tc>
          <w:tcPr>
            <w:tcW w:w="29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29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$33,171</w:t>
            </w:r>
          </w:p>
        </w:tc>
        <w:tc>
          <w:tcPr>
            <w:tcW w:w="2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$33,171</w:t>
            </w:r>
          </w:p>
        </w:tc>
        <w:tc>
          <w:tcPr>
            <w:tcW w:w="14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Common stock of foreign public company</w:t>
            </w:r>
          </w:p>
        </w:tc>
        <w:tc>
          <w:tcPr>
            <w:tcW w:w="29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562</w:t>
            </w:r>
          </w:p>
        </w:tc>
        <w:tc>
          <w:tcPr>
            <w:tcW w:w="2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562</w:t>
            </w:r>
          </w:p>
        </w:tc>
        <w:tc>
          <w:tcPr>
            <w:tcW w:w="1440" w:type="dxa"/>
            <w:vAlign w:val="bottom"/>
          </w:tcPr>
          <w:p>
            <w:pPr>
              <w:spacing w:after="0"/>
              <w:rPr>
                <w:sz w:val="17"/>
                <w:szCs w:val="17"/>
                <w:color w:val="auto"/>
              </w:rPr>
            </w:pP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4740" w:type="dxa"/>
            <w:vAlign w:val="bottom"/>
          </w:tcPr>
          <w:p>
            <w:pPr>
              <w:ind w:left="180"/>
              <w:spacing w:after="0" w:line="185" w:lineRule="exact"/>
              <w:rPr>
                <w:sz w:val="20"/>
                <w:szCs w:val="20"/>
                <w:color w:val="auto"/>
              </w:rPr>
            </w:pPr>
            <w:r>
              <w:rPr>
                <w:rFonts w:ascii="Arial" w:cs="Arial" w:eastAsia="Arial" w:hAnsi="Arial"/>
                <w:sz w:val="18"/>
                <w:szCs w:val="18"/>
                <w:color w:val="auto"/>
              </w:rPr>
              <w:t>Foreign exchange contracts</w:t>
            </w:r>
          </w:p>
        </w:tc>
        <w:tc>
          <w:tcPr>
            <w:tcW w:w="2940" w:type="dxa"/>
            <w:vAlign w:val="bottom"/>
          </w:tcPr>
          <w:p>
            <w:pPr>
              <w:jc w:val="right"/>
              <w:ind w:right="373"/>
              <w:spacing w:after="0" w:line="185" w:lineRule="exact"/>
              <w:rPr>
                <w:sz w:val="20"/>
                <w:szCs w:val="20"/>
                <w:color w:val="auto"/>
              </w:rPr>
            </w:pPr>
            <w:r>
              <w:rPr>
                <w:rFonts w:ascii="Arial" w:cs="Arial" w:eastAsia="Arial" w:hAnsi="Arial"/>
                <w:sz w:val="18"/>
                <w:szCs w:val="18"/>
                <w:color w:val="auto"/>
              </w:rPr>
              <w:t>-</w:t>
            </w:r>
          </w:p>
        </w:tc>
        <w:tc>
          <w:tcPr>
            <w:tcW w:w="2000" w:type="dxa"/>
            <w:vAlign w:val="bottom"/>
          </w:tcPr>
          <w:p>
            <w:pPr>
              <w:jc w:val="right"/>
              <w:ind w:right="314"/>
              <w:spacing w:after="0" w:line="185" w:lineRule="exact"/>
              <w:rPr>
                <w:sz w:val="20"/>
                <w:szCs w:val="20"/>
                <w:color w:val="auto"/>
              </w:rPr>
            </w:pPr>
            <w:r>
              <w:rPr>
                <w:rFonts w:ascii="Arial" w:cs="Arial" w:eastAsia="Arial" w:hAnsi="Arial"/>
                <w:sz w:val="18"/>
                <w:szCs w:val="18"/>
                <w:color w:val="auto"/>
              </w:rPr>
              <w:t>-</w:t>
            </w:r>
          </w:p>
        </w:tc>
        <w:tc>
          <w:tcPr>
            <w:tcW w:w="1440" w:type="dxa"/>
            <w:vAlign w:val="bottom"/>
          </w:tcPr>
          <w:p>
            <w:pPr>
              <w:spacing w:after="0"/>
              <w:rPr>
                <w:sz w:val="16"/>
                <w:szCs w:val="16"/>
                <w:color w:val="auto"/>
              </w:rPr>
            </w:pPr>
          </w:p>
        </w:tc>
        <w:tc>
          <w:tcPr>
            <w:tcW w:w="300" w:type="dxa"/>
            <w:vAlign w:val="bottom"/>
          </w:tcPr>
          <w:p>
            <w:pPr>
              <w:jc w:val="right"/>
              <w:ind w:right="1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2940" w:type="dxa"/>
            <w:vAlign w:val="bottom"/>
          </w:tcPr>
          <w:p>
            <w:pPr>
              <w:jc w:val="right"/>
              <w:ind w:right="313"/>
              <w:spacing w:after="0"/>
              <w:rPr>
                <w:sz w:val="20"/>
                <w:szCs w:val="20"/>
                <w:color w:val="auto"/>
              </w:rPr>
            </w:pPr>
            <w:r>
              <w:rPr>
                <w:rFonts w:ascii="Arial" w:cs="Arial" w:eastAsia="Arial" w:hAnsi="Arial"/>
                <w:sz w:val="18"/>
                <w:szCs w:val="18"/>
                <w:color w:val="auto"/>
              </w:rPr>
              <w:t>(4,718)</w:t>
            </w:r>
          </w:p>
        </w:tc>
        <w:tc>
          <w:tcPr>
            <w:tcW w:w="200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9"/>
        </w:trPr>
        <w:tc>
          <w:tcPr>
            <w:tcW w:w="4740" w:type="dxa"/>
            <w:vAlign w:val="bottom"/>
          </w:tcPr>
          <w:p>
            <w:pPr>
              <w:spacing w:after="0"/>
              <w:rPr>
                <w:sz w:val="20"/>
                <w:szCs w:val="20"/>
                <w:color w:val="auto"/>
              </w:rPr>
            </w:pPr>
            <w:r>
              <w:rPr>
                <w:rFonts w:ascii="Arial" w:cs="Arial" w:eastAsia="Arial" w:hAnsi="Arial"/>
                <w:sz w:val="18"/>
                <w:szCs w:val="18"/>
                <w:b w:val="1"/>
                <w:bCs w:val="1"/>
                <w:color w:val="auto"/>
              </w:rPr>
              <w:t>Year ended December 31, 2011</w:t>
            </w:r>
          </w:p>
        </w:tc>
        <w:tc>
          <w:tcPr>
            <w:tcW w:w="2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2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29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$30,287</w:t>
            </w:r>
          </w:p>
        </w:tc>
        <w:tc>
          <w:tcPr>
            <w:tcW w:w="2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$30,287</w:t>
            </w:r>
          </w:p>
        </w:tc>
        <w:tc>
          <w:tcPr>
            <w:tcW w:w="14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Common stock of foreign public company</w:t>
            </w:r>
          </w:p>
        </w:tc>
        <w:tc>
          <w:tcPr>
            <w:tcW w:w="29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577</w:t>
            </w:r>
          </w:p>
        </w:tc>
        <w:tc>
          <w:tcPr>
            <w:tcW w:w="2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577</w:t>
            </w:r>
          </w:p>
        </w:tc>
        <w:tc>
          <w:tcPr>
            <w:tcW w:w="1440" w:type="dxa"/>
            <w:vAlign w:val="bottom"/>
          </w:tcPr>
          <w:p>
            <w:pPr>
              <w:spacing w:after="0"/>
              <w:rPr>
                <w:sz w:val="17"/>
                <w:szCs w:val="17"/>
                <w:color w:val="auto"/>
              </w:rPr>
            </w:pPr>
          </w:p>
        </w:tc>
        <w:tc>
          <w:tcPr>
            <w:tcW w:w="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4740" w:type="dxa"/>
            <w:vAlign w:val="bottom"/>
          </w:tcPr>
          <w:p>
            <w:pPr>
              <w:ind w:left="180"/>
              <w:spacing w:after="0" w:line="185" w:lineRule="exact"/>
              <w:rPr>
                <w:sz w:val="20"/>
                <w:szCs w:val="20"/>
                <w:color w:val="auto"/>
              </w:rPr>
            </w:pPr>
            <w:r>
              <w:rPr>
                <w:rFonts w:ascii="Arial" w:cs="Arial" w:eastAsia="Arial" w:hAnsi="Arial"/>
                <w:sz w:val="18"/>
                <w:szCs w:val="18"/>
                <w:color w:val="auto"/>
              </w:rPr>
              <w:t>Foreign exchange contracts</w:t>
            </w:r>
          </w:p>
        </w:tc>
        <w:tc>
          <w:tcPr>
            <w:tcW w:w="2940" w:type="dxa"/>
            <w:vAlign w:val="bottom"/>
          </w:tcPr>
          <w:p>
            <w:pPr>
              <w:jc w:val="right"/>
              <w:ind w:right="373"/>
              <w:spacing w:after="0" w:line="185" w:lineRule="exact"/>
              <w:rPr>
                <w:sz w:val="20"/>
                <w:szCs w:val="20"/>
                <w:color w:val="auto"/>
              </w:rPr>
            </w:pPr>
            <w:r>
              <w:rPr>
                <w:rFonts w:ascii="Arial" w:cs="Arial" w:eastAsia="Arial" w:hAnsi="Arial"/>
                <w:sz w:val="18"/>
                <w:szCs w:val="18"/>
                <w:color w:val="auto"/>
              </w:rPr>
              <w:t>1</w:t>
            </w:r>
          </w:p>
        </w:tc>
        <w:tc>
          <w:tcPr>
            <w:tcW w:w="2000" w:type="dxa"/>
            <w:vAlign w:val="bottom"/>
          </w:tcPr>
          <w:p>
            <w:pPr>
              <w:jc w:val="right"/>
              <w:ind w:right="314"/>
              <w:spacing w:after="0" w:line="185" w:lineRule="exact"/>
              <w:rPr>
                <w:sz w:val="20"/>
                <w:szCs w:val="20"/>
                <w:color w:val="auto"/>
              </w:rPr>
            </w:pPr>
            <w:r>
              <w:rPr>
                <w:rFonts w:ascii="Arial" w:cs="Arial" w:eastAsia="Arial" w:hAnsi="Arial"/>
                <w:sz w:val="18"/>
                <w:szCs w:val="18"/>
                <w:color w:val="auto"/>
              </w:rPr>
              <w:t>-</w:t>
            </w:r>
          </w:p>
        </w:tc>
        <w:tc>
          <w:tcPr>
            <w:tcW w:w="1440" w:type="dxa"/>
            <w:vAlign w:val="bottom"/>
          </w:tcPr>
          <w:p>
            <w:pPr>
              <w:spacing w:after="0"/>
              <w:rPr>
                <w:sz w:val="16"/>
                <w:szCs w:val="16"/>
                <w:color w:val="auto"/>
              </w:rPr>
            </w:pPr>
          </w:p>
        </w:tc>
        <w:tc>
          <w:tcPr>
            <w:tcW w:w="300" w:type="dxa"/>
            <w:vAlign w:val="bottom"/>
          </w:tcPr>
          <w:p>
            <w:pPr>
              <w:jc w:val="right"/>
              <w:ind w:right="10"/>
              <w:spacing w:after="0" w:line="18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29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2940" w:type="dxa"/>
            <w:vAlign w:val="bottom"/>
          </w:tcPr>
          <w:p>
            <w:pPr>
              <w:jc w:val="right"/>
              <w:ind w:right="313"/>
              <w:spacing w:after="0"/>
              <w:rPr>
                <w:sz w:val="20"/>
                <w:szCs w:val="20"/>
                <w:color w:val="auto"/>
              </w:rPr>
            </w:pPr>
            <w:r>
              <w:rPr>
                <w:rFonts w:ascii="Arial" w:cs="Arial" w:eastAsia="Arial" w:hAnsi="Arial"/>
                <w:sz w:val="18"/>
                <w:szCs w:val="18"/>
                <w:color w:val="auto"/>
              </w:rPr>
              <w:t>(4,251)</w:t>
            </w:r>
          </w:p>
        </w:tc>
        <w:tc>
          <w:tcPr>
            <w:tcW w:w="200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2012 and 2011 there were no transfers between levels 1, 2, and 3.</w:t>
      </w:r>
    </w:p>
    <w:p>
      <w:pPr>
        <w:spacing w:after="0" w:line="158" w:lineRule="exact"/>
        <w:rPr>
          <w:sz w:val="20"/>
          <w:szCs w:val="20"/>
          <w:color w:val="auto"/>
        </w:rPr>
      </w:pPr>
    </w:p>
    <w:p>
      <w:pPr>
        <w:ind w:right="480" w:firstLine="360"/>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43" w:lineRule="exact"/>
        <w:rPr>
          <w:sz w:val="20"/>
          <w:szCs w:val="20"/>
          <w:color w:val="auto"/>
        </w:rPr>
      </w:pPr>
    </w:p>
    <w:p>
      <w:pPr>
        <w:ind w:right="200" w:firstLine="360"/>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149"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or forward contracts that are valued using quoted prices in active markets obtained from independent pricing sources.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77" w:name="page78"/>
    <w:bookmarkEnd w:id="77"/>
    <w:p>
      <w:pPr>
        <w:ind w:right="60"/>
        <w:spacing w:after="0"/>
        <w:rPr>
          <w:sz w:val="20"/>
          <w:szCs w:val="20"/>
          <w:color w:val="auto"/>
        </w:rPr>
      </w:pPr>
      <w:r>
        <w:rPr>
          <w:rFonts w:ascii="Arial" w:cs="Arial" w:eastAsia="Arial" w:hAnsi="Arial"/>
          <w:sz w:val="18"/>
          <w:szCs w:val="18"/>
          <w:color w:val="auto"/>
        </w:rPr>
        <w:t>These instruments are measured using market foreign exchange prices and are recorded in the Consolidated Balance Sheets as Other current assets. Changes in fair value of these instruments are recorded as gains or losses within Other (income)/expense, net. Gains totaled $0.0 million during 2012, and losses totaled $0.6 million during 2011.</w:t>
      </w:r>
    </w:p>
    <w:p>
      <w:pPr>
        <w:spacing w:after="0" w:line="149"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49" w:lineRule="exact"/>
        <w:rPr>
          <w:sz w:val="20"/>
          <w:szCs w:val="20"/>
          <w:color w:val="auto"/>
        </w:rPr>
      </w:pPr>
    </w:p>
    <w:p>
      <w:pPr>
        <w:ind w:left="360" w:right="320"/>
        <w:spacing w:after="0" w:line="32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Changes in exchange rates can result in revaluation gains and losses that are recorded in Selling, General, Technical, Product</w:t>
      </w:r>
    </w:p>
    <w:p>
      <w:pPr>
        <w:spacing w:after="0" w:line="1"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Engineering, and Research expenses or Other income/expense, net. Revaluation gains and losses occur when our business units have intercompany or third-party trade receivable or payable balances in a currency other than their local reporting (or functional) currency.</w:t>
      </w:r>
    </w:p>
    <w:p>
      <w:pPr>
        <w:spacing w:after="0" w:line="143"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48" w:lineRule="exact"/>
        <w:rPr>
          <w:sz w:val="20"/>
          <w:szCs w:val="20"/>
          <w:color w:val="auto"/>
        </w:rPr>
      </w:pPr>
    </w:p>
    <w:p>
      <w:pPr>
        <w:ind w:right="180" w:firstLine="360"/>
        <w:spacing w:after="0" w:line="246" w:lineRule="auto"/>
        <w:rPr>
          <w:sz w:val="20"/>
          <w:szCs w:val="20"/>
          <w:color w:val="auto"/>
        </w:rPr>
      </w:pPr>
      <w:r>
        <w:rPr>
          <w:rFonts w:ascii="Arial" w:cs="Arial" w:eastAsia="Arial" w:hAnsi="Arial"/>
          <w:sz w:val="18"/>
          <w:szCs w:val="18"/>
          <w:color w:val="auto"/>
        </w:rPr>
        <w:t>In order to mitigate foreign exchange volatility in the financial statements, we periodically enter into foreign currency financial instruments from time to time. There were no foreign currency financial instruments designated as hedging instruments at December 31, 2012.</w:t>
      </w:r>
    </w:p>
    <w:p>
      <w:pPr>
        <w:spacing w:after="0" w:line="143"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As described in Note 12 of the Notes to Consolidated Financial Statements, on July 16, 2010, we entered into a $ 390 million unsecured five-year revolving credit facility agreement. The applicable interest rate for borrowings under the agreement is LIBOR plus a spread, based on our leverage ratio at the time of borrowing. Interest rate changes on this variable rate debt cause changes in cash flows, and in order to mitigate this cash flow risk we have fixed a portion of the effective interest rate on part of the indebtedness drawn under the agreement by entering into interest rate hedging transactions on July 16, 2010. This interest rate swap locked in our interest rate on the forecasted outstanding borrowings of $105 million at 2.04% plus the credit spread on the debt for a five-year period. The credit spread is based on the pricing grid, which can go as low as 2.0% or as high as 2.75%, based on our leverage ratio.</w:t>
      </w:r>
    </w:p>
    <w:p>
      <w:pPr>
        <w:spacing w:after="0" w:line="149" w:lineRule="exact"/>
        <w:rPr>
          <w:sz w:val="20"/>
          <w:szCs w:val="20"/>
          <w:color w:val="auto"/>
        </w:rPr>
      </w:pPr>
    </w:p>
    <w:p>
      <w:pPr>
        <w:ind w:right="100" w:firstLine="360"/>
        <w:spacing w:after="0" w:line="237" w:lineRule="auto"/>
        <w:rPr>
          <w:sz w:val="20"/>
          <w:szCs w:val="20"/>
          <w:color w:val="auto"/>
        </w:rPr>
      </w:pPr>
      <w:r>
        <w:rPr>
          <w:rFonts w:ascii="Arial" w:cs="Arial" w:eastAsia="Arial" w:hAnsi="Arial"/>
          <w:sz w:val="18"/>
          <w:szCs w:val="18"/>
          <w:color w:val="auto"/>
        </w:rPr>
        <w:t>The interest rate swap is accounted for as a hedge of future cash flows. The fair value of our interest rate swap is derived from a discounted cash flow analysis based on the terms of the contract and the interest rate curve, and is recorded in the Consolidated Balance Sheets as of December 31, 2012, as Other noncurrent liabilities of $4.7 million. Unrealized gains and losses on the swap will flow through the caption Derivative valuation adjustment in the Shareholders’ equity section of the Consolidated Balance Sheets, to the extent that the hedge is highly effective. Gains and losses related to the ineffective portion of the hedge will be recognized in the current period in earnings. Amounts accumulated in Other comprehensive income are reclassified as Interest expense, net when the related interest payments (that is, the hedged forecasted transactions) affect earnings. Interest expense related to the swap totaled $1.7 million for 2012, and $1.9 million for 2011.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78" w:name="page79"/>
    <w:bookmarkEnd w:id="78"/>
    <w:p>
      <w:pPr>
        <w:ind w:left="360"/>
        <w:spacing w:after="0"/>
        <w:rPr>
          <w:sz w:val="20"/>
          <w:szCs w:val="20"/>
          <w:color w:val="auto"/>
        </w:rPr>
      </w:pPr>
      <w:r>
        <w:rPr>
          <w:rFonts w:ascii="Arial" w:cs="Arial" w:eastAsia="Arial" w:hAnsi="Arial"/>
          <w:sz w:val="18"/>
          <w:szCs w:val="18"/>
          <w:color w:val="auto"/>
        </w:rPr>
        <w:t>Fair value amounts of derivative instruments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30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rPr>
              <w:t>Balance sheet caption</w:t>
            </w:r>
          </w:p>
        </w:tc>
        <w:tc>
          <w:tcPr>
            <w:tcW w:w="14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9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2011</w:t>
            </w:r>
          </w:p>
        </w:tc>
        <w:tc>
          <w:tcPr>
            <w:tcW w:w="0" w:type="dxa"/>
            <w:vAlign w:val="bottom"/>
          </w:tcPr>
          <w:p>
            <w:pPr>
              <w:spacing w:after="0"/>
              <w:rPr>
                <w:sz w:val="1"/>
                <w:szCs w:val="1"/>
                <w:color w:val="auto"/>
              </w:rPr>
            </w:pPr>
          </w:p>
        </w:tc>
      </w:tr>
      <w:tr>
        <w:trPr>
          <w:trHeight w:val="398"/>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Asset Derivatives</w:t>
            </w:r>
          </w:p>
        </w:tc>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Derivatives not designated as hedging instruments:</w:t>
            </w:r>
          </w:p>
        </w:tc>
        <w:tc>
          <w:tcPr>
            <w:tcW w:w="3000" w:type="dxa"/>
            <w:vAlign w:val="bottom"/>
          </w:tcPr>
          <w:p>
            <w:pPr>
              <w:spacing w:after="0"/>
              <w:rPr>
                <w:sz w:val="17"/>
                <w:szCs w:val="17"/>
                <w:color w:val="auto"/>
              </w:rPr>
            </w:pPr>
          </w:p>
        </w:tc>
        <w:tc>
          <w:tcPr>
            <w:tcW w:w="14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Foreign exchange contracts</w:t>
            </w:r>
          </w:p>
        </w:tc>
        <w:tc>
          <w:tcPr>
            <w:tcW w:w="3000" w:type="dxa"/>
            <w:vAlign w:val="bottom"/>
            <w:tcBorders>
              <w:bottom w:val="single" w:sz="8" w:color="auto"/>
            </w:tcBorders>
          </w:tcPr>
          <w:p>
            <w:pPr>
              <w:ind w:left="1100"/>
              <w:spacing w:after="0" w:line="203" w:lineRule="exact"/>
              <w:rPr>
                <w:sz w:val="20"/>
                <w:szCs w:val="20"/>
                <w:color w:val="auto"/>
              </w:rPr>
            </w:pPr>
            <w:r>
              <w:rPr>
                <w:rFonts w:ascii="Arial" w:cs="Arial" w:eastAsia="Arial" w:hAnsi="Arial"/>
                <w:sz w:val="18"/>
                <w:szCs w:val="18"/>
                <w:color w:val="auto"/>
              </w:rPr>
              <w:t>Other assets</w:t>
            </w:r>
          </w:p>
        </w:tc>
        <w:tc>
          <w:tcPr>
            <w:tcW w:w="14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 derivatives</w:t>
            </w:r>
          </w:p>
        </w:tc>
        <w:tc>
          <w:tcPr>
            <w:tcW w:w="30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98"/>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Liability Derivatives</w:t>
            </w:r>
          </w:p>
        </w:tc>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Derivatives designated as hedging instruments:</w:t>
            </w:r>
          </w:p>
        </w:tc>
        <w:tc>
          <w:tcPr>
            <w:tcW w:w="3000" w:type="dxa"/>
            <w:vAlign w:val="bottom"/>
            <w:vMerge w:val="restart"/>
          </w:tcPr>
          <w:p>
            <w:pPr>
              <w:ind w:left="1100"/>
              <w:spacing w:after="0"/>
              <w:rPr>
                <w:sz w:val="20"/>
                <w:szCs w:val="20"/>
                <w:color w:val="auto"/>
              </w:rPr>
            </w:pPr>
            <w:r>
              <w:rPr>
                <w:rFonts w:ascii="Arial" w:cs="Arial" w:eastAsia="Arial" w:hAnsi="Arial"/>
                <w:sz w:val="18"/>
                <w:szCs w:val="18"/>
                <w:color w:val="auto"/>
              </w:rPr>
              <w:t>Other noncurrent</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000" w:type="dxa"/>
            <w:vAlign w:val="bottom"/>
            <w:vMerge w:val="continue"/>
          </w:tcPr>
          <w:p>
            <w:pPr>
              <w:spacing w:after="0"/>
              <w:rPr>
                <w:sz w:val="16"/>
                <w:szCs w:val="16"/>
                <w:color w:val="auto"/>
              </w:rPr>
            </w:pPr>
          </w:p>
        </w:tc>
        <w:tc>
          <w:tcPr>
            <w:tcW w:w="2300" w:type="dxa"/>
            <w:vAlign w:val="bottom"/>
            <w:gridSpan w:val="2"/>
            <w:vMerge w:val="restart"/>
          </w:tcPr>
          <w:p>
            <w:pPr>
              <w:jc w:val="right"/>
              <w:ind w:right="550"/>
              <w:spacing w:after="0"/>
              <w:rPr>
                <w:sz w:val="20"/>
                <w:szCs w:val="20"/>
                <w:color w:val="auto"/>
              </w:rPr>
            </w:pPr>
            <w:r>
              <w:rPr>
                <w:rFonts w:ascii="Arial" w:cs="Arial" w:eastAsia="Arial" w:hAnsi="Arial"/>
                <w:sz w:val="18"/>
                <w:szCs w:val="18"/>
                <w:b w:val="1"/>
                <w:bCs w:val="1"/>
                <w:color w:val="auto"/>
              </w:rPr>
              <w:t>($4,718)</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Interest rate swap</w:t>
            </w:r>
          </w:p>
        </w:tc>
        <w:tc>
          <w:tcPr>
            <w:tcW w:w="3000" w:type="dxa"/>
            <w:vAlign w:val="bottom"/>
            <w:tcBorders>
              <w:bottom w:val="single" w:sz="8" w:color="auto"/>
            </w:tcBorders>
          </w:tcPr>
          <w:p>
            <w:pPr>
              <w:ind w:left="1100"/>
              <w:spacing w:after="0" w:line="203" w:lineRule="exact"/>
              <w:rPr>
                <w:sz w:val="20"/>
                <w:szCs w:val="20"/>
                <w:color w:val="auto"/>
              </w:rPr>
            </w:pPr>
            <w:r>
              <w:rPr>
                <w:rFonts w:ascii="Arial" w:cs="Arial" w:eastAsia="Arial" w:hAnsi="Arial"/>
                <w:sz w:val="18"/>
                <w:szCs w:val="18"/>
                <w:color w:val="auto"/>
              </w:rPr>
              <w:t>liabilities</w:t>
            </w:r>
          </w:p>
        </w:tc>
        <w:tc>
          <w:tcPr>
            <w:tcW w:w="2300" w:type="dxa"/>
            <w:vAlign w:val="bottom"/>
            <w:tcBorders>
              <w:bottom w:val="single" w:sz="8" w:color="auto"/>
            </w:tcBorders>
            <w:gridSpan w:val="2"/>
            <w:vMerge w:val="continue"/>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liability derivatives</w:t>
            </w:r>
          </w:p>
        </w:tc>
        <w:tc>
          <w:tcPr>
            <w:tcW w:w="30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right"/>
              <w:ind w:right="550"/>
              <w:spacing w:after="0" w:line="196" w:lineRule="exact"/>
              <w:rPr>
                <w:sz w:val="20"/>
                <w:szCs w:val="20"/>
                <w:color w:val="auto"/>
              </w:rPr>
            </w:pPr>
            <w:r>
              <w:rPr>
                <w:rFonts w:ascii="Arial" w:cs="Arial" w:eastAsia="Arial" w:hAnsi="Arial"/>
                <w:sz w:val="18"/>
                <w:szCs w:val="18"/>
                <w:b w:val="1"/>
                <w:bCs w:val="1"/>
                <w:color w:val="auto"/>
              </w:rPr>
              <w:t>($4,718)</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Gains/(losses) on changes in fair value of derivative instruments were as follows:</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2"/>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30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Years ended December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30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9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98"/>
        </w:trPr>
        <w:tc>
          <w:tcPr>
            <w:tcW w:w="5180" w:type="dxa"/>
            <w:vAlign w:val="bottom"/>
            <w:gridSpan w:val="2"/>
          </w:tcPr>
          <w:p>
            <w:pPr>
              <w:spacing w:after="0"/>
              <w:rPr>
                <w:sz w:val="20"/>
                <w:szCs w:val="20"/>
                <w:color w:val="auto"/>
              </w:rPr>
            </w:pPr>
            <w:r>
              <w:rPr>
                <w:rFonts w:ascii="Arial" w:cs="Arial" w:eastAsia="Arial" w:hAnsi="Arial"/>
                <w:sz w:val="18"/>
                <w:szCs w:val="18"/>
                <w:color w:val="auto"/>
              </w:rPr>
              <w:t>Derivatives designated as hedging instruments</w:t>
            </w:r>
          </w:p>
        </w:tc>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ind w:left="160"/>
              <w:spacing w:after="0" w:line="243"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8"/>
                <w:szCs w:val="28"/>
                <w:color w:val="auto"/>
                <w:vertAlign w:val="superscript"/>
              </w:rPr>
              <w:t>1</w:t>
            </w:r>
          </w:p>
        </w:tc>
        <w:tc>
          <w:tcPr>
            <w:tcW w:w="3000" w:type="dxa"/>
            <w:vAlign w:val="bottom"/>
          </w:tcPr>
          <w:p>
            <w:pPr>
              <w:spacing w:after="0"/>
              <w:rPr>
                <w:sz w:val="21"/>
                <w:szCs w:val="21"/>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($285)</w:t>
            </w:r>
          </w:p>
        </w:tc>
        <w:tc>
          <w:tcPr>
            <w:tcW w:w="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3" w:lineRule="exact"/>
              <w:rPr>
                <w:sz w:val="20"/>
                <w:szCs w:val="20"/>
                <w:color w:val="auto"/>
              </w:rPr>
            </w:pPr>
            <w:r>
              <w:rPr>
                <w:rFonts w:ascii="Arial" w:cs="Arial" w:eastAsia="Arial" w:hAnsi="Arial"/>
                <w:sz w:val="18"/>
                <w:szCs w:val="18"/>
                <w:color w:val="auto"/>
              </w:rPr>
              <w:t>Derivatives not designated as hedging instruments</w:t>
            </w:r>
          </w:p>
        </w:tc>
        <w:tc>
          <w:tcPr>
            <w:tcW w:w="3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tcPr>
          <w:p>
            <w:pPr>
              <w:ind w:left="160"/>
              <w:spacing w:after="0" w:line="243" w:lineRule="exact"/>
              <w:rPr>
                <w:sz w:val="20"/>
                <w:szCs w:val="20"/>
                <w:color w:val="auto"/>
              </w:rPr>
            </w:pPr>
            <w:r>
              <w:rPr>
                <w:rFonts w:ascii="Arial" w:cs="Arial" w:eastAsia="Arial" w:hAnsi="Arial"/>
                <w:sz w:val="17"/>
                <w:szCs w:val="17"/>
                <w:color w:val="auto"/>
              </w:rPr>
              <w:t xml:space="preserve">Forward exchange options </w:t>
            </w:r>
            <w:r>
              <w:rPr>
                <w:rFonts w:ascii="Arial" w:cs="Arial" w:eastAsia="Arial" w:hAnsi="Arial"/>
                <w:sz w:val="28"/>
                <w:szCs w:val="28"/>
                <w:color w:val="auto"/>
                <w:vertAlign w:val="superscript"/>
              </w:rPr>
              <w:t>2</w:t>
            </w:r>
          </w:p>
        </w:tc>
        <w:tc>
          <w:tcPr>
            <w:tcW w:w="3000" w:type="dxa"/>
            <w:vAlign w:val="bottom"/>
          </w:tcPr>
          <w:p>
            <w:pPr>
              <w:spacing w:after="0"/>
              <w:rPr>
                <w:sz w:val="21"/>
                <w:szCs w:val="21"/>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b w:val="1"/>
                <w:bCs w:val="1"/>
                <w:color w:val="auto"/>
              </w:rPr>
              <w:t>33</w:t>
            </w:r>
          </w:p>
        </w:tc>
        <w:tc>
          <w:tcPr>
            <w:tcW w:w="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tcBorders>
              <w:bottom w:val="single" w:sz="8" w:color="auto"/>
            </w:tcBorders>
          </w:tcPr>
          <w:p>
            <w:pPr>
              <w:ind w:left="160"/>
              <w:spacing w:after="0" w:line="243" w:lineRule="exact"/>
              <w:rPr>
                <w:sz w:val="20"/>
                <w:szCs w:val="20"/>
                <w:color w:val="auto"/>
              </w:rPr>
            </w:pPr>
            <w:r>
              <w:rPr>
                <w:rFonts w:ascii="Arial" w:cs="Arial" w:eastAsia="Arial" w:hAnsi="Arial"/>
                <w:sz w:val="17"/>
                <w:szCs w:val="17"/>
                <w:color w:val="auto"/>
              </w:rPr>
              <w:t xml:space="preserve">Forward currency contracts </w:t>
            </w:r>
            <w:r>
              <w:rPr>
                <w:rFonts w:ascii="Arial" w:cs="Arial" w:eastAsia="Arial" w:hAnsi="Arial"/>
                <w:sz w:val="28"/>
                <w:szCs w:val="28"/>
                <w:color w:val="auto"/>
                <w:vertAlign w:val="superscript"/>
              </w:rPr>
              <w:t>2</w:t>
            </w:r>
          </w:p>
        </w:tc>
        <w:tc>
          <w:tcPr>
            <w:tcW w:w="30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60" w:right="200" w:hanging="352"/>
        <w:spacing w:after="0" w:line="246"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Unrealized losses are recognized in Other comprehensive income, net of tax. This derivative was a 100% effective hedge of interest rate cash flow risk for the year ended December 31, 2012.</w:t>
      </w:r>
    </w:p>
    <w:p>
      <w:pPr>
        <w:spacing w:after="0" w:line="143"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Gains/(losses) are recognized in Other expense, net.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Other Noncurrent Liabilities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liabilities consist of:</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51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r>
      <w:tr>
        <w:trPr>
          <w:trHeight w:val="376"/>
        </w:trPr>
        <w:tc>
          <w:tcPr>
            <w:tcW w:w="4560" w:type="dxa"/>
            <w:vAlign w:val="bottom"/>
          </w:tcPr>
          <w:p>
            <w:pPr>
              <w:spacing w:after="0"/>
              <w:rPr>
                <w:sz w:val="20"/>
                <w:szCs w:val="20"/>
                <w:color w:val="auto"/>
              </w:rPr>
            </w:pPr>
            <w:r>
              <w:rPr>
                <w:rFonts w:ascii="Arial" w:cs="Arial" w:eastAsia="Arial" w:hAnsi="Arial"/>
                <w:sz w:val="18"/>
                <w:szCs w:val="18"/>
                <w:color w:val="auto"/>
              </w:rPr>
              <w:t>Pension liabilities</w:t>
            </w:r>
          </w:p>
        </w:tc>
        <w:tc>
          <w:tcPr>
            <w:tcW w:w="5180" w:type="dxa"/>
            <w:vAlign w:val="bottom"/>
          </w:tcPr>
          <w:p>
            <w:pPr>
              <w:jc w:val="right"/>
              <w:ind w:right="830"/>
              <w:spacing w:after="0"/>
              <w:rPr>
                <w:sz w:val="20"/>
                <w:szCs w:val="20"/>
                <w:color w:val="auto"/>
              </w:rPr>
            </w:pPr>
            <w:r>
              <w:rPr>
                <w:rFonts w:ascii="Arial" w:cs="Arial" w:eastAsia="Arial" w:hAnsi="Arial"/>
                <w:sz w:val="18"/>
                <w:szCs w:val="18"/>
                <w:b w:val="1"/>
                <w:bCs w:val="1"/>
                <w:color w:val="auto"/>
              </w:rPr>
              <w:t>$49,820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$105,425</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Postretirement benefits other than pensions</w:t>
            </w:r>
          </w:p>
        </w:tc>
        <w:tc>
          <w:tcPr>
            <w:tcW w:w="51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78,821</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73,060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Interest rate swap agreement</w:t>
            </w:r>
          </w:p>
        </w:tc>
        <w:tc>
          <w:tcPr>
            <w:tcW w:w="51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4,718</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4,251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Deferred compensation</w:t>
            </w:r>
          </w:p>
        </w:tc>
        <w:tc>
          <w:tcPr>
            <w:tcW w:w="51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2,087</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2,234</w:t>
            </w:r>
          </w:p>
        </w:tc>
      </w:tr>
      <w:tr>
        <w:trPr>
          <w:trHeight w:val="225"/>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1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566</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518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$136,012</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$185,596</w:t>
            </w:r>
          </w:p>
        </w:tc>
      </w:tr>
      <w:tr>
        <w:trPr>
          <w:trHeight w:val="385"/>
        </w:trPr>
        <w:tc>
          <w:tcPr>
            <w:tcW w:w="4560" w:type="dxa"/>
            <w:vAlign w:val="bottom"/>
          </w:tcPr>
          <w:p>
            <w:pPr>
              <w:spacing w:after="0"/>
              <w:rPr>
                <w:sz w:val="24"/>
                <w:szCs w:val="24"/>
                <w:color w:val="auto"/>
              </w:rPr>
            </w:pPr>
          </w:p>
        </w:tc>
        <w:tc>
          <w:tcPr>
            <w:tcW w:w="5180" w:type="dxa"/>
            <w:vAlign w:val="bottom"/>
          </w:tcPr>
          <w:p>
            <w:pPr>
              <w:jc w:val="right"/>
              <w:ind w:right="3830"/>
              <w:spacing w:after="0"/>
              <w:rPr>
                <w:sz w:val="20"/>
                <w:szCs w:val="20"/>
                <w:color w:val="auto"/>
              </w:rPr>
            </w:pPr>
            <w:r>
              <w:rPr>
                <w:rFonts w:ascii="Arial" w:cs="Arial" w:eastAsia="Arial" w:hAnsi="Arial"/>
                <w:sz w:val="18"/>
                <w:szCs w:val="18"/>
                <w:color w:val="auto"/>
              </w:rPr>
              <w:t>79</w:t>
            </w:r>
          </w:p>
        </w:tc>
        <w:tc>
          <w:tcPr>
            <w:tcW w:w="1680" w:type="dxa"/>
            <w:vAlign w:val="bottom"/>
          </w:tcPr>
          <w:p>
            <w:pPr>
              <w:spacing w:after="0"/>
              <w:rPr>
                <w:sz w:val="24"/>
                <w:szCs w:val="24"/>
                <w:color w:val="auto"/>
              </w:rPr>
            </w:pPr>
          </w:p>
        </w:tc>
      </w:tr>
      <w:tr>
        <w:trPr>
          <w:trHeight w:val="196"/>
        </w:trPr>
        <w:tc>
          <w:tcPr>
            <w:tcW w:w="456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15. Commitments and Contingencies</w:t>
      </w:r>
    </w:p>
    <w:p>
      <w:pPr>
        <w:spacing w:after="0" w:line="180" w:lineRule="exact"/>
        <w:rPr>
          <w:sz w:val="20"/>
          <w:szCs w:val="20"/>
          <w:color w:val="auto"/>
        </w:rPr>
      </w:pPr>
    </w:p>
    <w:p>
      <w:pPr>
        <w:ind w:right="360" w:firstLine="360"/>
        <w:spacing w:after="0"/>
        <w:rPr>
          <w:sz w:val="20"/>
          <w:szCs w:val="20"/>
          <w:color w:val="auto"/>
        </w:rPr>
      </w:pPr>
      <w:r>
        <w:rPr>
          <w:rFonts w:ascii="Arial" w:cs="Arial" w:eastAsia="Arial" w:hAnsi="Arial"/>
          <w:sz w:val="18"/>
          <w:szCs w:val="18"/>
          <w:color w:val="auto"/>
        </w:rPr>
        <w:t>Principal leases are for machinery and equipment, vehicles, and real property. Certain leases contain renewal and purchase option provisions at fair values. There were no significant capital leases entered into during 2012. Total rental expense amounted to $5.8 million in 2012 and 2011, and $7.4 million in 2010.</w:t>
      </w:r>
    </w:p>
    <w:p>
      <w:pPr>
        <w:spacing w:after="0" w:line="149" w:lineRule="exact"/>
        <w:rPr>
          <w:sz w:val="20"/>
          <w:szCs w:val="20"/>
          <w:color w:val="auto"/>
        </w:rPr>
      </w:pPr>
    </w:p>
    <w:p>
      <w:pPr>
        <w:ind w:right="20" w:firstLine="360"/>
        <w:spacing w:after="0" w:line="246" w:lineRule="auto"/>
        <w:rPr>
          <w:sz w:val="20"/>
          <w:szCs w:val="20"/>
          <w:color w:val="auto"/>
        </w:rPr>
      </w:pPr>
      <w:r>
        <w:rPr>
          <w:rFonts w:ascii="Arial" w:cs="Arial" w:eastAsia="Arial" w:hAnsi="Arial"/>
          <w:sz w:val="18"/>
          <w:szCs w:val="18"/>
          <w:color w:val="auto"/>
        </w:rPr>
        <w:t>Future rental payments required under operating leases that have initial or remaining non-cancelable lease terms in excess of one year, as of December 31, 2012 are: 2013, $3.5 million; 2014, $2.3 million; 2015, $1.5 million; 2016, $0.8 million and 2017 and thereafter, $0.3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0"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defending 4,463 claims as of January 30, 2013.</w:t>
      </w:r>
    </w:p>
    <w:p>
      <w:pPr>
        <w:spacing w:after="0" w:line="158" w:lineRule="exact"/>
        <w:rPr>
          <w:sz w:val="20"/>
          <w:szCs w:val="20"/>
          <w:color w:val="auto"/>
        </w:rPr>
      </w:pPr>
    </w:p>
    <w:p>
      <w:pPr>
        <w:jc w:val="both"/>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820" w:type="dxa"/>
            <w:vAlign w:val="bottom"/>
            <w:tcBorders>
              <w:top w:val="single" w:sz="8" w:color="auto"/>
              <w:left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Year ended</w:t>
            </w:r>
          </w:p>
        </w:tc>
        <w:tc>
          <w:tcPr>
            <w:tcW w:w="194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14"/>
                <w:szCs w:val="14"/>
                <w:i w:val="1"/>
                <w:iCs w:val="1"/>
                <w:color w:val="auto"/>
              </w:rPr>
              <w:t>Opening Number of Claims</w:t>
            </w:r>
          </w:p>
        </w:tc>
        <w:tc>
          <w:tcPr>
            <w:tcW w:w="204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4"/>
                <w:szCs w:val="14"/>
                <w:i w:val="1"/>
                <w:iCs w:val="1"/>
                <w:color w:val="auto"/>
              </w:rPr>
              <w:t>Claims Dismissed,</w:t>
            </w:r>
          </w:p>
        </w:tc>
        <w:tc>
          <w:tcPr>
            <w:tcW w:w="158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4"/>
                <w:szCs w:val="14"/>
                <w:i w:val="1"/>
                <w:iCs w:val="1"/>
                <w:color w:val="auto"/>
              </w:rPr>
              <w:t>Closing</w:t>
            </w:r>
          </w:p>
        </w:tc>
        <w:tc>
          <w:tcPr>
            <w:tcW w:w="258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Amounts Paid</w:t>
            </w:r>
          </w:p>
        </w:tc>
      </w:tr>
      <w:tr>
        <w:trPr>
          <w:trHeight w:val="162"/>
        </w:trPr>
        <w:tc>
          <w:tcPr>
            <w:tcW w:w="1820" w:type="dxa"/>
            <w:vAlign w:val="bottom"/>
            <w:tcBorders>
              <w:left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December</w:t>
            </w:r>
          </w:p>
        </w:tc>
        <w:tc>
          <w:tcPr>
            <w:tcW w:w="1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4"/>
                <w:szCs w:val="14"/>
                <w:i w:val="1"/>
                <w:iCs w:val="1"/>
                <w:color w:val="auto"/>
              </w:rPr>
              <w:t>Settled, or Resolved</w:t>
            </w:r>
          </w:p>
        </w:tc>
        <w:tc>
          <w:tcPr>
            <w:tcW w:w="15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right"/>
              <w:ind w:right="76"/>
              <w:spacing w:after="0"/>
              <w:rPr>
                <w:sz w:val="20"/>
                <w:szCs w:val="20"/>
                <w:color w:val="auto"/>
              </w:rPr>
            </w:pPr>
            <w:r>
              <w:rPr>
                <w:rFonts w:ascii="Arial" w:cs="Arial" w:eastAsia="Arial" w:hAnsi="Arial"/>
                <w:sz w:val="14"/>
                <w:szCs w:val="14"/>
                <w:i w:val="1"/>
                <w:iCs w:val="1"/>
                <w:color w:val="auto"/>
              </w:rPr>
              <w:t>Number</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(thousands) to</w:t>
            </w:r>
          </w:p>
        </w:tc>
      </w:tr>
      <w:tr>
        <w:trPr>
          <w:trHeight w:val="171"/>
        </w:trPr>
        <w:tc>
          <w:tcPr>
            <w:tcW w:w="1820" w:type="dxa"/>
            <w:vAlign w:val="bottom"/>
            <w:tcBorders>
              <w:left w:val="single" w:sz="8" w:color="auto"/>
              <w:right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31,</w:t>
            </w:r>
          </w:p>
        </w:tc>
        <w:tc>
          <w:tcPr>
            <w:tcW w:w="19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i w:val="1"/>
                <w:iCs w:val="1"/>
                <w:color w:val="auto"/>
              </w:rPr>
              <w:t>New Claims</w:t>
            </w:r>
          </w:p>
        </w:tc>
        <w:tc>
          <w:tcPr>
            <w:tcW w:w="1460" w:type="dxa"/>
            <w:vAlign w:val="bottom"/>
            <w:tcBorders>
              <w:right w:val="single" w:sz="8" w:color="auto"/>
            </w:tcBorders>
          </w:tcPr>
          <w:p>
            <w:pPr>
              <w:jc w:val="right"/>
              <w:ind w:right="76"/>
              <w:spacing w:after="0"/>
              <w:rPr>
                <w:sz w:val="20"/>
                <w:szCs w:val="20"/>
                <w:color w:val="auto"/>
              </w:rPr>
            </w:pPr>
            <w:r>
              <w:rPr>
                <w:rFonts w:ascii="Arial" w:cs="Arial" w:eastAsia="Arial" w:hAnsi="Arial"/>
                <w:sz w:val="14"/>
                <w:szCs w:val="14"/>
                <w:i w:val="1"/>
                <w:iCs w:val="1"/>
                <w:color w:val="auto"/>
              </w:rPr>
              <w:t>of</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Settle or</w:t>
            </w:r>
          </w:p>
        </w:tc>
      </w:tr>
      <w:tr>
        <w:trPr>
          <w:trHeight w:val="186"/>
        </w:trPr>
        <w:tc>
          <w:tcPr>
            <w:tcW w:w="1820" w:type="dxa"/>
            <w:vAlign w:val="bottom"/>
            <w:tcBorders>
              <w:left w:val="single" w:sz="8" w:color="auto"/>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Claims</w:t>
            </w:r>
          </w:p>
        </w:tc>
        <w:tc>
          <w:tcPr>
            <w:tcW w:w="258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Resolve</w:t>
            </w:r>
          </w:p>
        </w:tc>
      </w:tr>
      <w:tr>
        <w:trPr>
          <w:trHeight w:val="151"/>
        </w:trPr>
        <w:tc>
          <w:tcPr>
            <w:tcW w:w="1820" w:type="dxa"/>
            <w:vAlign w:val="bottom"/>
            <w:tcBorders>
              <w:left w:val="single" w:sz="8" w:color="auto"/>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c>
          <w:tcPr>
            <w:tcW w:w="1460" w:type="dxa"/>
            <w:vAlign w:val="bottom"/>
            <w:tcBorders>
              <w:bottom w:val="single" w:sz="8" w:color="auto"/>
              <w:right w:val="single" w:sz="8" w:color="auto"/>
            </w:tcBorders>
          </w:tcPr>
          <w:p>
            <w:pPr>
              <w:spacing w:after="0"/>
              <w:rPr>
                <w:sz w:val="13"/>
                <w:szCs w:val="13"/>
                <w:color w:val="auto"/>
              </w:rPr>
            </w:pPr>
          </w:p>
        </w:tc>
        <w:tc>
          <w:tcPr>
            <w:tcW w:w="2580" w:type="dxa"/>
            <w:vAlign w:val="bottom"/>
            <w:tcBorders>
              <w:bottom w:val="single" w:sz="8" w:color="auto"/>
              <w:right w:val="single" w:sz="8" w:color="auto"/>
            </w:tcBorders>
          </w:tcPr>
          <w:p>
            <w:pPr>
              <w:spacing w:after="0"/>
              <w:rPr>
                <w:sz w:val="13"/>
                <w:szCs w:val="13"/>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2005</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29,411</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6,257</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1,297</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24,451</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$ 504</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2006</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24,451</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6,841</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1,806</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19,416</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3,879</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2007</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19,416</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808</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190</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18,798</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15</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2008</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18,798</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523</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110</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18,385</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52</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2009</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18,385</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9,482</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42</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8,945</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88</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2010</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8,945</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3,963</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188</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5,170</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159</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28"/>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i w:val="1"/>
                <w:iCs w:val="1"/>
                <w:color w:val="auto"/>
              </w:rPr>
              <w:t>2011</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5,170</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789</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65</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4,446</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1,111</w:t>
            </w:r>
          </w:p>
        </w:tc>
      </w:tr>
      <w:tr>
        <w:trPr>
          <w:trHeight w:val="143"/>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r>
        <w:trPr>
          <w:trHeight w:val="232"/>
        </w:trPr>
        <w:tc>
          <w:tcPr>
            <w:tcW w:w="1820" w:type="dxa"/>
            <w:vAlign w:val="bottom"/>
            <w:tcBorders>
              <w:left w:val="single" w:sz="8" w:color="auto"/>
              <w:right w:val="single" w:sz="8" w:color="auto"/>
            </w:tcBorders>
          </w:tcPr>
          <w:p>
            <w:pPr>
              <w:jc w:val="right"/>
              <w:ind w:right="1408"/>
              <w:spacing w:after="0"/>
              <w:rPr>
                <w:sz w:val="20"/>
                <w:szCs w:val="20"/>
                <w:color w:val="auto"/>
              </w:rPr>
            </w:pPr>
            <w:r>
              <w:rPr>
                <w:rFonts w:ascii="Arial" w:cs="Arial" w:eastAsia="Arial" w:hAnsi="Arial"/>
                <w:sz w:val="14"/>
                <w:szCs w:val="14"/>
                <w:b w:val="1"/>
                <w:bCs w:val="1"/>
                <w:i w:val="1"/>
                <w:iCs w:val="1"/>
                <w:color w:val="auto"/>
              </w:rPr>
              <w:t>2012</w:t>
            </w:r>
          </w:p>
        </w:tc>
        <w:tc>
          <w:tcPr>
            <w:tcW w:w="194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i w:val="1"/>
                <w:iCs w:val="1"/>
                <w:color w:val="auto"/>
              </w:rPr>
              <w:t>4,446</w:t>
            </w:r>
          </w:p>
        </w:tc>
        <w:tc>
          <w:tcPr>
            <w:tcW w:w="20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b w:val="1"/>
                <w:bCs w:val="1"/>
                <w:i w:val="1"/>
                <w:iCs w:val="1"/>
                <w:color w:val="auto"/>
              </w:rPr>
              <w:t>90</w:t>
            </w:r>
          </w:p>
        </w:tc>
        <w:tc>
          <w:tcPr>
            <w:tcW w:w="15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b w:val="1"/>
                <w:bCs w:val="1"/>
                <w:i w:val="1"/>
                <w:iCs w:val="1"/>
                <w:color w:val="auto"/>
              </w:rPr>
              <w:t>107</w:t>
            </w:r>
          </w:p>
        </w:tc>
        <w:tc>
          <w:tcPr>
            <w:tcW w:w="146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b w:val="1"/>
                <w:bCs w:val="1"/>
                <w:i w:val="1"/>
                <w:iCs w:val="1"/>
                <w:color w:val="auto"/>
              </w:rPr>
              <w:t>4,463</w:t>
            </w:r>
          </w:p>
        </w:tc>
        <w:tc>
          <w:tcPr>
            <w:tcW w:w="258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b w:val="1"/>
                <w:bCs w:val="1"/>
                <w:i w:val="1"/>
                <w:iCs w:val="1"/>
                <w:color w:val="auto"/>
              </w:rPr>
              <w:t>530</w:t>
            </w:r>
          </w:p>
        </w:tc>
      </w:tr>
      <w:tr>
        <w:trPr>
          <w:trHeight w:val="139"/>
        </w:trPr>
        <w:tc>
          <w:tcPr>
            <w:tcW w:w="1820" w:type="dxa"/>
            <w:vAlign w:val="bottom"/>
            <w:tcBorders>
              <w:left w:val="single" w:sz="8" w:color="auto"/>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20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rPr>
                <w:sz w:val="12"/>
                <w:szCs w:val="12"/>
                <w:color w:val="auto"/>
              </w:rPr>
            </w:pPr>
          </w:p>
        </w:tc>
      </w:tr>
    </w:tbl>
    <w:p>
      <w:pPr>
        <w:spacing w:after="0" w:line="188"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43" w:lineRule="exact"/>
        <w:rPr>
          <w:sz w:val="20"/>
          <w:szCs w:val="20"/>
          <w:color w:val="auto"/>
        </w:rPr>
      </w:pPr>
    </w:p>
    <w:p>
      <w:pPr>
        <w:jc w:val="both"/>
        <w:ind w:right="100" w:firstLine="360"/>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80" w:name="page81"/>
    <w:bookmarkEnd w:id="80"/>
    <w:p>
      <w:pPr>
        <w:ind w:right="80" w:firstLine="36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January 30, 2013, we had resolved, by means of settlement or dismissal, 36,370 claims. The total cost of resolving all claims was $8.6 million. Of this amount, almost 100% was paid by our insurance carrier. The Company has over $125 million in confirmed insurance coverage that should be available with respect to current and future asbestos claims, as well as additional insurance coverage that we should be able to access.</w:t>
      </w:r>
    </w:p>
    <w:p>
      <w:pPr>
        <w:spacing w:after="0" w:line="151" w:lineRule="exact"/>
        <w:rPr>
          <w:sz w:val="20"/>
          <w:szCs w:val="20"/>
          <w:color w:val="auto"/>
        </w:rPr>
      </w:pPr>
    </w:p>
    <w:p>
      <w:pPr>
        <w:ind w:firstLine="360"/>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7,867 claims as of January 30, 2013.</w:t>
      </w:r>
    </w:p>
    <w:p>
      <w:pPr>
        <w:spacing w:after="0" w:line="149"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740" w:type="dxa"/>
            <w:vAlign w:val="bottom"/>
            <w:tcBorders>
              <w:top w:val="single" w:sz="8" w:color="auto"/>
              <w:left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Year ended</w:t>
            </w:r>
          </w:p>
        </w:tc>
        <w:tc>
          <w:tcPr>
            <w:tcW w:w="1840" w:type="dxa"/>
            <w:vAlign w:val="bottom"/>
            <w:tcBorders>
              <w:top w:val="single" w:sz="8" w:color="auto"/>
              <w:right w:val="single" w:sz="8" w:color="auto"/>
            </w:tcBorders>
          </w:tcPr>
          <w:p>
            <w:pPr>
              <w:jc w:val="right"/>
              <w:ind w:right="74"/>
              <w:spacing w:after="0"/>
              <w:rPr>
                <w:sz w:val="20"/>
                <w:szCs w:val="20"/>
                <w:color w:val="auto"/>
              </w:rPr>
            </w:pPr>
            <w:r>
              <w:rPr>
                <w:rFonts w:ascii="Arial" w:cs="Arial" w:eastAsia="Arial" w:hAnsi="Arial"/>
                <w:sz w:val="14"/>
                <w:szCs w:val="14"/>
                <w:i w:val="1"/>
                <w:iCs w:val="1"/>
                <w:color w:val="auto"/>
              </w:rPr>
              <w:t>Opening Number</w:t>
            </w:r>
          </w:p>
        </w:tc>
        <w:tc>
          <w:tcPr>
            <w:tcW w:w="1940" w:type="dxa"/>
            <w:vAlign w:val="bottom"/>
            <w:tcBorders>
              <w:top w:val="single" w:sz="8" w:color="auto"/>
              <w:right w:val="single" w:sz="8" w:color="auto"/>
            </w:tcBorders>
          </w:tcPr>
          <w:p>
            <w:pPr>
              <w:jc w:val="right"/>
              <w:ind w:right="75"/>
              <w:spacing w:after="0"/>
              <w:rPr>
                <w:sz w:val="20"/>
                <w:szCs w:val="20"/>
                <w:color w:val="auto"/>
              </w:rPr>
            </w:pPr>
            <w:r>
              <w:rPr>
                <w:rFonts w:ascii="Arial" w:cs="Arial" w:eastAsia="Arial" w:hAnsi="Arial"/>
                <w:sz w:val="14"/>
                <w:szCs w:val="14"/>
                <w:i w:val="1"/>
                <w:iCs w:val="1"/>
                <w:color w:val="auto"/>
              </w:rPr>
              <w:t>Claims Dismissed,</w:t>
            </w:r>
          </w:p>
        </w:tc>
        <w:tc>
          <w:tcPr>
            <w:tcW w:w="14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jc w:val="right"/>
              <w:ind w:right="75"/>
              <w:spacing w:after="0"/>
              <w:rPr>
                <w:sz w:val="20"/>
                <w:szCs w:val="20"/>
                <w:color w:val="auto"/>
              </w:rPr>
            </w:pPr>
            <w:r>
              <w:rPr>
                <w:rFonts w:ascii="Arial" w:cs="Arial" w:eastAsia="Arial" w:hAnsi="Arial"/>
                <w:sz w:val="14"/>
                <w:szCs w:val="14"/>
                <w:i w:val="1"/>
                <w:iCs w:val="1"/>
                <w:color w:val="auto"/>
              </w:rPr>
              <w:t>Closing</w:t>
            </w:r>
          </w:p>
        </w:tc>
        <w:tc>
          <w:tcPr>
            <w:tcW w:w="272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Amounts Paid</w:t>
            </w:r>
          </w:p>
        </w:tc>
      </w:tr>
      <w:tr>
        <w:trPr>
          <w:trHeight w:val="162"/>
        </w:trPr>
        <w:tc>
          <w:tcPr>
            <w:tcW w:w="1740" w:type="dxa"/>
            <w:vAlign w:val="bottom"/>
            <w:tcBorders>
              <w:left w:val="single" w:sz="8" w:color="auto"/>
              <w:right w:val="single" w:sz="8" w:color="auto"/>
            </w:tcBorders>
          </w:tcPr>
          <w:p>
            <w:pPr>
              <w:jc w:val="right"/>
              <w:ind w:right="88"/>
              <w:spacing w:after="0"/>
              <w:rPr>
                <w:sz w:val="20"/>
                <w:szCs w:val="20"/>
                <w:color w:val="auto"/>
              </w:rPr>
            </w:pPr>
            <w:r>
              <w:rPr>
                <w:rFonts w:ascii="Arial" w:cs="Arial" w:eastAsia="Arial" w:hAnsi="Arial"/>
                <w:sz w:val="14"/>
                <w:szCs w:val="14"/>
                <w:i w:val="1"/>
                <w:iCs w:val="1"/>
                <w:color w:val="auto"/>
              </w:rPr>
              <w:t>December</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4"/>
                <w:szCs w:val="14"/>
                <w:i w:val="1"/>
                <w:iCs w:val="1"/>
                <w:color w:val="auto"/>
              </w:rPr>
              <w:t>of Claims</w:t>
            </w:r>
          </w:p>
        </w:tc>
        <w:tc>
          <w:tcPr>
            <w:tcW w:w="1940" w:type="dxa"/>
            <w:vAlign w:val="bottom"/>
            <w:tcBorders>
              <w:right w:val="single" w:sz="8" w:color="auto"/>
            </w:tcBorders>
          </w:tcPr>
          <w:p>
            <w:pPr>
              <w:jc w:val="right"/>
              <w:ind w:right="75"/>
              <w:spacing w:after="0"/>
              <w:rPr>
                <w:sz w:val="20"/>
                <w:szCs w:val="20"/>
                <w:color w:val="auto"/>
              </w:rPr>
            </w:pPr>
            <w:r>
              <w:rPr>
                <w:rFonts w:ascii="Arial" w:cs="Arial" w:eastAsia="Arial" w:hAnsi="Arial"/>
                <w:sz w:val="14"/>
                <w:szCs w:val="14"/>
                <w:i w:val="1"/>
                <w:iCs w:val="1"/>
                <w:color w:val="auto"/>
              </w:rPr>
              <w:t>Settled, or</w:t>
            </w:r>
          </w:p>
        </w:tc>
        <w:tc>
          <w:tcPr>
            <w:tcW w:w="148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right"/>
              <w:ind w:right="75"/>
              <w:spacing w:after="0"/>
              <w:rPr>
                <w:sz w:val="20"/>
                <w:szCs w:val="20"/>
                <w:color w:val="auto"/>
              </w:rPr>
            </w:pPr>
            <w:r>
              <w:rPr>
                <w:rFonts w:ascii="Arial" w:cs="Arial" w:eastAsia="Arial" w:hAnsi="Arial"/>
                <w:sz w:val="14"/>
                <w:szCs w:val="14"/>
                <w:i w:val="1"/>
                <w:iCs w:val="1"/>
                <w:color w:val="auto"/>
              </w:rPr>
              <w:t>Number of</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(thousands) to</w:t>
            </w:r>
          </w:p>
        </w:tc>
      </w:tr>
      <w:tr>
        <w:trPr>
          <w:trHeight w:val="171"/>
        </w:trPr>
        <w:tc>
          <w:tcPr>
            <w:tcW w:w="1740" w:type="dxa"/>
            <w:vAlign w:val="bottom"/>
            <w:tcBorders>
              <w:left w:val="single" w:sz="8" w:color="auto"/>
              <w:right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31,</w:t>
            </w:r>
          </w:p>
        </w:tc>
        <w:tc>
          <w:tcPr>
            <w:tcW w:w="184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4"/>
                <w:szCs w:val="14"/>
                <w:i w:val="1"/>
                <w:iCs w:val="1"/>
                <w:color w:val="auto"/>
              </w:rPr>
              <w:t>Resolved</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i w:val="1"/>
                <w:iCs w:val="1"/>
                <w:color w:val="auto"/>
              </w:rPr>
              <w:t>New Claims</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4"/>
                <w:szCs w:val="14"/>
                <w:i w:val="1"/>
                <w:iCs w:val="1"/>
                <w:color w:val="auto"/>
              </w:rPr>
              <w:t>Claims</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4"/>
                <w:szCs w:val="14"/>
                <w:i w:val="1"/>
                <w:iCs w:val="1"/>
                <w:color w:val="auto"/>
              </w:rPr>
              <w:t>Settle or</w:t>
            </w:r>
          </w:p>
        </w:tc>
      </w:tr>
      <w:tr>
        <w:trPr>
          <w:trHeight w:val="186"/>
        </w:trPr>
        <w:tc>
          <w:tcPr>
            <w:tcW w:w="17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jc w:val="right"/>
              <w:spacing w:after="0"/>
              <w:rPr>
                <w:sz w:val="20"/>
                <w:szCs w:val="20"/>
                <w:color w:val="auto"/>
              </w:rPr>
            </w:pPr>
            <w:r>
              <w:rPr>
                <w:rFonts w:ascii="Arial" w:cs="Arial" w:eastAsia="Arial" w:hAnsi="Arial"/>
                <w:sz w:val="14"/>
                <w:szCs w:val="14"/>
                <w:i w:val="1"/>
                <w:iCs w:val="1"/>
                <w:color w:val="auto"/>
              </w:rPr>
              <w:t>Resolve</w:t>
            </w:r>
          </w:p>
        </w:tc>
      </w:tr>
      <w:tr>
        <w:trPr>
          <w:trHeight w:val="151"/>
        </w:trPr>
        <w:tc>
          <w:tcPr>
            <w:tcW w:w="174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2005</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9,985</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642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223</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9,566</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$ 0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2006</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9,566</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1,182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730</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9,114</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2007</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9,114</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462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88</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8,740</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2008</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8,740</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86</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10</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8,664</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2009</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8,664</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760</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3</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7,907</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2010</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7,907</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47</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9</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7,869</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i w:val="1"/>
                <w:iCs w:val="1"/>
                <w:color w:val="auto"/>
              </w:rPr>
              <w:t>2011</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7,869</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3</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11</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7,877</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r>
        <w:trPr>
          <w:trHeight w:val="228"/>
        </w:trPr>
        <w:tc>
          <w:tcPr>
            <w:tcW w:w="1740" w:type="dxa"/>
            <w:vAlign w:val="bottom"/>
            <w:tcBorders>
              <w:left w:val="single" w:sz="8" w:color="auto"/>
              <w:right w:val="single" w:sz="8" w:color="auto"/>
            </w:tcBorders>
          </w:tcPr>
          <w:p>
            <w:pPr>
              <w:jc w:val="right"/>
              <w:ind w:right="1328"/>
              <w:spacing w:after="0"/>
              <w:rPr>
                <w:sz w:val="20"/>
                <w:szCs w:val="20"/>
                <w:color w:val="auto"/>
              </w:rPr>
            </w:pPr>
            <w:r>
              <w:rPr>
                <w:rFonts w:ascii="Arial" w:cs="Arial" w:eastAsia="Arial" w:hAnsi="Arial"/>
                <w:sz w:val="14"/>
                <w:szCs w:val="14"/>
                <w:b w:val="1"/>
                <w:bCs w:val="1"/>
                <w:i w:val="1"/>
                <w:iCs w:val="1"/>
                <w:color w:val="auto"/>
              </w:rPr>
              <w:t>2012</w:t>
            </w:r>
          </w:p>
        </w:tc>
        <w:tc>
          <w:tcPr>
            <w:tcW w:w="184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i w:val="1"/>
                <w:iCs w:val="1"/>
                <w:color w:val="auto"/>
              </w:rPr>
              <w:t>7,877</w:t>
            </w:r>
          </w:p>
        </w:tc>
        <w:tc>
          <w:tcPr>
            <w:tcW w:w="194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12</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8"/>
                <w:szCs w:val="18"/>
                <w:i w:val="1"/>
                <w:iCs w:val="1"/>
                <w:color w:val="auto"/>
              </w:rPr>
              <w:t>2</w:t>
            </w:r>
          </w:p>
        </w:tc>
        <w:tc>
          <w:tcPr>
            <w:tcW w:w="1700" w:type="dxa"/>
            <w:vAlign w:val="bottom"/>
            <w:tcBorders>
              <w:right w:val="single" w:sz="8" w:color="auto"/>
            </w:tcBorders>
          </w:tcPr>
          <w:p>
            <w:pPr>
              <w:jc w:val="right"/>
              <w:ind w:right="35"/>
              <w:spacing w:after="0"/>
              <w:rPr>
                <w:sz w:val="20"/>
                <w:szCs w:val="20"/>
                <w:color w:val="auto"/>
              </w:rPr>
            </w:pPr>
            <w:r>
              <w:rPr>
                <w:rFonts w:ascii="Arial" w:cs="Arial" w:eastAsia="Arial" w:hAnsi="Arial"/>
                <w:sz w:val="18"/>
                <w:szCs w:val="18"/>
                <w:i w:val="1"/>
                <w:iCs w:val="1"/>
                <w:color w:val="auto"/>
              </w:rPr>
              <w:t>7,867</w:t>
            </w:r>
          </w:p>
        </w:tc>
        <w:tc>
          <w:tcPr>
            <w:tcW w:w="2720" w:type="dxa"/>
            <w:vAlign w:val="bottom"/>
            <w:tcBorders>
              <w:right w:val="single" w:sz="8" w:color="auto"/>
            </w:tcBorders>
          </w:tcPr>
          <w:p>
            <w:pPr>
              <w:jc w:val="right"/>
              <w:ind w:right="36"/>
              <w:spacing w:after="0"/>
              <w:rPr>
                <w:sz w:val="20"/>
                <w:szCs w:val="20"/>
                <w:color w:val="auto"/>
              </w:rPr>
            </w:pPr>
            <w:r>
              <w:rPr>
                <w:rFonts w:ascii="Arial" w:cs="Arial" w:eastAsia="Arial" w:hAnsi="Arial"/>
                <w:sz w:val="18"/>
                <w:szCs w:val="18"/>
                <w:i w:val="1"/>
                <w:iCs w:val="1"/>
                <w:color w:val="auto"/>
              </w:rPr>
              <w:t>0</w:t>
            </w:r>
          </w:p>
        </w:tc>
      </w:tr>
      <w:tr>
        <w:trPr>
          <w:trHeight w:val="143"/>
        </w:trPr>
        <w:tc>
          <w:tcPr>
            <w:tcW w:w="1740" w:type="dxa"/>
            <w:vAlign w:val="bottom"/>
            <w:tcBorders>
              <w:left w:val="single" w:sz="8" w:color="auto"/>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720" w:type="dxa"/>
            <w:vAlign w:val="bottom"/>
            <w:tcBorders>
              <w:bottom w:val="single" w:sz="8" w:color="auto"/>
              <w:right w:val="single" w:sz="8" w:color="auto"/>
            </w:tcBorders>
          </w:tcPr>
          <w:p>
            <w:pPr>
              <w:spacing w:after="0"/>
              <w:rPr>
                <w:sz w:val="12"/>
                <w:szCs w:val="12"/>
                <w:color w:val="auto"/>
              </w:rPr>
            </w:pPr>
          </w:p>
        </w:tc>
      </w:tr>
    </w:tbl>
    <w:p>
      <w:pPr>
        <w:spacing w:after="0" w:line="391"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January 30, 2013, Brandon has resolved, by means of settlement or dismissal, 9,733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81" w:name="page82"/>
    <w:bookmarkEnd w:id="81"/>
    <w:p>
      <w:pPr>
        <w:jc w:val="both"/>
        <w:ind w:right="200" w:firstLine="36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49"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51"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NAFTA Audits</w:t>
      </w:r>
    </w:p>
    <w:p>
      <w:pPr>
        <w:spacing w:after="0" w:line="180" w:lineRule="exact"/>
        <w:rPr>
          <w:sz w:val="20"/>
          <w:szCs w:val="20"/>
          <w:color w:val="auto"/>
        </w:rPr>
      </w:pPr>
    </w:p>
    <w:p>
      <w:pPr>
        <w:ind w:right="100" w:firstLine="36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paper machine clothing from the Company and the Company’s affiliate in Canada for which the Company has claimed duty-free treatment under the North American Free Trade Agreement (“NAFTA”).</w:t>
      </w:r>
    </w:p>
    <w:p>
      <w:pPr>
        <w:spacing w:after="0" w:line="149"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149"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In December 2011, while these appeals were pending, SAT revoked its earlier declarations of invalidation with respect to the certificates of origin at issue in 28 of the 36 open audits, and ordered a further review of such certificates. To date, the Company has been informed by SAT that it has completed its review of 19 of the 28 audits, concluded that the certificates of origin in 19 of those 28 audits were valid, and that the shipments identified in those 19 audits were entitled to NAFTA’s duty-free treatment. SAT is continuing to review the certificates of origin in the remaining 9 open audits where the original declaration was revoked. SAT is also still considering the Company’s appeal with regard to the 8 open audits where the original declaration invalidating the certificates of origin have not yet been revoked.</w:t>
      </w:r>
    </w:p>
    <w:p>
      <w:pPr>
        <w:spacing w:after="0" w:line="151" w:lineRule="exact"/>
        <w:rPr>
          <w:sz w:val="20"/>
          <w:szCs w:val="20"/>
          <w:color w:val="auto"/>
        </w:rPr>
      </w:pPr>
    </w:p>
    <w:p>
      <w:pPr>
        <w:ind w:right="40" w:firstLine="360"/>
        <w:spacing w:after="0"/>
        <w:rPr>
          <w:sz w:val="20"/>
          <w:szCs w:val="20"/>
          <w:color w:val="auto"/>
        </w:rPr>
      </w:pPr>
      <w:r>
        <w:rPr>
          <w:rFonts w:ascii="Arial" w:cs="Arial" w:eastAsia="Arial" w:hAnsi="Arial"/>
          <w:sz w:val="18"/>
          <w:szCs w:val="18"/>
          <w:color w:val="auto"/>
        </w:rPr>
        <w:t>Based on discussions with SAT, the Company currently expects that it will be given an opportunity to present evidence to SAT officials to establish the origin for NAFTA purposes of all of the shipments covered by the above-described audits still under review, and that it will be able to establish that a very high percentage of the shipments at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82" w:name="page83"/>
    <w:bookmarkEnd w:id="82"/>
    <w:p>
      <w:pPr>
        <w:ind w:right="40"/>
        <w:spacing w:after="0" w:line="238" w:lineRule="auto"/>
        <w:rPr>
          <w:sz w:val="20"/>
          <w:szCs w:val="20"/>
          <w:color w:val="auto"/>
        </w:rPr>
      </w:pPr>
      <w:r>
        <w:rPr>
          <w:rFonts w:ascii="Arial" w:cs="Arial" w:eastAsia="Arial" w:hAnsi="Arial"/>
          <w:sz w:val="18"/>
          <w:szCs w:val="18"/>
          <w:color w:val="auto"/>
        </w:rPr>
        <w:t>issue were entitled to NAFTA treatment. For the small percentage of shipments for which the Company may not be able to establish qualification for duty-free treatment under NAFTA, the Company may be required to pay duties and penalties. The Company currently does not expect any such amounts to be material. The Company also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Translation Adjustments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Statements of Cash Flows were affected by translation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2011</w:t>
            </w:r>
          </w:p>
        </w:tc>
        <w:tc>
          <w:tcPr>
            <w:tcW w:w="1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w:t>
            </w:r>
          </w:p>
        </w:tc>
      </w:tr>
      <w:tr>
        <w:trPr>
          <w:trHeight w:val="376"/>
        </w:trPr>
        <w:tc>
          <w:tcPr>
            <w:tcW w:w="6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Change in cumulative translation adjustments</w:t>
            </w:r>
          </w:p>
        </w:tc>
        <w:tc>
          <w:tcPr>
            <w:tcW w:w="16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$18,287</w:t>
            </w:r>
          </w:p>
        </w:tc>
        <w:tc>
          <w:tcPr>
            <w:tcW w:w="20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($13,070)</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($10,208)</w:t>
            </w:r>
          </w:p>
        </w:tc>
        <w:tc>
          <w:tcPr>
            <w:tcW w:w="20" w:type="dxa"/>
            <w:vAlign w:val="bottom"/>
          </w:tcPr>
          <w:p>
            <w:pPr>
              <w:spacing w:after="0"/>
              <w:rPr>
                <w:sz w:val="24"/>
                <w:szCs w:val="24"/>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1,352</w:t>
            </w:r>
          </w:p>
        </w:tc>
        <w:tc>
          <w:tcPr>
            <w:tcW w:w="2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(1,209)</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877</w:t>
            </w:r>
          </w:p>
        </w:tc>
        <w:tc>
          <w:tcPr>
            <w:tcW w:w="20" w:type="dxa"/>
            <w:vAlign w:val="bottom"/>
          </w:tcPr>
          <w:p>
            <w:pPr>
              <w:spacing w:after="0"/>
              <w:rPr>
                <w:sz w:val="17"/>
                <w:szCs w:val="17"/>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Deferred taxes</w:t>
            </w:r>
          </w:p>
        </w:tc>
        <w:tc>
          <w:tcPr>
            <w:tcW w:w="160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(7,895)</w:t>
            </w:r>
          </w:p>
        </w:tc>
        <w:tc>
          <w:tcPr>
            <w:tcW w:w="20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1,204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2,562</w:t>
            </w:r>
          </w:p>
        </w:tc>
        <w:tc>
          <w:tcPr>
            <w:tcW w:w="20" w:type="dxa"/>
            <w:vAlign w:val="bottom"/>
          </w:tcPr>
          <w:p>
            <w:pPr>
              <w:spacing w:after="0"/>
              <w:rPr>
                <w:sz w:val="17"/>
                <w:szCs w:val="17"/>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w:t>
            </w:r>
          </w:p>
        </w:tc>
        <w:tc>
          <w:tcPr>
            <w:tcW w:w="160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(1,119)</w:t>
            </w:r>
          </w:p>
        </w:tc>
        <w:tc>
          <w:tcPr>
            <w:tcW w:w="20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4,284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2,066</w:t>
            </w:r>
          </w:p>
        </w:tc>
        <w:tc>
          <w:tcPr>
            <w:tcW w:w="20" w:type="dxa"/>
            <w:vAlign w:val="bottom"/>
          </w:tcPr>
          <w:p>
            <w:pPr>
              <w:spacing w:after="0"/>
              <w:rPr>
                <w:sz w:val="17"/>
                <w:szCs w:val="17"/>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Inventories</w:t>
            </w:r>
          </w:p>
        </w:tc>
        <w:tc>
          <w:tcPr>
            <w:tcW w:w="160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(779)</w:t>
            </w:r>
          </w:p>
        </w:tc>
        <w:tc>
          <w:tcPr>
            <w:tcW w:w="20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2,756</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20" w:type="dxa"/>
            <w:vAlign w:val="bottom"/>
          </w:tcPr>
          <w:p>
            <w:pPr>
              <w:spacing w:after="0"/>
              <w:rPr>
                <w:sz w:val="17"/>
                <w:szCs w:val="17"/>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60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(7,859)</w:t>
            </w:r>
          </w:p>
        </w:tc>
        <w:tc>
          <w:tcPr>
            <w:tcW w:w="20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2,789</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(8,626)</w:t>
            </w:r>
          </w:p>
        </w:tc>
        <w:tc>
          <w:tcPr>
            <w:tcW w:w="20" w:type="dxa"/>
            <w:vAlign w:val="bottom"/>
          </w:tcPr>
          <w:p>
            <w:pPr>
              <w:spacing w:after="0"/>
              <w:rPr>
                <w:sz w:val="17"/>
                <w:szCs w:val="17"/>
                <w:color w:val="auto"/>
              </w:rPr>
            </w:pP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Goodwill and intangibles</w:t>
            </w:r>
          </w:p>
        </w:tc>
        <w:tc>
          <w:tcPr>
            <w:tcW w:w="1600" w:type="dxa"/>
            <w:vAlign w:val="bottom"/>
          </w:tcPr>
          <w:p>
            <w:pPr>
              <w:jc w:val="right"/>
              <w:ind w:right="590"/>
              <w:spacing w:after="0" w:line="202" w:lineRule="exact"/>
              <w:rPr>
                <w:sz w:val="20"/>
                <w:szCs w:val="20"/>
                <w:color w:val="auto"/>
              </w:rPr>
            </w:pPr>
            <w:r>
              <w:rPr>
                <w:rFonts w:ascii="Arial" w:cs="Arial" w:eastAsia="Arial" w:hAnsi="Arial"/>
                <w:sz w:val="18"/>
                <w:szCs w:val="18"/>
                <w:b w:val="1"/>
                <w:bCs w:val="1"/>
                <w:color w:val="auto"/>
              </w:rPr>
              <w:t>(1,053)</w:t>
            </w:r>
          </w:p>
        </w:tc>
        <w:tc>
          <w:tcPr>
            <w:tcW w:w="20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2,449</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4,665</w:t>
            </w:r>
          </w:p>
        </w:tc>
        <w:tc>
          <w:tcPr>
            <w:tcW w:w="20" w:type="dxa"/>
            <w:vAlign w:val="bottom"/>
          </w:tcPr>
          <w:p>
            <w:pPr>
              <w:spacing w:after="0"/>
              <w:rPr>
                <w:sz w:val="17"/>
                <w:szCs w:val="17"/>
                <w:color w:val="auto"/>
              </w:rPr>
            </w:pP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(1,015)</w:t>
            </w:r>
          </w:p>
        </w:tc>
        <w:tc>
          <w:tcPr>
            <w:tcW w:w="2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(2,576)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r>
      <w:tr>
        <w:trPr>
          <w:trHeight w:val="196"/>
        </w:trPr>
        <w:tc>
          <w:tcPr>
            <w:tcW w:w="6360" w:type="dxa"/>
            <w:vAlign w:val="bottom"/>
            <w:gridSpan w:val="2"/>
          </w:tcPr>
          <w:p>
            <w:pPr>
              <w:spacing w:after="0" w:line="196" w:lineRule="exact"/>
              <w:rPr>
                <w:sz w:val="20"/>
                <w:szCs w:val="20"/>
                <w:color w:val="auto"/>
              </w:rPr>
            </w:pPr>
            <w:r>
              <w:rPr>
                <w:rFonts w:ascii="Arial" w:cs="Arial" w:eastAsia="Arial" w:hAnsi="Arial"/>
                <w:sz w:val="18"/>
                <w:szCs w:val="18"/>
                <w:color w:val="auto"/>
              </w:rPr>
              <w:t>Effect of exchange rate changes</w:t>
            </w:r>
          </w:p>
        </w:tc>
        <w:tc>
          <w:tcPr>
            <w:tcW w:w="160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($81)</w:t>
            </w:r>
          </w:p>
        </w:tc>
        <w:tc>
          <w:tcPr>
            <w:tcW w:w="204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($3,373)</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($9,285)</w:t>
            </w: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63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The change in cumulative translation adjustments includes the following:</w:t>
            </w:r>
          </w:p>
        </w:tc>
        <w:tc>
          <w:tcPr>
            <w:tcW w:w="16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6360" w:type="dxa"/>
            <w:vAlign w:val="bottom"/>
            <w:gridSpan w:val="2"/>
          </w:tcPr>
          <w:p>
            <w:pPr>
              <w:spacing w:after="0"/>
              <w:rPr>
                <w:sz w:val="12"/>
                <w:szCs w:val="12"/>
                <w:color w:val="auto"/>
              </w:rPr>
            </w:pPr>
          </w:p>
        </w:tc>
        <w:tc>
          <w:tcPr>
            <w:tcW w:w="1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(in thousands)</w:t>
            </w:r>
          </w:p>
        </w:tc>
        <w:tc>
          <w:tcPr>
            <w:tcW w:w="160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2012</w:t>
            </w:r>
          </w:p>
        </w:tc>
        <w:tc>
          <w:tcPr>
            <w:tcW w:w="204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2011</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2010</w:t>
            </w:r>
          </w:p>
        </w:tc>
        <w:tc>
          <w:tcPr>
            <w:tcW w:w="20" w:type="dxa"/>
            <w:vAlign w:val="bottom"/>
          </w:tcPr>
          <w:p>
            <w:pPr>
              <w:spacing w:after="0"/>
              <w:rPr>
                <w:sz w:val="17"/>
                <w:szCs w:val="17"/>
                <w:color w:val="auto"/>
              </w:rPr>
            </w:pPr>
          </w:p>
        </w:tc>
      </w:tr>
      <w:tr>
        <w:trPr>
          <w:trHeight w:val="376"/>
        </w:trPr>
        <w:tc>
          <w:tcPr>
            <w:tcW w:w="6360" w:type="dxa"/>
            <w:vAlign w:val="bottom"/>
            <w:gridSpan w:val="2"/>
          </w:tcPr>
          <w:p>
            <w:pPr>
              <w:spacing w:after="0"/>
              <w:rPr>
                <w:sz w:val="20"/>
                <w:szCs w:val="20"/>
                <w:color w:val="auto"/>
              </w:rPr>
            </w:pPr>
            <w:r>
              <w:rPr>
                <w:rFonts w:ascii="Arial" w:cs="Arial" w:eastAsia="Arial" w:hAnsi="Arial"/>
                <w:sz w:val="18"/>
                <w:szCs w:val="18"/>
                <w:color w:val="auto"/>
              </w:rPr>
              <w:t>Translation of non-U.S. subsidiaries</w:t>
            </w: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$16,589</w:t>
            </w:r>
          </w:p>
        </w:tc>
        <w:tc>
          <w:tcPr>
            <w:tcW w:w="2040" w:type="dxa"/>
            <w:vAlign w:val="bottom"/>
          </w:tcPr>
          <w:p>
            <w:pPr>
              <w:jc w:val="right"/>
              <w:ind w:right="570"/>
              <w:spacing w:after="0"/>
              <w:rPr>
                <w:sz w:val="20"/>
                <w:szCs w:val="20"/>
                <w:color w:val="auto"/>
              </w:rPr>
            </w:pPr>
            <w:r>
              <w:rPr>
                <w:rFonts w:ascii="Arial" w:cs="Arial" w:eastAsia="Arial" w:hAnsi="Arial"/>
                <w:sz w:val="18"/>
                <w:szCs w:val="18"/>
                <w:color w:val="auto"/>
              </w:rPr>
              <w:t>($17,061)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$17,364</w:t>
            </w:r>
          </w:p>
        </w:tc>
        <w:tc>
          <w:tcPr>
            <w:tcW w:w="20" w:type="dxa"/>
            <w:vAlign w:val="bottom"/>
          </w:tcPr>
          <w:p>
            <w:pPr>
              <w:spacing w:after="0"/>
              <w:rPr>
                <w:sz w:val="24"/>
                <w:szCs w:val="24"/>
                <w:color w:val="auto"/>
              </w:rPr>
            </w:pP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Gain/(loss) on long-term intercompany loans</w:t>
            </w: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1,698</w:t>
            </w:r>
          </w:p>
        </w:tc>
        <w:tc>
          <w:tcPr>
            <w:tcW w:w="2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3,991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(27,572)</w:t>
            </w:r>
          </w:p>
        </w:tc>
        <w:tc>
          <w:tcPr>
            <w:tcW w:w="20" w:type="dxa"/>
            <w:vAlign w:val="bottom"/>
          </w:tcPr>
          <w:p>
            <w:pPr>
              <w:spacing w:after="0"/>
              <w:rPr>
                <w:sz w:val="19"/>
                <w:szCs w:val="19"/>
                <w:color w:val="auto"/>
              </w:rPr>
            </w:pPr>
          </w:p>
        </w:tc>
      </w:tr>
      <w:tr>
        <w:trPr>
          <w:trHeight w:val="196"/>
        </w:trPr>
        <w:tc>
          <w:tcPr>
            <w:tcW w:w="6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 of exchange rate changes</w:t>
            </w:r>
          </w:p>
        </w:tc>
        <w:tc>
          <w:tcPr>
            <w:tcW w:w="160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$18,287</w:t>
            </w:r>
          </w:p>
        </w:tc>
        <w:tc>
          <w:tcPr>
            <w:tcW w:w="20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($13,070)</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($10,208)</w:t>
            </w:r>
          </w:p>
        </w:tc>
        <w:tc>
          <w:tcPr>
            <w:tcW w:w="20" w:type="dxa"/>
            <w:vAlign w:val="bottom"/>
          </w:tcPr>
          <w:p>
            <w:pPr>
              <w:spacing w:after="0"/>
              <w:rPr>
                <w:sz w:val="17"/>
                <w:szCs w:val="17"/>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Stock Options and Incentive Plans</w:t>
      </w:r>
    </w:p>
    <w:p>
      <w:pPr>
        <w:spacing w:after="0" w:line="180" w:lineRule="exact"/>
        <w:rPr>
          <w:sz w:val="20"/>
          <w:szCs w:val="20"/>
          <w:color w:val="auto"/>
        </w:rPr>
      </w:pPr>
    </w:p>
    <w:p>
      <w:pPr>
        <w:ind w:right="40" w:firstLine="360"/>
        <w:spacing w:after="0" w:line="246" w:lineRule="auto"/>
        <w:rPr>
          <w:sz w:val="20"/>
          <w:szCs w:val="20"/>
          <w:color w:val="auto"/>
        </w:rPr>
      </w:pPr>
      <w:r>
        <w:rPr>
          <w:rFonts w:ascii="Arial" w:cs="Arial" w:eastAsia="Arial" w:hAnsi="Arial"/>
          <w:sz w:val="18"/>
          <w:szCs w:val="18"/>
          <w:color w:val="auto"/>
        </w:rPr>
        <w:t>We recognized no stock option expense during 2012, 2011 or 2010 and there are currently no remaining unvested options for which stock-option compensation costs will be recognized in future periods.</w:t>
      </w:r>
    </w:p>
    <w:p>
      <w:pPr>
        <w:spacing w:after="0" w:line="143"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There have been no stock options granted since November 2002 and we have no stock option plan under which options may be granted. Options issued under previous plans and still outstanding were exercisable in five cumulative annual amounts beginning twelve months after date of grant. Option exercise prices were normally equal to and were not permitted to be less than the market value on the date of grant. Unexercised options generally terminate twenty years after the date of grant for all plans, and must be exercised within ten years of retirement.</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Activity with respect to these plans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Borders>
              <w:top w:val="single" w:sz="8" w:color="auto"/>
              <w:bottom w:val="single" w:sz="8" w:color="auto"/>
            </w:tcBorders>
          </w:tcPr>
          <w:p>
            <w:pPr>
              <w:spacing w:after="0"/>
              <w:rPr>
                <w:sz w:val="18"/>
                <w:szCs w:val="18"/>
                <w:color w:val="auto"/>
              </w:rPr>
            </w:pPr>
          </w:p>
        </w:tc>
        <w:tc>
          <w:tcPr>
            <w:tcW w:w="37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173"/>
        </w:trPr>
        <w:tc>
          <w:tcPr>
            <w:tcW w:w="20" w:type="dxa"/>
            <w:vAlign w:val="bottom"/>
          </w:tcPr>
          <w:p>
            <w:pPr>
              <w:spacing w:after="0"/>
              <w:rPr>
                <w:sz w:val="15"/>
                <w:szCs w:val="15"/>
                <w:color w:val="auto"/>
              </w:rPr>
            </w:pPr>
          </w:p>
        </w:tc>
        <w:tc>
          <w:tcPr>
            <w:tcW w:w="4260" w:type="dxa"/>
            <w:vAlign w:val="bottom"/>
          </w:tcPr>
          <w:p>
            <w:pPr>
              <w:spacing w:after="0" w:line="173" w:lineRule="exact"/>
              <w:rPr>
                <w:sz w:val="20"/>
                <w:szCs w:val="20"/>
                <w:color w:val="auto"/>
              </w:rPr>
            </w:pPr>
            <w:r>
              <w:rPr>
                <w:rFonts w:ascii="Arial" w:cs="Arial" w:eastAsia="Arial" w:hAnsi="Arial"/>
                <w:sz w:val="18"/>
                <w:szCs w:val="18"/>
                <w:color w:val="auto"/>
              </w:rPr>
              <w:t>Shares under option January 1</w:t>
            </w:r>
          </w:p>
        </w:tc>
        <w:tc>
          <w:tcPr>
            <w:tcW w:w="3700" w:type="dxa"/>
            <w:vAlign w:val="bottom"/>
          </w:tcPr>
          <w:p>
            <w:pPr>
              <w:jc w:val="right"/>
              <w:ind w:right="670"/>
              <w:spacing w:after="0" w:line="173" w:lineRule="exact"/>
              <w:rPr>
                <w:sz w:val="20"/>
                <w:szCs w:val="20"/>
                <w:color w:val="auto"/>
              </w:rPr>
            </w:pPr>
            <w:r>
              <w:rPr>
                <w:rFonts w:ascii="Arial" w:cs="Arial" w:eastAsia="Arial" w:hAnsi="Arial"/>
                <w:sz w:val="18"/>
                <w:szCs w:val="18"/>
                <w:b w:val="1"/>
                <w:bCs w:val="1"/>
                <w:color w:val="auto"/>
              </w:rPr>
              <w:t>597,313</w:t>
            </w:r>
          </w:p>
        </w:tc>
        <w:tc>
          <w:tcPr>
            <w:tcW w:w="2040" w:type="dxa"/>
            <w:vAlign w:val="bottom"/>
          </w:tcPr>
          <w:p>
            <w:pPr>
              <w:jc w:val="right"/>
              <w:ind w:right="650"/>
              <w:spacing w:after="0" w:line="173" w:lineRule="exact"/>
              <w:rPr>
                <w:sz w:val="20"/>
                <w:szCs w:val="20"/>
                <w:color w:val="auto"/>
              </w:rPr>
            </w:pPr>
            <w:r>
              <w:rPr>
                <w:rFonts w:ascii="Arial" w:cs="Arial" w:eastAsia="Arial" w:hAnsi="Arial"/>
                <w:sz w:val="18"/>
                <w:szCs w:val="18"/>
                <w:color w:val="auto"/>
              </w:rPr>
              <w:t>639,163</w:t>
            </w:r>
          </w:p>
        </w:tc>
        <w:tc>
          <w:tcPr>
            <w:tcW w:w="1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651,143</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Options canceled</w:t>
            </w:r>
          </w:p>
        </w:tc>
        <w:tc>
          <w:tcPr>
            <w:tcW w:w="370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23,300</w:t>
            </w:r>
          </w:p>
        </w:tc>
        <w:tc>
          <w:tcPr>
            <w:tcW w:w="204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400</w:t>
            </w:r>
          </w:p>
        </w:tc>
        <w:tc>
          <w:tcPr>
            <w:tcW w:w="14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4,750</w:t>
            </w:r>
          </w:p>
        </w:tc>
      </w:tr>
      <w:tr>
        <w:trPr>
          <w:trHeight w:val="2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Options exercised</w:t>
            </w:r>
          </w:p>
        </w:tc>
        <w:tc>
          <w:tcPr>
            <w:tcW w:w="37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66,700</w:t>
            </w:r>
          </w:p>
        </w:tc>
        <w:tc>
          <w:tcPr>
            <w:tcW w:w="20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41,450</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7,230</w:t>
            </w:r>
          </w:p>
        </w:tc>
      </w:tr>
      <w:tr>
        <w:trPr>
          <w:trHeight w:val="173"/>
        </w:trPr>
        <w:tc>
          <w:tcPr>
            <w:tcW w:w="4280" w:type="dxa"/>
            <w:vAlign w:val="bottom"/>
            <w:gridSpan w:val="2"/>
          </w:tcPr>
          <w:p>
            <w:pPr>
              <w:spacing w:after="0" w:line="173" w:lineRule="exact"/>
              <w:rPr>
                <w:sz w:val="20"/>
                <w:szCs w:val="20"/>
                <w:color w:val="auto"/>
              </w:rPr>
            </w:pPr>
            <w:r>
              <w:rPr>
                <w:rFonts w:ascii="Arial" w:cs="Arial" w:eastAsia="Arial" w:hAnsi="Arial"/>
                <w:sz w:val="18"/>
                <w:szCs w:val="18"/>
                <w:color w:val="auto"/>
              </w:rPr>
              <w:t>Shares under option at December 31</w:t>
            </w:r>
          </w:p>
        </w:tc>
        <w:tc>
          <w:tcPr>
            <w:tcW w:w="3700" w:type="dxa"/>
            <w:vAlign w:val="bottom"/>
          </w:tcPr>
          <w:p>
            <w:pPr>
              <w:jc w:val="right"/>
              <w:ind w:right="670"/>
              <w:spacing w:after="0" w:line="173" w:lineRule="exact"/>
              <w:rPr>
                <w:sz w:val="20"/>
                <w:szCs w:val="20"/>
                <w:color w:val="auto"/>
              </w:rPr>
            </w:pPr>
            <w:r>
              <w:rPr>
                <w:rFonts w:ascii="Arial" w:cs="Arial" w:eastAsia="Arial" w:hAnsi="Arial"/>
                <w:sz w:val="18"/>
                <w:szCs w:val="18"/>
                <w:b w:val="1"/>
                <w:bCs w:val="1"/>
                <w:color w:val="auto"/>
              </w:rPr>
              <w:t>507,313</w:t>
            </w:r>
          </w:p>
        </w:tc>
        <w:tc>
          <w:tcPr>
            <w:tcW w:w="2040" w:type="dxa"/>
            <w:vAlign w:val="bottom"/>
          </w:tcPr>
          <w:p>
            <w:pPr>
              <w:jc w:val="right"/>
              <w:ind w:right="650"/>
              <w:spacing w:after="0" w:line="173" w:lineRule="exact"/>
              <w:rPr>
                <w:sz w:val="20"/>
                <w:szCs w:val="20"/>
                <w:color w:val="auto"/>
              </w:rPr>
            </w:pPr>
            <w:r>
              <w:rPr>
                <w:rFonts w:ascii="Arial" w:cs="Arial" w:eastAsia="Arial" w:hAnsi="Arial"/>
                <w:sz w:val="18"/>
                <w:szCs w:val="18"/>
                <w:color w:val="auto"/>
              </w:rPr>
              <w:t>597,313</w:t>
            </w:r>
          </w:p>
        </w:tc>
        <w:tc>
          <w:tcPr>
            <w:tcW w:w="14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639,163</w:t>
            </w:r>
          </w:p>
        </w:tc>
      </w:tr>
      <w:tr>
        <w:trPr>
          <w:trHeight w:val="225"/>
        </w:trPr>
        <w:tc>
          <w:tcPr>
            <w:tcW w:w="4280" w:type="dxa"/>
            <w:vAlign w:val="bottom"/>
            <w:gridSpan w:val="2"/>
          </w:tcPr>
          <w:p>
            <w:pPr>
              <w:spacing w:after="0"/>
              <w:rPr>
                <w:sz w:val="20"/>
                <w:szCs w:val="20"/>
                <w:color w:val="auto"/>
              </w:rPr>
            </w:pPr>
            <w:r>
              <w:rPr>
                <w:rFonts w:ascii="Arial" w:cs="Arial" w:eastAsia="Arial" w:hAnsi="Arial"/>
                <w:sz w:val="18"/>
                <w:szCs w:val="18"/>
                <w:color w:val="auto"/>
              </w:rPr>
              <w:t>Options exercisable at December 31</w:t>
            </w:r>
          </w:p>
        </w:tc>
        <w:tc>
          <w:tcPr>
            <w:tcW w:w="3700" w:type="dxa"/>
            <w:vAlign w:val="bottom"/>
          </w:tcPr>
          <w:p>
            <w:pPr>
              <w:jc w:val="right"/>
              <w:ind w:right="670"/>
              <w:spacing w:after="0"/>
              <w:rPr>
                <w:sz w:val="20"/>
                <w:szCs w:val="20"/>
                <w:color w:val="auto"/>
              </w:rPr>
            </w:pPr>
            <w:r>
              <w:rPr>
                <w:rFonts w:ascii="Arial" w:cs="Arial" w:eastAsia="Arial" w:hAnsi="Arial"/>
                <w:sz w:val="18"/>
                <w:szCs w:val="18"/>
                <w:b w:val="1"/>
                <w:bCs w:val="1"/>
                <w:color w:val="auto"/>
              </w:rPr>
              <w:t>507,313</w:t>
            </w:r>
          </w:p>
        </w:tc>
        <w:tc>
          <w:tcPr>
            <w:tcW w:w="2040" w:type="dxa"/>
            <w:vAlign w:val="bottom"/>
          </w:tcPr>
          <w:p>
            <w:pPr>
              <w:jc w:val="right"/>
              <w:ind w:right="650"/>
              <w:spacing w:after="0"/>
              <w:rPr>
                <w:sz w:val="20"/>
                <w:szCs w:val="20"/>
                <w:color w:val="auto"/>
              </w:rPr>
            </w:pPr>
            <w:r>
              <w:rPr>
                <w:rFonts w:ascii="Arial" w:cs="Arial" w:eastAsia="Arial" w:hAnsi="Arial"/>
                <w:sz w:val="18"/>
                <w:szCs w:val="18"/>
                <w:color w:val="auto"/>
              </w:rPr>
              <w:t>597,313</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639,163</w:t>
            </w:r>
          </w:p>
        </w:tc>
      </w:tr>
      <w:tr>
        <w:trPr>
          <w:trHeight w:val="601"/>
        </w:trPr>
        <w:tc>
          <w:tcPr>
            <w:tcW w:w="20" w:type="dxa"/>
            <w:vAlign w:val="bottom"/>
          </w:tcPr>
          <w:p>
            <w:pPr>
              <w:spacing w:after="0"/>
              <w:rPr>
                <w:sz w:val="24"/>
                <w:szCs w:val="24"/>
                <w:color w:val="auto"/>
              </w:rPr>
            </w:pPr>
          </w:p>
        </w:tc>
        <w:tc>
          <w:tcPr>
            <w:tcW w:w="426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jc w:val="right"/>
              <w:ind w:right="2070"/>
              <w:spacing w:after="0"/>
              <w:rPr>
                <w:sz w:val="20"/>
                <w:szCs w:val="20"/>
                <w:color w:val="auto"/>
              </w:rPr>
            </w:pPr>
            <w:r>
              <w:rPr>
                <w:rFonts w:ascii="Arial" w:cs="Arial" w:eastAsia="Arial" w:hAnsi="Arial"/>
                <w:sz w:val="18"/>
                <w:szCs w:val="18"/>
                <w:color w:val="auto"/>
              </w:rPr>
              <w:t>83</w:t>
            </w:r>
          </w:p>
        </w:tc>
        <w:tc>
          <w:tcPr>
            <w:tcW w:w="20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83" w:name="page84"/>
    <w:bookmarkEnd w:id="83"/>
    <w:p>
      <w:pPr>
        <w:ind w:left="360"/>
        <w:spacing w:after="0"/>
        <w:rPr>
          <w:sz w:val="20"/>
          <w:szCs w:val="20"/>
          <w:color w:val="auto"/>
        </w:rPr>
      </w:pPr>
      <w:r>
        <w:rPr>
          <w:rFonts w:ascii="Arial" w:cs="Arial" w:eastAsia="Arial" w:hAnsi="Arial"/>
          <w:sz w:val="18"/>
          <w:szCs w:val="18"/>
          <w:color w:val="auto"/>
        </w:rPr>
        <w:t>The weighted average exercise price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20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2011</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173"/>
        </w:trPr>
        <w:tc>
          <w:tcPr>
            <w:tcW w:w="20" w:type="dxa"/>
            <w:vAlign w:val="bottom"/>
          </w:tcPr>
          <w:p>
            <w:pPr>
              <w:spacing w:after="0"/>
              <w:rPr>
                <w:sz w:val="15"/>
                <w:szCs w:val="15"/>
                <w:color w:val="auto"/>
              </w:rPr>
            </w:pPr>
          </w:p>
        </w:tc>
        <w:tc>
          <w:tcPr>
            <w:tcW w:w="4700" w:type="dxa"/>
            <w:vAlign w:val="bottom"/>
          </w:tcPr>
          <w:p>
            <w:pPr>
              <w:spacing w:after="0" w:line="173" w:lineRule="exact"/>
              <w:rPr>
                <w:sz w:val="20"/>
                <w:szCs w:val="20"/>
                <w:color w:val="auto"/>
              </w:rPr>
            </w:pPr>
            <w:r>
              <w:rPr>
                <w:rFonts w:ascii="Arial" w:cs="Arial" w:eastAsia="Arial" w:hAnsi="Arial"/>
                <w:sz w:val="18"/>
                <w:szCs w:val="18"/>
                <w:color w:val="auto"/>
              </w:rPr>
              <w:t>Shares under option January 1</w:t>
            </w:r>
          </w:p>
        </w:tc>
        <w:tc>
          <w:tcPr>
            <w:tcW w:w="3320" w:type="dxa"/>
            <w:vAlign w:val="bottom"/>
          </w:tcPr>
          <w:p>
            <w:pPr>
              <w:jc w:val="right"/>
              <w:ind w:right="730"/>
              <w:spacing w:after="0" w:line="173" w:lineRule="exact"/>
              <w:rPr>
                <w:sz w:val="20"/>
                <w:szCs w:val="20"/>
                <w:color w:val="auto"/>
              </w:rPr>
            </w:pPr>
            <w:r>
              <w:rPr>
                <w:rFonts w:ascii="Arial" w:cs="Arial" w:eastAsia="Arial" w:hAnsi="Arial"/>
                <w:sz w:val="18"/>
                <w:szCs w:val="18"/>
                <w:b w:val="1"/>
                <w:bCs w:val="1"/>
                <w:color w:val="auto"/>
              </w:rPr>
              <w:t>$19.54</w:t>
            </w:r>
          </w:p>
        </w:tc>
        <w:tc>
          <w:tcPr>
            <w:tcW w:w="2040" w:type="dxa"/>
            <w:vAlign w:val="bottom"/>
          </w:tcPr>
          <w:p>
            <w:pPr>
              <w:jc w:val="right"/>
              <w:ind w:right="710"/>
              <w:spacing w:after="0" w:line="173" w:lineRule="exact"/>
              <w:rPr>
                <w:sz w:val="20"/>
                <w:szCs w:val="20"/>
                <w:color w:val="auto"/>
              </w:rPr>
            </w:pPr>
            <w:r>
              <w:rPr>
                <w:rFonts w:ascii="Arial" w:cs="Arial" w:eastAsia="Arial" w:hAnsi="Arial"/>
                <w:sz w:val="18"/>
                <w:szCs w:val="18"/>
                <w:color w:val="auto"/>
              </w:rPr>
              <w:t>$19.51</w:t>
            </w:r>
          </w:p>
        </w:tc>
        <w:tc>
          <w:tcPr>
            <w:tcW w:w="13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$19.50</w:t>
            </w: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Options granted</w:t>
            </w:r>
          </w:p>
        </w:tc>
        <w:tc>
          <w:tcPr>
            <w:tcW w:w="3320" w:type="dxa"/>
            <w:vAlign w:val="bottom"/>
          </w:tcPr>
          <w:p>
            <w:pPr>
              <w:jc w:val="right"/>
              <w:ind w:right="730"/>
              <w:spacing w:after="0" w:line="202" w:lineRule="exact"/>
              <w:rPr>
                <w:sz w:val="20"/>
                <w:szCs w:val="20"/>
                <w:color w:val="auto"/>
              </w:rPr>
            </w:pPr>
            <w:r>
              <w:rPr>
                <w:rFonts w:ascii="Arial" w:cs="Arial" w:eastAsia="Arial" w:hAnsi="Arial"/>
                <w:sz w:val="18"/>
                <w:szCs w:val="18"/>
                <w:b w:val="1"/>
                <w:bCs w:val="1"/>
                <w:color w:val="auto"/>
              </w:rPr>
              <w:t>-</w:t>
            </w:r>
          </w:p>
        </w:tc>
        <w:tc>
          <w:tcPr>
            <w:tcW w:w="204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Options canceled</w:t>
            </w:r>
          </w:p>
        </w:tc>
        <w:tc>
          <w:tcPr>
            <w:tcW w:w="3320" w:type="dxa"/>
            <w:vAlign w:val="bottom"/>
          </w:tcPr>
          <w:p>
            <w:pPr>
              <w:jc w:val="right"/>
              <w:ind w:right="730"/>
              <w:spacing w:after="0" w:line="202" w:lineRule="exact"/>
              <w:rPr>
                <w:sz w:val="20"/>
                <w:szCs w:val="20"/>
                <w:color w:val="auto"/>
              </w:rPr>
            </w:pPr>
            <w:r>
              <w:rPr>
                <w:rFonts w:ascii="Arial" w:cs="Arial" w:eastAsia="Arial" w:hAnsi="Arial"/>
                <w:sz w:val="18"/>
                <w:szCs w:val="18"/>
                <w:b w:val="1"/>
                <w:bCs w:val="1"/>
                <w:color w:val="auto"/>
              </w:rPr>
              <w:t>21.23</w:t>
            </w:r>
          </w:p>
        </w:tc>
        <w:tc>
          <w:tcPr>
            <w:tcW w:w="204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20.54</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21.98</w:t>
            </w:r>
          </w:p>
        </w:tc>
      </w:tr>
      <w:tr>
        <w:trPr>
          <w:trHeight w:val="225"/>
        </w:trPr>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Options exercised</w:t>
            </w:r>
          </w:p>
        </w:tc>
        <w:tc>
          <w:tcPr>
            <w:tcW w:w="3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19.65</w:t>
            </w:r>
          </w:p>
        </w:tc>
        <w:tc>
          <w:tcPr>
            <w:tcW w:w="20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19.03</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w:t>
            </w:r>
          </w:p>
        </w:tc>
      </w:tr>
      <w:tr>
        <w:trPr>
          <w:trHeight w:val="173"/>
        </w:trPr>
        <w:tc>
          <w:tcPr>
            <w:tcW w:w="4720" w:type="dxa"/>
            <w:vAlign w:val="bottom"/>
            <w:gridSpan w:val="2"/>
          </w:tcPr>
          <w:p>
            <w:pPr>
              <w:spacing w:after="0" w:line="173" w:lineRule="exact"/>
              <w:rPr>
                <w:sz w:val="20"/>
                <w:szCs w:val="20"/>
                <w:color w:val="auto"/>
              </w:rPr>
            </w:pPr>
            <w:r>
              <w:rPr>
                <w:rFonts w:ascii="Arial" w:cs="Arial" w:eastAsia="Arial" w:hAnsi="Arial"/>
                <w:sz w:val="18"/>
                <w:szCs w:val="18"/>
                <w:color w:val="auto"/>
              </w:rPr>
              <w:t>Shares under option December 31</w:t>
            </w:r>
          </w:p>
        </w:tc>
        <w:tc>
          <w:tcPr>
            <w:tcW w:w="3320" w:type="dxa"/>
            <w:vAlign w:val="bottom"/>
          </w:tcPr>
          <w:p>
            <w:pPr>
              <w:jc w:val="right"/>
              <w:ind w:right="730"/>
              <w:spacing w:after="0" w:line="173" w:lineRule="exact"/>
              <w:rPr>
                <w:sz w:val="20"/>
                <w:szCs w:val="20"/>
                <w:color w:val="auto"/>
              </w:rPr>
            </w:pPr>
            <w:r>
              <w:rPr>
                <w:rFonts w:ascii="Arial" w:cs="Arial" w:eastAsia="Arial" w:hAnsi="Arial"/>
                <w:sz w:val="18"/>
                <w:szCs w:val="18"/>
                <w:b w:val="1"/>
                <w:bCs w:val="1"/>
                <w:color w:val="auto"/>
              </w:rPr>
              <w:t>19.45</w:t>
            </w:r>
          </w:p>
        </w:tc>
        <w:tc>
          <w:tcPr>
            <w:tcW w:w="2040" w:type="dxa"/>
            <w:vAlign w:val="bottom"/>
          </w:tcPr>
          <w:p>
            <w:pPr>
              <w:jc w:val="right"/>
              <w:ind w:right="710"/>
              <w:spacing w:after="0" w:line="173" w:lineRule="exact"/>
              <w:rPr>
                <w:sz w:val="20"/>
                <w:szCs w:val="20"/>
                <w:color w:val="auto"/>
              </w:rPr>
            </w:pPr>
            <w:r>
              <w:rPr>
                <w:rFonts w:ascii="Arial" w:cs="Arial" w:eastAsia="Arial" w:hAnsi="Arial"/>
                <w:sz w:val="18"/>
                <w:szCs w:val="18"/>
                <w:color w:val="auto"/>
              </w:rPr>
              <w:t>19.54</w:t>
            </w:r>
          </w:p>
        </w:tc>
        <w:tc>
          <w:tcPr>
            <w:tcW w:w="13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19.51</w:t>
            </w:r>
          </w:p>
        </w:tc>
      </w:tr>
      <w:tr>
        <w:trPr>
          <w:trHeight w:val="225"/>
        </w:trPr>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Options exercisable December 31</w:t>
            </w:r>
          </w:p>
        </w:tc>
        <w:tc>
          <w:tcPr>
            <w:tcW w:w="3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19.45</w:t>
            </w:r>
          </w:p>
        </w:tc>
        <w:tc>
          <w:tcPr>
            <w:tcW w:w="20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19.54</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19.51</w:t>
            </w:r>
          </w:p>
        </w:tc>
      </w:tr>
    </w:tbl>
    <w:p>
      <w:pPr>
        <w:spacing w:after="0" w:line="391" w:lineRule="exact"/>
        <w:rPr>
          <w:sz w:val="20"/>
          <w:szCs w:val="20"/>
          <w:color w:val="auto"/>
        </w:rPr>
      </w:pPr>
    </w:p>
    <w:p>
      <w:pPr>
        <w:ind w:right="680" w:firstLine="360"/>
        <w:spacing w:after="0" w:line="246" w:lineRule="auto"/>
        <w:rPr>
          <w:sz w:val="20"/>
          <w:szCs w:val="20"/>
          <w:color w:val="auto"/>
        </w:rPr>
      </w:pPr>
      <w:r>
        <w:rPr>
          <w:rFonts w:ascii="Arial" w:cs="Arial" w:eastAsia="Arial" w:hAnsi="Arial"/>
          <w:sz w:val="18"/>
          <w:szCs w:val="18"/>
          <w:color w:val="auto"/>
        </w:rPr>
        <w:t>As of December 31, 2012, the aggregate intrinsic value of vested options was $1.4 million. The aggregate intrinsic value of options exercised was $0.2 million in 2012, $0.3 million in 2011, and was insignificant in 2010.</w:t>
      </w:r>
    </w:p>
    <w:p>
      <w:pPr>
        <w:spacing w:after="0" w:line="143" w:lineRule="exact"/>
        <w:rPr>
          <w:sz w:val="20"/>
          <w:szCs w:val="20"/>
          <w:color w:val="auto"/>
        </w:rPr>
      </w:pPr>
    </w:p>
    <w:p>
      <w:pPr>
        <w:ind w:right="120" w:firstLine="360"/>
        <w:spacing w:after="0" w:line="236" w:lineRule="auto"/>
        <w:rPr>
          <w:sz w:val="20"/>
          <w:szCs w:val="20"/>
          <w:color w:val="auto"/>
        </w:rPr>
      </w:pPr>
      <w:r>
        <w:rPr>
          <w:rFonts w:ascii="Arial" w:cs="Arial" w:eastAsia="Arial" w:hAnsi="Arial"/>
          <w:sz w:val="18"/>
          <w:szCs w:val="18"/>
          <w:color w:val="auto"/>
        </w:rPr>
        <w:t>In 2011, shareholders approved the Albany International 2011 Incentive Plan, replacing the similar 2005 Incentive Plan approved by shareholders in 2005. Awards granted to date under these plans provide key members of management with incentive compensation based on achieving certain performance targets over a three year period. Such awards are paid out partly in cash and partly in shares of Class A Common Stock. In March 2012 we issued 6,727 shares and made cash payments totaling $0.2 million, and in March 2011, we issued 32,177 shares and made cash payments totaling $0.8 million, and in March 2010, we issued 22,844 shares and made cash payments totaling $1.1 million under these plans. Shares that are expected to be paid out are included in the calculation of diluted earnings per share. If a person terminates employment prior to the award becoming fully vested, the person may forfeit all or a portion of the incentive compensation award. Expense associated with this these awards is recognized over the vesting period, which includes the year for which performance targets are measured and may, if payment is made over three years, include the two subsequent years. In connection with this plan, we recognized expense of $2.4 million in 2012 and 2011, and $1.5 million in 2010.</w:t>
      </w:r>
    </w:p>
    <w:p>
      <w:pPr>
        <w:spacing w:after="0" w:line="153"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In 2011, the Board of Directors modified the annual incentive plan for executive management whereby 40% of the earned incentive compensation will be paid in the form of shares of Class A Common Stock. In March 2012, the Company issued 27,768 shares and made cash payments totaling $1.5 million as a result of performance in 2011. Expense recorded for this plan was $3.4 million in 2012 and $2.7 million in 2011.</w:t>
      </w:r>
    </w:p>
    <w:p>
      <w:pPr>
        <w:spacing w:after="0" w:line="148" w:lineRule="exact"/>
        <w:rPr>
          <w:sz w:val="20"/>
          <w:szCs w:val="20"/>
          <w:color w:val="auto"/>
        </w:rPr>
      </w:pPr>
    </w:p>
    <w:p>
      <w:pPr>
        <w:ind w:right="220" w:firstLine="360"/>
        <w:spacing w:after="0" w:line="238" w:lineRule="auto"/>
        <w:rPr>
          <w:sz w:val="20"/>
          <w:szCs w:val="20"/>
          <w:color w:val="auto"/>
        </w:rPr>
      </w:pPr>
      <w:r>
        <w:rPr>
          <w:rFonts w:ascii="Arial" w:cs="Arial" w:eastAsia="Arial" w:hAnsi="Arial"/>
          <w:sz w:val="18"/>
          <w:szCs w:val="18"/>
          <w:color w:val="auto"/>
        </w:rPr>
        <w:t>In 2003, the Company adopted a Restricted Stock Program under which certain key employees are awarded restricted stock units. Such units vest over a five-year period and are paid annually in cash based on current market prices of the Company’s stock. The amount of compensation expense is subject to changes in the market price of the Company’s stock. The amount of compensation cost attributable to such units is recorded in Selling and general expenses and was $1.9 million in 2012, $ 2.5 million in 2011, and $2.8 million in 2010. The Company has not awarded new restricted stock units since November 2010. However, awards up to that time will continue to vest until 2015.</w:t>
      </w:r>
    </w:p>
    <w:p>
      <w:pPr>
        <w:spacing w:after="0" w:line="149" w:lineRule="exact"/>
        <w:rPr>
          <w:sz w:val="20"/>
          <w:szCs w:val="20"/>
          <w:color w:val="auto"/>
        </w:rPr>
      </w:pPr>
    </w:p>
    <w:p>
      <w:pPr>
        <w:jc w:val="both"/>
        <w:ind w:right="140" w:firstLine="360"/>
        <w:spacing w:after="0" w:line="239" w:lineRule="auto"/>
        <w:rPr>
          <w:sz w:val="20"/>
          <w:szCs w:val="20"/>
          <w:color w:val="auto"/>
        </w:rPr>
      </w:pPr>
      <w:r>
        <w:rPr>
          <w:rFonts w:ascii="Arial" w:cs="Arial" w:eastAsia="Arial" w:hAnsi="Arial"/>
          <w:sz w:val="18"/>
          <w:szCs w:val="18"/>
          <w:color w:val="auto"/>
        </w:rPr>
        <w:t>In 2012, the Company adopted a Phantom Stock Plan that replaces the Restricted Stock Program. Awards under this program also vest over a five-year period and are paid annually in cash based on current market prices of the Company’s stock. Under this program, employees may earn more or less than the target award based on the Company’s results in the year of the award. We recognized expense of $0.5 million in 2012 for this plan.</w:t>
      </w:r>
    </w:p>
    <w:p>
      <w:pPr>
        <w:spacing w:after="0" w:line="148" w:lineRule="exact"/>
        <w:rPr>
          <w:sz w:val="20"/>
          <w:szCs w:val="20"/>
          <w:color w:val="auto"/>
        </w:rPr>
      </w:pPr>
    </w:p>
    <w:p>
      <w:pPr>
        <w:ind w:right="140" w:firstLine="360"/>
        <w:spacing w:after="0" w:line="238" w:lineRule="auto"/>
        <w:rPr>
          <w:sz w:val="20"/>
          <w:szCs w:val="20"/>
          <w:color w:val="auto"/>
        </w:rPr>
      </w:pPr>
      <w:r>
        <w:rPr>
          <w:rFonts w:ascii="Arial" w:cs="Arial" w:eastAsia="Arial" w:hAnsi="Arial"/>
          <w:sz w:val="18"/>
          <w:szCs w:val="18"/>
          <w:color w:val="auto"/>
        </w:rPr>
        <w:t>In 2008, the Company granted restricted stock units to certain executives. Upon vesting, each restricted stock unit is payable in cash. These grants vested in 2011 and 2012. Expense recognized for these grants was $0.5 million in 2012, $1.3 million in 2011, and $1.5 million in 2010. In 2012, the Company granted additional restricted stock units to two executives. The amount of compensation expense is subject to changes in the market price of the Company’s stock and is recorded in Selling and general expenses. These grants will vest various periods from 2015 to 2017. Expense recognized for these grants was $0.4 million in 2012.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84" w:name="page85"/>
    <w:bookmarkEnd w:id="84"/>
    <w:p>
      <w:pPr>
        <w:ind w:firstLine="360"/>
        <w:spacing w:after="0" w:line="237" w:lineRule="auto"/>
        <w:rPr>
          <w:sz w:val="20"/>
          <w:szCs w:val="20"/>
          <w:color w:val="auto"/>
        </w:rPr>
      </w:pPr>
      <w:r>
        <w:rPr>
          <w:rFonts w:ascii="Arial" w:cs="Arial" w:eastAsia="Arial" w:hAnsi="Arial"/>
          <w:sz w:val="18"/>
          <w:szCs w:val="18"/>
          <w:color w:val="auto"/>
        </w:rPr>
        <w:t>The Company maintains a voluntary savings plan covering substantially all employees in the United States. The Plan, known as the ProsperityPlus Savings Plan, is a qualified plan under section 401(k) of the U.S. Internal Revenue Code. Under the plan, employees may make contributions of 1% to 15% of their wages, subject to contribution limitations specified in the Internal Revenue Code. The Company matches between 50% and 100% of each dollar contributed by employees up to a maximum of 5% of pretax income. Prior to February 2011, the Company match was in the form of Class A Common Stock, but the Company has made matching contributions in cash since that date. The investment of employee contributions to the plan is self-directed. The Company’s cost of the plan amounted to $3.8 million for 2012, and $3.7 million for 2011 and 2010.</w:t>
      </w:r>
    </w:p>
    <w:p>
      <w:pPr>
        <w:spacing w:after="0" w:line="149"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The Company’s profit-sharing plan covers substantially all employees in the United States. After the close of each year, the Board of Directors determines the amount of the profit-sharing contribution. Through 2010, profit sharing contributions were made in the form of Class A Common Stock, but contributions have been made in cash since 2010. The expense recorded for this plan was $1.8 million in 2012, and $2.3 million in 2011 and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Shareholders’ Equity</w:t>
      </w:r>
    </w:p>
    <w:p>
      <w:pPr>
        <w:spacing w:after="0" w:line="180"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We have two classes of Common Stock, Class A Common Stock and Class B Common Stock, each with a par value of $0.001 and equal liquidation rights. Each share of our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 At December 31, 2012, 3.7 million shares of Class A Common Stock were reserved for the conversion of Class B Common Stock and the exercise of stock options.</w:t>
      </w:r>
    </w:p>
    <w:p>
      <w:pPr>
        <w:spacing w:after="0" w:line="151" w:lineRule="exact"/>
        <w:rPr>
          <w:sz w:val="20"/>
          <w:szCs w:val="20"/>
          <w:color w:val="auto"/>
        </w:rPr>
      </w:pPr>
    </w:p>
    <w:p>
      <w:pPr>
        <w:ind w:right="140" w:firstLine="360"/>
        <w:spacing w:after="0" w:line="239" w:lineRule="auto"/>
        <w:rPr>
          <w:sz w:val="20"/>
          <w:szCs w:val="20"/>
          <w:color w:val="auto"/>
        </w:rPr>
      </w:pPr>
      <w:r>
        <w:rPr>
          <w:rFonts w:ascii="Arial" w:cs="Arial" w:eastAsia="Arial" w:hAnsi="Arial"/>
          <w:sz w:val="18"/>
          <w:szCs w:val="18"/>
          <w:color w:val="auto"/>
        </w:rPr>
        <w:t>In August 2006, we announced that the Board of Directors authorized management to purchase up to 2.0 million additional shares of our Class A Common Stock. The Board’s action authorizes management to purchase shares from time to time, in the open market or otherwise, whenever it believes such purchase to be advantageous to our shareholders, and it is otherwise legally permitted to do so. We have made no share purchases under the August 2006 authorization. Activity in shareholders’ equity for 2010, 2011, and 2012 is presented below:</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27"/>
        </w:trPr>
        <w:tc>
          <w:tcPr>
            <w:tcW w:w="35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117"/>
              <w:spacing w:after="0" w:line="127" w:lineRule="exact"/>
              <w:rPr>
                <w:sz w:val="20"/>
                <w:szCs w:val="20"/>
                <w:color w:val="auto"/>
              </w:rPr>
            </w:pPr>
            <w:r>
              <w:rPr>
                <w:rFonts w:ascii="Arial" w:cs="Arial" w:eastAsia="Arial" w:hAnsi="Arial"/>
                <w:sz w:val="13"/>
                <w:szCs w:val="13"/>
                <w:b w:val="1"/>
                <w:bCs w:val="1"/>
                <w:color w:val="auto"/>
                <w:w w:val="97"/>
              </w:rPr>
              <w:t>Accumulated items</w:t>
            </w:r>
          </w:p>
        </w:tc>
        <w:tc>
          <w:tcPr>
            <w:tcW w:w="6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720" w:type="dxa"/>
            <w:vAlign w:val="bottom"/>
            <w:gridSpan w:val="2"/>
          </w:tcPr>
          <w:p>
            <w:pPr>
              <w:jc w:val="right"/>
              <w:ind w:right="357"/>
              <w:spacing w:after="0" w:line="135" w:lineRule="exact"/>
              <w:rPr>
                <w:sz w:val="20"/>
                <w:szCs w:val="20"/>
                <w:color w:val="auto"/>
              </w:rPr>
            </w:pPr>
            <w:r>
              <w:rPr>
                <w:rFonts w:ascii="Arial" w:cs="Arial" w:eastAsia="Arial" w:hAnsi="Arial"/>
                <w:sz w:val="13"/>
                <w:szCs w:val="13"/>
                <w:b w:val="1"/>
                <w:bCs w:val="1"/>
                <w:color w:val="auto"/>
              </w:rPr>
              <w:t>Class A</w:t>
            </w:r>
          </w:p>
        </w:tc>
        <w:tc>
          <w:tcPr>
            <w:tcW w:w="1280" w:type="dxa"/>
            <w:vAlign w:val="bottom"/>
            <w:gridSpan w:val="2"/>
          </w:tcPr>
          <w:p>
            <w:pPr>
              <w:jc w:val="right"/>
              <w:ind w:right="397"/>
              <w:spacing w:after="0" w:line="135" w:lineRule="exact"/>
              <w:rPr>
                <w:sz w:val="20"/>
                <w:szCs w:val="20"/>
                <w:color w:val="auto"/>
              </w:rPr>
            </w:pPr>
            <w:r>
              <w:rPr>
                <w:rFonts w:ascii="Arial" w:cs="Arial" w:eastAsia="Arial" w:hAnsi="Arial"/>
                <w:sz w:val="13"/>
                <w:szCs w:val="13"/>
                <w:b w:val="1"/>
                <w:bCs w:val="1"/>
                <w:color w:val="auto"/>
              </w:rPr>
              <w:t>Class B</w:t>
            </w:r>
          </w:p>
        </w:tc>
        <w:tc>
          <w:tcPr>
            <w:tcW w:w="116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Additional</w:t>
            </w: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Retained</w:t>
            </w:r>
          </w:p>
        </w:tc>
        <w:tc>
          <w:tcPr>
            <w:tcW w:w="15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4"/>
              </w:rPr>
              <w:t>of other</w:t>
            </w:r>
          </w:p>
        </w:tc>
        <w:tc>
          <w:tcPr>
            <w:tcW w:w="1400" w:type="dxa"/>
            <w:vAlign w:val="bottom"/>
            <w:gridSpan w:val="2"/>
          </w:tcPr>
          <w:p>
            <w:pPr>
              <w:jc w:val="right"/>
              <w:ind w:right="197"/>
              <w:spacing w:after="0" w:line="135" w:lineRule="exact"/>
              <w:rPr>
                <w:sz w:val="20"/>
                <w:szCs w:val="20"/>
                <w:color w:val="auto"/>
              </w:rPr>
            </w:pPr>
            <w:r>
              <w:rPr>
                <w:rFonts w:ascii="Arial" w:cs="Arial" w:eastAsia="Arial" w:hAnsi="Arial"/>
                <w:sz w:val="13"/>
                <w:szCs w:val="13"/>
                <w:b w:val="1"/>
                <w:bCs w:val="1"/>
                <w:color w:val="auto"/>
              </w:rPr>
              <w:t>Treasury Stock</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720" w:type="dxa"/>
            <w:vAlign w:val="bottom"/>
            <w:gridSpan w:val="2"/>
          </w:tcPr>
          <w:p>
            <w:pPr>
              <w:jc w:val="right"/>
              <w:ind w:right="117"/>
              <w:spacing w:after="0" w:line="135" w:lineRule="exact"/>
              <w:rPr>
                <w:sz w:val="20"/>
                <w:szCs w:val="20"/>
                <w:color w:val="auto"/>
              </w:rPr>
            </w:pPr>
            <w:r>
              <w:rPr>
                <w:rFonts w:ascii="Arial" w:cs="Arial" w:eastAsia="Arial" w:hAnsi="Arial"/>
                <w:sz w:val="13"/>
                <w:szCs w:val="13"/>
                <w:b w:val="1"/>
                <w:bCs w:val="1"/>
                <w:color w:val="auto"/>
              </w:rPr>
              <w:t>Common Stock</w:t>
            </w:r>
          </w:p>
        </w:tc>
        <w:tc>
          <w:tcPr>
            <w:tcW w:w="128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Common Stock</w:t>
            </w:r>
          </w:p>
        </w:tc>
        <w:tc>
          <w:tcPr>
            <w:tcW w:w="11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paid-in capital</w:t>
            </w:r>
          </w:p>
        </w:tc>
        <w:tc>
          <w:tcPr>
            <w:tcW w:w="8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w w:val="99"/>
              </w:rPr>
              <w:t>earnings</w:t>
            </w:r>
          </w:p>
        </w:tc>
        <w:tc>
          <w:tcPr>
            <w:tcW w:w="154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0" w:type="dxa"/>
            <w:vAlign w:val="bottom"/>
            <w:gridSpan w:val="2"/>
          </w:tcPr>
          <w:p>
            <w:pPr>
              <w:jc w:val="right"/>
              <w:ind w:right="417"/>
              <w:spacing w:after="0" w:line="135" w:lineRule="exact"/>
              <w:rPr>
                <w:sz w:val="20"/>
                <w:szCs w:val="20"/>
                <w:color w:val="auto"/>
              </w:rPr>
            </w:pPr>
            <w:r>
              <w:rPr>
                <w:rFonts w:ascii="Arial" w:cs="Arial" w:eastAsia="Arial" w:hAnsi="Arial"/>
                <w:sz w:val="13"/>
                <w:szCs w:val="13"/>
                <w:b w:val="1"/>
                <w:bCs w:val="1"/>
                <w:color w:val="auto"/>
              </w:rPr>
              <w:t>Class A</w:t>
            </w:r>
          </w:p>
        </w:tc>
        <w:tc>
          <w:tcPr>
            <w:tcW w:w="0" w:type="dxa"/>
            <w:vAlign w:val="bottom"/>
          </w:tcPr>
          <w:p>
            <w:pPr>
              <w:spacing w:after="0"/>
              <w:rPr>
                <w:sz w:val="1"/>
                <w:szCs w:val="1"/>
                <w:color w:val="auto"/>
              </w:rPr>
            </w:pPr>
          </w:p>
        </w:tc>
      </w:tr>
      <w:tr>
        <w:trPr>
          <w:trHeight w:val="157"/>
        </w:trPr>
        <w:tc>
          <w:tcPr>
            <w:tcW w:w="3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w:t>
            </w: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Amount</w:t>
            </w: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Amount</w:t>
            </w: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income Amount</w:t>
            </w: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29"/>
        </w:trPr>
        <w:tc>
          <w:tcPr>
            <w:tcW w:w="35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Balance: January 1, 2010</w:t>
            </w: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36,149</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3,236</w:t>
            </w:r>
          </w:p>
        </w:tc>
        <w:tc>
          <w:tcPr>
            <w:tcW w:w="7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382,674</w:t>
            </w:r>
          </w:p>
        </w:tc>
        <w:tc>
          <w:tcPr>
            <w:tcW w:w="8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380,335</w:t>
            </w:r>
          </w:p>
        </w:tc>
        <w:tc>
          <w:tcPr>
            <w:tcW w:w="1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(82,136)</w:t>
            </w:r>
          </w:p>
        </w:tc>
        <w:tc>
          <w:tcPr>
            <w:tcW w:w="6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8,497</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(258,299)</w:t>
            </w:r>
          </w:p>
        </w:tc>
        <w:tc>
          <w:tcPr>
            <w:tcW w:w="0" w:type="dxa"/>
            <w:vAlign w:val="bottom"/>
          </w:tcPr>
          <w:p>
            <w:pPr>
              <w:spacing w:after="0"/>
              <w:rPr>
                <w:sz w:val="1"/>
                <w:szCs w:val="1"/>
                <w:color w:val="auto"/>
              </w:rPr>
            </w:pPr>
          </w:p>
        </w:tc>
      </w:tr>
      <w:tr>
        <w:trPr>
          <w:trHeight w:val="325"/>
        </w:trPr>
        <w:tc>
          <w:tcPr>
            <w:tcW w:w="3520" w:type="dxa"/>
            <w:vAlign w:val="bottom"/>
          </w:tcPr>
          <w:p>
            <w:pPr>
              <w:spacing w:after="0"/>
              <w:rPr>
                <w:sz w:val="20"/>
                <w:szCs w:val="20"/>
                <w:color w:val="auto"/>
              </w:rPr>
            </w:pPr>
            <w:r>
              <w:rPr>
                <w:rFonts w:ascii="Arial" w:cs="Arial" w:eastAsia="Arial" w:hAnsi="Arial"/>
                <w:sz w:val="13"/>
                <w:szCs w:val="13"/>
                <w:color w:val="auto"/>
              </w:rPr>
              <w:t>Compensation and benefits paid or payable in shares</w:t>
            </w:r>
          </w:p>
        </w:tc>
        <w:tc>
          <w:tcPr>
            <w:tcW w:w="1080" w:type="dxa"/>
            <w:vAlign w:val="bottom"/>
          </w:tcPr>
          <w:p>
            <w:pPr>
              <w:jc w:val="right"/>
              <w:spacing w:after="0"/>
              <w:rPr>
                <w:sz w:val="20"/>
                <w:szCs w:val="20"/>
                <w:color w:val="auto"/>
              </w:rPr>
            </w:pPr>
            <w:r>
              <w:rPr>
                <w:rFonts w:ascii="Arial" w:cs="Arial" w:eastAsia="Arial" w:hAnsi="Arial"/>
                <w:sz w:val="13"/>
                <w:szCs w:val="13"/>
                <w:color w:val="auto"/>
              </w:rPr>
              <w:t>286</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4,659</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520" w:type="dxa"/>
            <w:vAlign w:val="bottom"/>
            <w:vMerge w:val="restart"/>
          </w:tcPr>
          <w:p>
            <w:pPr>
              <w:spacing w:after="0"/>
              <w:rPr>
                <w:sz w:val="20"/>
                <w:szCs w:val="20"/>
                <w:color w:val="auto"/>
              </w:rPr>
            </w:pPr>
            <w:r>
              <w:rPr>
                <w:rFonts w:ascii="Arial" w:cs="Arial" w:eastAsia="Arial" w:hAnsi="Arial"/>
                <w:sz w:val="13"/>
                <w:szCs w:val="13"/>
                <w:color w:val="auto"/>
              </w:rPr>
              <w:t>Options exercised</w:t>
            </w:r>
          </w:p>
        </w:tc>
        <w:tc>
          <w:tcPr>
            <w:tcW w:w="1080" w:type="dxa"/>
            <w:vAlign w:val="bottom"/>
          </w:tcPr>
          <w:p>
            <w:pPr>
              <w:jc w:val="right"/>
              <w:spacing w:after="0"/>
              <w:rPr>
                <w:sz w:val="20"/>
                <w:szCs w:val="20"/>
                <w:color w:val="auto"/>
              </w:rPr>
            </w:pPr>
            <w:r>
              <w:rPr>
                <w:rFonts w:ascii="Arial" w:cs="Arial" w:eastAsia="Arial" w:hAnsi="Arial"/>
                <w:sz w:val="13"/>
                <w:szCs w:val="13"/>
                <w:color w:val="auto"/>
              </w:rPr>
              <w:t>7</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576</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5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Shares issued to Directors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37,636</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Dividends declared</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(14,923)</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Cumulative translation adjustments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(10,208)</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Pension and postretirement liability adjustments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(14,052)</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Derivative valuation adjustment</w:t>
            </w:r>
          </w:p>
        </w:tc>
        <w:tc>
          <w:tcPr>
            <w:tcW w:w="10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(276)</w:t>
            </w:r>
          </w:p>
        </w:tc>
        <w:tc>
          <w:tcPr>
            <w:tcW w:w="64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5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Balance: December 31, 2010</w:t>
            </w: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36,442</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3,236</w:t>
            </w:r>
          </w:p>
        </w:tc>
        <w:tc>
          <w:tcPr>
            <w:tcW w:w="7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$387,876</w:t>
            </w:r>
          </w:p>
        </w:tc>
        <w:tc>
          <w:tcPr>
            <w:tcW w:w="8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$403,048</w:t>
            </w:r>
          </w:p>
        </w:tc>
        <w:tc>
          <w:tcPr>
            <w:tcW w:w="1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($106,672)</w:t>
            </w:r>
          </w:p>
        </w:tc>
        <w:tc>
          <w:tcPr>
            <w:tcW w:w="6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8,485</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($258,031)</w:t>
            </w:r>
          </w:p>
        </w:tc>
        <w:tc>
          <w:tcPr>
            <w:tcW w:w="0" w:type="dxa"/>
            <w:vAlign w:val="bottom"/>
          </w:tcPr>
          <w:p>
            <w:pPr>
              <w:spacing w:after="0"/>
              <w:rPr>
                <w:sz w:val="1"/>
                <w:szCs w:val="1"/>
                <w:color w:val="auto"/>
              </w:rPr>
            </w:pPr>
          </w:p>
        </w:tc>
      </w:tr>
      <w:tr>
        <w:trPr>
          <w:trHeight w:val="325"/>
        </w:trPr>
        <w:tc>
          <w:tcPr>
            <w:tcW w:w="3520" w:type="dxa"/>
            <w:vAlign w:val="bottom"/>
          </w:tcPr>
          <w:p>
            <w:pPr>
              <w:spacing w:after="0"/>
              <w:rPr>
                <w:sz w:val="20"/>
                <w:szCs w:val="20"/>
                <w:color w:val="auto"/>
              </w:rPr>
            </w:pPr>
            <w:r>
              <w:rPr>
                <w:rFonts w:ascii="Arial" w:cs="Arial" w:eastAsia="Arial" w:hAnsi="Arial"/>
                <w:sz w:val="13"/>
                <w:szCs w:val="13"/>
                <w:color w:val="auto"/>
              </w:rPr>
              <w:t>Compensation and benefits paid or payable in shares</w:t>
            </w:r>
          </w:p>
        </w:tc>
        <w:tc>
          <w:tcPr>
            <w:tcW w:w="1080" w:type="dxa"/>
            <w:vAlign w:val="bottom"/>
          </w:tcPr>
          <w:p>
            <w:pPr>
              <w:jc w:val="right"/>
              <w:spacing w:after="0"/>
              <w:rPr>
                <w:sz w:val="20"/>
                <w:szCs w:val="20"/>
                <w:color w:val="auto"/>
              </w:rPr>
            </w:pPr>
            <w:r>
              <w:rPr>
                <w:rFonts w:ascii="Arial" w:cs="Arial" w:eastAsia="Arial" w:hAnsi="Arial"/>
                <w:sz w:val="13"/>
                <w:szCs w:val="13"/>
                <w:color w:val="auto"/>
              </w:rPr>
              <w:t>57</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2,712</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520" w:type="dxa"/>
            <w:vAlign w:val="bottom"/>
            <w:vMerge w:val="restart"/>
          </w:tcPr>
          <w:p>
            <w:pPr>
              <w:spacing w:after="0"/>
              <w:rPr>
                <w:sz w:val="20"/>
                <w:szCs w:val="20"/>
                <w:color w:val="auto"/>
              </w:rPr>
            </w:pPr>
            <w:r>
              <w:rPr>
                <w:rFonts w:ascii="Arial" w:cs="Arial" w:eastAsia="Arial" w:hAnsi="Arial"/>
                <w:sz w:val="13"/>
                <w:szCs w:val="13"/>
                <w:color w:val="auto"/>
              </w:rPr>
              <w:t>Options exercised</w:t>
            </w:r>
          </w:p>
        </w:tc>
        <w:tc>
          <w:tcPr>
            <w:tcW w:w="1080" w:type="dxa"/>
            <w:vAlign w:val="bottom"/>
          </w:tcPr>
          <w:p>
            <w:pPr>
              <w:jc w:val="right"/>
              <w:spacing w:after="0"/>
              <w:rPr>
                <w:sz w:val="20"/>
                <w:szCs w:val="20"/>
                <w:color w:val="auto"/>
              </w:rPr>
            </w:pPr>
            <w:r>
              <w:rPr>
                <w:rFonts w:ascii="Arial" w:cs="Arial" w:eastAsia="Arial" w:hAnsi="Arial"/>
                <w:sz w:val="13"/>
                <w:szCs w:val="13"/>
                <w:color w:val="auto"/>
              </w:rPr>
              <w:t>42</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883</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5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Shares issued to Directors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34,938</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Dividends declared</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(15,942)</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Cumulative translation adjustments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(13,070)</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Pension and postretirement liability adjustments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(17,749)</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Derivative valuation adjustment</w:t>
            </w:r>
          </w:p>
        </w:tc>
        <w:tc>
          <w:tcPr>
            <w:tcW w:w="10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(2,318)</w:t>
            </w:r>
          </w:p>
        </w:tc>
        <w:tc>
          <w:tcPr>
            <w:tcW w:w="64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5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Balance: December 31, 2011</w:t>
            </w: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36,541</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3,236</w:t>
            </w:r>
          </w:p>
        </w:tc>
        <w:tc>
          <w:tcPr>
            <w:tcW w:w="7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$391,495</w:t>
            </w:r>
          </w:p>
        </w:tc>
        <w:tc>
          <w:tcPr>
            <w:tcW w:w="8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$422,044</w:t>
            </w:r>
          </w:p>
        </w:tc>
        <w:tc>
          <w:tcPr>
            <w:tcW w:w="1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($139,809)</w:t>
            </w:r>
          </w:p>
        </w:tc>
        <w:tc>
          <w:tcPr>
            <w:tcW w:w="6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8,480</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($257,920)</w:t>
            </w:r>
          </w:p>
        </w:tc>
        <w:tc>
          <w:tcPr>
            <w:tcW w:w="0" w:type="dxa"/>
            <w:vAlign w:val="bottom"/>
          </w:tcPr>
          <w:p>
            <w:pPr>
              <w:spacing w:after="0"/>
              <w:rPr>
                <w:sz w:val="1"/>
                <w:szCs w:val="1"/>
                <w:color w:val="auto"/>
              </w:rPr>
            </w:pPr>
          </w:p>
        </w:tc>
      </w:tr>
      <w:tr>
        <w:trPr>
          <w:trHeight w:val="123"/>
        </w:trPr>
        <w:tc>
          <w:tcPr>
            <w:tcW w:w="3520" w:type="dxa"/>
            <w:vAlign w:val="bottom"/>
          </w:tcPr>
          <w:p>
            <w:pPr>
              <w:spacing w:after="0" w:line="123" w:lineRule="exact"/>
              <w:rPr>
                <w:sz w:val="20"/>
                <w:szCs w:val="20"/>
                <w:color w:val="auto"/>
              </w:rPr>
            </w:pPr>
            <w:r>
              <w:rPr>
                <w:rFonts w:ascii="Arial" w:cs="Arial" w:eastAsia="Arial" w:hAnsi="Arial"/>
                <w:sz w:val="13"/>
                <w:szCs w:val="13"/>
                <w:color w:val="auto"/>
              </w:rPr>
              <w:t>Compensation and benefits paid or payable in shares</w:t>
            </w:r>
          </w:p>
        </w:tc>
        <w:tc>
          <w:tcPr>
            <w:tcW w:w="1080" w:type="dxa"/>
            <w:vAlign w:val="bottom"/>
          </w:tcPr>
          <w:p>
            <w:pPr>
              <w:jc w:val="right"/>
              <w:spacing w:after="0" w:line="123" w:lineRule="exact"/>
              <w:rPr>
                <w:sz w:val="20"/>
                <w:szCs w:val="20"/>
                <w:color w:val="auto"/>
              </w:rPr>
            </w:pPr>
            <w:r>
              <w:rPr>
                <w:rFonts w:ascii="Arial" w:cs="Arial" w:eastAsia="Arial" w:hAnsi="Arial"/>
                <w:sz w:val="13"/>
                <w:szCs w:val="13"/>
                <w:color w:val="auto"/>
              </w:rPr>
              <w:t>34</w:t>
            </w:r>
          </w:p>
        </w:tc>
        <w:tc>
          <w:tcPr>
            <w:tcW w:w="6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23"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23" w:lineRule="exact"/>
              <w:rPr>
                <w:sz w:val="20"/>
                <w:szCs w:val="20"/>
                <w:color w:val="auto"/>
              </w:rPr>
            </w:pPr>
            <w:r>
              <w:rPr>
                <w:rFonts w:ascii="Arial" w:cs="Arial" w:eastAsia="Arial" w:hAnsi="Arial"/>
                <w:sz w:val="13"/>
                <w:szCs w:val="13"/>
                <w:color w:val="auto"/>
              </w:rPr>
              <w:t>2,573</w:t>
            </w:r>
          </w:p>
        </w:tc>
        <w:tc>
          <w:tcPr>
            <w:tcW w:w="800" w:type="dxa"/>
            <w:vAlign w:val="bottom"/>
          </w:tcPr>
          <w:p>
            <w:pPr>
              <w:jc w:val="right"/>
              <w:ind w:right="37"/>
              <w:spacing w:after="0" w:line="123"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2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520" w:type="dxa"/>
            <w:vAlign w:val="bottom"/>
            <w:vMerge w:val="restart"/>
          </w:tcPr>
          <w:p>
            <w:pPr>
              <w:spacing w:after="0"/>
              <w:rPr>
                <w:sz w:val="20"/>
                <w:szCs w:val="20"/>
                <w:color w:val="auto"/>
              </w:rPr>
            </w:pPr>
            <w:r>
              <w:rPr>
                <w:rFonts w:ascii="Arial" w:cs="Arial" w:eastAsia="Arial" w:hAnsi="Arial"/>
                <w:sz w:val="13"/>
                <w:szCs w:val="13"/>
                <w:color w:val="auto"/>
              </w:rPr>
              <w:t>Options exercised</w:t>
            </w:r>
          </w:p>
        </w:tc>
        <w:tc>
          <w:tcPr>
            <w:tcW w:w="1080" w:type="dxa"/>
            <w:vAlign w:val="bottom"/>
          </w:tcPr>
          <w:p>
            <w:pPr>
              <w:jc w:val="right"/>
              <w:spacing w:after="0"/>
              <w:rPr>
                <w:sz w:val="20"/>
                <w:szCs w:val="20"/>
                <w:color w:val="auto"/>
              </w:rPr>
            </w:pPr>
            <w:r>
              <w:rPr>
                <w:rFonts w:ascii="Arial" w:cs="Arial" w:eastAsia="Arial" w:hAnsi="Arial"/>
                <w:sz w:val="13"/>
                <w:szCs w:val="13"/>
                <w:color w:val="auto"/>
              </w:rPr>
              <w:t>67</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1,352</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5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Shares issued to Directors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30,977</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Dividends declared</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(17,246)</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Cumulative translation adjustments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11,452</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Settlement of certain pension plan liabilities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79,204</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Pension and postretirement liability adjustments</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540" w:type="dxa"/>
            <w:vAlign w:val="bottom"/>
          </w:tcPr>
          <w:p>
            <w:pPr>
              <w:jc w:val="right"/>
              <w:spacing w:after="0" w:line="135" w:lineRule="exact"/>
              <w:rPr>
                <w:sz w:val="20"/>
                <w:szCs w:val="20"/>
                <w:color w:val="auto"/>
              </w:rPr>
            </w:pPr>
            <w:r>
              <w:rPr>
                <w:rFonts w:ascii="Arial" w:cs="Arial" w:eastAsia="Arial" w:hAnsi="Arial"/>
                <w:sz w:val="13"/>
                <w:szCs w:val="13"/>
                <w:color w:val="auto"/>
              </w:rPr>
              <w:t>(30,584)</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352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Derivative valuation adjustment</w:t>
            </w:r>
          </w:p>
        </w:tc>
        <w:tc>
          <w:tcPr>
            <w:tcW w:w="10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7"/>
              <w:spacing w:after="0" w:line="141"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(284)</w:t>
            </w:r>
          </w:p>
        </w:tc>
        <w:tc>
          <w:tcPr>
            <w:tcW w:w="64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5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Balance: December 31, 2012</w:t>
            </w: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36,642</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3,236</w:t>
            </w:r>
          </w:p>
        </w:tc>
        <w:tc>
          <w:tcPr>
            <w:tcW w:w="70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$ 395,381</w:t>
            </w:r>
          </w:p>
        </w:tc>
        <w:tc>
          <w:tcPr>
            <w:tcW w:w="80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$435,775</w:t>
            </w:r>
          </w:p>
        </w:tc>
        <w:tc>
          <w:tcPr>
            <w:tcW w:w="1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($80,021)</w:t>
            </w:r>
          </w:p>
        </w:tc>
        <w:tc>
          <w:tcPr>
            <w:tcW w:w="6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8,468</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($257,664)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share amounts)</w:t>
            </w:r>
          </w:p>
        </w:tc>
        <w:tc>
          <w:tcPr>
            <w:tcW w:w="246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1st</w:t>
            </w:r>
          </w:p>
        </w:tc>
        <w:tc>
          <w:tcPr>
            <w:tcW w:w="170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2nd</w:t>
            </w:r>
          </w:p>
        </w:tc>
        <w:tc>
          <w:tcPr>
            <w:tcW w:w="170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3rd</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4th</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2012</w:t>
            </w:r>
          </w:p>
        </w:tc>
        <w:tc>
          <w:tcPr>
            <w:tcW w:w="246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spacing w:after="0" w:line="173" w:lineRule="exact"/>
              <w:rPr>
                <w:sz w:val="20"/>
                <w:szCs w:val="20"/>
                <w:color w:val="auto"/>
              </w:rPr>
            </w:pPr>
            <w:r>
              <w:rPr>
                <w:rFonts w:ascii="Arial" w:cs="Arial" w:eastAsia="Arial" w:hAnsi="Arial"/>
                <w:sz w:val="18"/>
                <w:szCs w:val="18"/>
                <w:color w:val="auto"/>
              </w:rPr>
              <w:t>Net sales</w:t>
            </w:r>
          </w:p>
        </w:tc>
        <w:tc>
          <w:tcPr>
            <w:tcW w:w="2460" w:type="dxa"/>
            <w:vAlign w:val="bottom"/>
          </w:tcPr>
          <w:p>
            <w:pPr>
              <w:jc w:val="right"/>
              <w:ind w:right="490"/>
              <w:spacing w:after="0" w:line="173" w:lineRule="exact"/>
              <w:rPr>
                <w:sz w:val="20"/>
                <w:szCs w:val="20"/>
                <w:color w:val="auto"/>
              </w:rPr>
            </w:pPr>
            <w:r>
              <w:rPr>
                <w:rFonts w:ascii="Arial" w:cs="Arial" w:eastAsia="Arial" w:hAnsi="Arial"/>
                <w:sz w:val="18"/>
                <w:szCs w:val="18"/>
                <w:b w:val="1"/>
                <w:bCs w:val="1"/>
                <w:color w:val="auto"/>
              </w:rPr>
              <w:t>$180.1</w:t>
            </w:r>
          </w:p>
        </w:tc>
        <w:tc>
          <w:tcPr>
            <w:tcW w:w="1700" w:type="dxa"/>
            <w:vAlign w:val="bottom"/>
          </w:tcPr>
          <w:p>
            <w:pPr>
              <w:jc w:val="right"/>
              <w:ind w:right="490"/>
              <w:spacing w:after="0" w:line="173" w:lineRule="exact"/>
              <w:rPr>
                <w:sz w:val="20"/>
                <w:szCs w:val="20"/>
                <w:color w:val="auto"/>
              </w:rPr>
            </w:pPr>
            <w:r>
              <w:rPr>
                <w:rFonts w:ascii="Arial" w:cs="Arial" w:eastAsia="Arial" w:hAnsi="Arial"/>
                <w:sz w:val="18"/>
                <w:szCs w:val="18"/>
                <w:b w:val="1"/>
                <w:bCs w:val="1"/>
                <w:color w:val="auto"/>
              </w:rPr>
              <w:t>$191.9</w:t>
            </w:r>
          </w:p>
        </w:tc>
        <w:tc>
          <w:tcPr>
            <w:tcW w:w="1700" w:type="dxa"/>
            <w:vAlign w:val="bottom"/>
          </w:tcPr>
          <w:p>
            <w:pPr>
              <w:jc w:val="right"/>
              <w:ind w:right="490"/>
              <w:spacing w:after="0" w:line="173" w:lineRule="exact"/>
              <w:rPr>
                <w:sz w:val="20"/>
                <w:szCs w:val="20"/>
                <w:color w:val="auto"/>
              </w:rPr>
            </w:pPr>
            <w:r>
              <w:rPr>
                <w:rFonts w:ascii="Arial" w:cs="Arial" w:eastAsia="Arial" w:hAnsi="Arial"/>
                <w:sz w:val="18"/>
                <w:szCs w:val="18"/>
                <w:b w:val="1"/>
                <w:bCs w:val="1"/>
                <w:color w:val="auto"/>
              </w:rPr>
              <w:t>$194.6</w:t>
            </w:r>
          </w:p>
        </w:tc>
        <w:tc>
          <w:tcPr>
            <w:tcW w:w="1140" w:type="dxa"/>
            <w:vAlign w:val="bottom"/>
            <w:gridSpan w:val="2"/>
          </w:tcPr>
          <w:p>
            <w:pPr>
              <w:jc w:val="right"/>
              <w:ind w:right="20"/>
              <w:spacing w:after="0" w:line="173" w:lineRule="exact"/>
              <w:rPr>
                <w:sz w:val="20"/>
                <w:szCs w:val="20"/>
                <w:color w:val="auto"/>
              </w:rPr>
            </w:pPr>
            <w:r>
              <w:rPr>
                <w:rFonts w:ascii="Arial" w:cs="Arial" w:eastAsia="Arial" w:hAnsi="Arial"/>
                <w:sz w:val="18"/>
                <w:szCs w:val="18"/>
                <w:b w:val="1"/>
                <w:bCs w:val="1"/>
                <w:color w:val="auto"/>
              </w:rPr>
              <w:t>$194.3</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68.3</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78.5</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79.7</w:t>
            </w: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47.0</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(33.7)</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9.5</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Basic earnings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1.50</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(1.08)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0.30</w:t>
            </w: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Diluted earnings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1.49</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(1.08)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0.30</w:t>
            </w: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40" w:type="dxa"/>
            <w:vAlign w:val="bottom"/>
            <w:gridSpan w:val="2"/>
          </w:tcPr>
          <w:p>
            <w:pPr>
              <w:spacing w:after="0"/>
              <w:rPr>
                <w:sz w:val="20"/>
                <w:szCs w:val="20"/>
                <w:color w:val="auto"/>
              </w:rPr>
            </w:pPr>
            <w:r>
              <w:rPr>
                <w:rFonts w:ascii="Arial" w:cs="Arial" w:eastAsia="Arial" w:hAnsi="Arial"/>
                <w:sz w:val="18"/>
                <w:szCs w:val="18"/>
                <w:color w:val="auto"/>
              </w:rPr>
              <w:t>Cash dividends per share</w:t>
            </w:r>
          </w:p>
        </w:tc>
        <w:tc>
          <w:tcPr>
            <w:tcW w:w="2460" w:type="dxa"/>
            <w:vAlign w:val="bottom"/>
          </w:tcPr>
          <w:p>
            <w:pPr>
              <w:jc w:val="right"/>
              <w:ind w:right="490"/>
              <w:spacing w:after="0"/>
              <w:rPr>
                <w:sz w:val="20"/>
                <w:szCs w:val="20"/>
                <w:color w:val="auto"/>
              </w:rPr>
            </w:pPr>
            <w:r>
              <w:rPr>
                <w:rFonts w:ascii="Arial" w:cs="Arial" w:eastAsia="Arial" w:hAnsi="Arial"/>
                <w:sz w:val="18"/>
                <w:szCs w:val="18"/>
                <w:b w:val="1"/>
                <w:bCs w:val="1"/>
                <w:color w:val="auto"/>
              </w:rPr>
              <w:t>0.13</w:t>
            </w: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rPr>
              <w:t>0.14</w:t>
            </w: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rPr>
              <w:t>0.14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Class A Common Stock prices:</w:t>
            </w:r>
          </w:p>
        </w:tc>
        <w:tc>
          <w:tcPr>
            <w:tcW w:w="24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25.90</w:t>
            </w:r>
          </w:p>
        </w:tc>
        <w:tc>
          <w:tcPr>
            <w:tcW w:w="17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24.70</w:t>
            </w:r>
          </w:p>
        </w:tc>
        <w:tc>
          <w:tcPr>
            <w:tcW w:w="17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22.78</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20" w:type="dxa"/>
            <w:vAlign w:val="bottom"/>
          </w:tcPr>
          <w:p>
            <w:pPr>
              <w:ind w:left="160"/>
              <w:spacing w:after="0" w:line="181" w:lineRule="exact"/>
              <w:rPr>
                <w:sz w:val="20"/>
                <w:szCs w:val="20"/>
                <w:color w:val="auto"/>
              </w:rPr>
            </w:pPr>
            <w:r>
              <w:rPr>
                <w:rFonts w:ascii="Arial" w:cs="Arial" w:eastAsia="Arial" w:hAnsi="Arial"/>
                <w:sz w:val="18"/>
                <w:szCs w:val="18"/>
                <w:color w:val="auto"/>
              </w:rPr>
              <w:t>High</w:t>
            </w:r>
          </w:p>
        </w:tc>
        <w:tc>
          <w:tcPr>
            <w:tcW w:w="246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Low</w:t>
            </w:r>
          </w:p>
        </w:tc>
        <w:tc>
          <w:tcPr>
            <w:tcW w:w="2460" w:type="dxa"/>
            <w:vAlign w:val="bottom"/>
          </w:tcPr>
          <w:p>
            <w:pPr>
              <w:jc w:val="right"/>
              <w:ind w:right="490"/>
              <w:spacing w:after="0"/>
              <w:rPr>
                <w:sz w:val="20"/>
                <w:szCs w:val="20"/>
                <w:color w:val="auto"/>
              </w:rPr>
            </w:pPr>
            <w:r>
              <w:rPr>
                <w:rFonts w:ascii="Arial" w:cs="Arial" w:eastAsia="Arial" w:hAnsi="Arial"/>
                <w:sz w:val="18"/>
                <w:szCs w:val="18"/>
                <w:b w:val="1"/>
                <w:bCs w:val="1"/>
                <w:color w:val="auto"/>
              </w:rPr>
              <w:t>22.35</w:t>
            </w: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rPr>
              <w:t>17.15</w:t>
            </w:r>
          </w:p>
        </w:tc>
        <w:tc>
          <w:tcPr>
            <w:tcW w:w="1700" w:type="dxa"/>
            <w:vAlign w:val="bottom"/>
          </w:tcPr>
          <w:p>
            <w:pPr>
              <w:jc w:val="right"/>
              <w:ind w:right="490"/>
              <w:spacing w:after="0"/>
              <w:rPr>
                <w:sz w:val="20"/>
                <w:szCs w:val="20"/>
                <w:color w:val="auto"/>
              </w:rPr>
            </w:pPr>
            <w:r>
              <w:rPr>
                <w:rFonts w:ascii="Arial" w:cs="Arial" w:eastAsia="Arial" w:hAnsi="Arial"/>
                <w:sz w:val="18"/>
                <w:szCs w:val="18"/>
                <w:b w:val="1"/>
                <w:bCs w:val="1"/>
                <w:color w:val="auto"/>
              </w:rPr>
              <w:t>17.66</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440" w:type="dxa"/>
            <w:vAlign w:val="bottom"/>
            <w:gridSpan w:val="2"/>
          </w:tcPr>
          <w:p>
            <w:pPr>
              <w:spacing w:after="0"/>
              <w:rPr>
                <w:sz w:val="24"/>
                <w:szCs w:val="24"/>
                <w:color w:val="auto"/>
              </w:rPr>
            </w:pPr>
          </w:p>
        </w:tc>
        <w:tc>
          <w:tcPr>
            <w:tcW w:w="2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auto"/>
              <w:bottom w:val="single" w:sz="8" w:color="auto"/>
            </w:tcBorders>
          </w:tcPr>
          <w:p>
            <w:pPr>
              <w:spacing w:after="0"/>
              <w:rPr>
                <w:sz w:val="17"/>
                <w:szCs w:val="17"/>
                <w:color w:val="auto"/>
              </w:rPr>
            </w:pPr>
          </w:p>
        </w:tc>
        <w:tc>
          <w:tcPr>
            <w:tcW w:w="246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2011</w:t>
            </w:r>
          </w:p>
        </w:tc>
        <w:tc>
          <w:tcPr>
            <w:tcW w:w="24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2"/>
          </w:tcPr>
          <w:p>
            <w:pPr>
              <w:spacing w:after="0" w:line="195" w:lineRule="exact"/>
              <w:rPr>
                <w:sz w:val="20"/>
                <w:szCs w:val="20"/>
                <w:color w:val="auto"/>
              </w:rPr>
            </w:pPr>
            <w:r>
              <w:rPr>
                <w:rFonts w:ascii="Arial" w:cs="Arial" w:eastAsia="Arial" w:hAnsi="Arial"/>
                <w:sz w:val="18"/>
                <w:szCs w:val="18"/>
                <w:color w:val="auto"/>
              </w:rPr>
              <w:t>Net sales</w:t>
            </w:r>
          </w:p>
        </w:tc>
        <w:tc>
          <w:tcPr>
            <w:tcW w:w="246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$200.0</w:t>
            </w:r>
          </w:p>
        </w:tc>
        <w:tc>
          <w:tcPr>
            <w:tcW w:w="170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$189.7</w:t>
            </w:r>
          </w:p>
        </w:tc>
        <w:tc>
          <w:tcPr>
            <w:tcW w:w="170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$200.3</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$197.4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85.2</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73.9</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78.1</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16.7</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8.8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16.7</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Basic earnings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0.54</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0.28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0.53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Diluted earnings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0.53</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0.28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0.53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0.12</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0.13</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Class A Common Stock prices:</w:t>
            </w:r>
          </w:p>
        </w:tc>
        <w:tc>
          <w:tcPr>
            <w:tcW w:w="2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160"/>
              <w:spacing w:after="0" w:line="202" w:lineRule="exact"/>
              <w:rPr>
                <w:sz w:val="20"/>
                <w:szCs w:val="20"/>
                <w:color w:val="auto"/>
              </w:rPr>
            </w:pPr>
            <w:r>
              <w:rPr>
                <w:rFonts w:ascii="Arial" w:cs="Arial" w:eastAsia="Arial" w:hAnsi="Arial"/>
                <w:sz w:val="18"/>
                <w:szCs w:val="18"/>
                <w:color w:val="auto"/>
              </w:rPr>
              <w:t>High</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25.09</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27.90</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27.68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Low</w:t>
            </w:r>
          </w:p>
        </w:tc>
        <w:tc>
          <w:tcPr>
            <w:tcW w:w="2460" w:type="dxa"/>
            <w:vAlign w:val="bottom"/>
          </w:tcPr>
          <w:p>
            <w:pPr>
              <w:jc w:val="right"/>
              <w:ind w:right="490"/>
              <w:spacing w:after="0"/>
              <w:rPr>
                <w:sz w:val="20"/>
                <w:szCs w:val="20"/>
                <w:color w:val="auto"/>
              </w:rPr>
            </w:pPr>
            <w:r>
              <w:rPr>
                <w:rFonts w:ascii="Arial" w:cs="Arial" w:eastAsia="Arial" w:hAnsi="Arial"/>
                <w:sz w:val="18"/>
                <w:szCs w:val="18"/>
                <w:color w:val="auto"/>
              </w:rPr>
              <w:t>21.84</w:t>
            </w:r>
          </w:p>
        </w:tc>
        <w:tc>
          <w:tcPr>
            <w:tcW w:w="1700" w:type="dxa"/>
            <w:vAlign w:val="bottom"/>
          </w:tcPr>
          <w:p>
            <w:pPr>
              <w:jc w:val="right"/>
              <w:ind w:right="490"/>
              <w:spacing w:after="0"/>
              <w:rPr>
                <w:sz w:val="20"/>
                <w:szCs w:val="20"/>
                <w:color w:val="auto"/>
              </w:rPr>
            </w:pPr>
            <w:r>
              <w:rPr>
                <w:rFonts w:ascii="Arial" w:cs="Arial" w:eastAsia="Arial" w:hAnsi="Arial"/>
                <w:sz w:val="18"/>
                <w:szCs w:val="18"/>
                <w:color w:val="auto"/>
              </w:rPr>
              <w:t>23.54</w:t>
            </w:r>
          </w:p>
        </w:tc>
        <w:tc>
          <w:tcPr>
            <w:tcW w:w="1700" w:type="dxa"/>
            <w:vAlign w:val="bottom"/>
          </w:tcPr>
          <w:p>
            <w:pPr>
              <w:jc w:val="right"/>
              <w:ind w:right="490"/>
              <w:spacing w:after="0"/>
              <w:rPr>
                <w:sz w:val="20"/>
                <w:szCs w:val="20"/>
                <w:color w:val="auto"/>
              </w:rPr>
            </w:pPr>
            <w:r>
              <w:rPr>
                <w:rFonts w:ascii="Arial" w:cs="Arial" w:eastAsia="Arial" w:hAnsi="Arial"/>
                <w:sz w:val="18"/>
                <w:szCs w:val="18"/>
                <w:color w:val="auto"/>
              </w:rPr>
              <w:t>17.82</w:t>
            </w:r>
          </w:p>
        </w:tc>
        <w:tc>
          <w:tcPr>
            <w:tcW w:w="1120" w:type="dxa"/>
            <w:vAlign w:val="bottom"/>
          </w:tcPr>
          <w:p>
            <w:pPr>
              <w:jc w:val="right"/>
              <w:spacing w:after="0"/>
              <w:rPr>
                <w:sz w:val="20"/>
                <w:szCs w:val="20"/>
                <w:color w:val="auto"/>
              </w:rPr>
            </w:pPr>
            <w:r>
              <w:rPr>
                <w:rFonts w:ascii="Arial" w:cs="Arial" w:eastAsia="Arial" w:hAnsi="Arial"/>
                <w:sz w:val="18"/>
                <w:szCs w:val="18"/>
                <w:color w:val="auto"/>
              </w:rPr>
              <w:t>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2010</w:t>
            </w:r>
          </w:p>
        </w:tc>
        <w:tc>
          <w:tcPr>
            <w:tcW w:w="2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440" w:type="dxa"/>
            <w:vAlign w:val="bottom"/>
            <w:gridSpan w:val="2"/>
          </w:tcPr>
          <w:p>
            <w:pPr>
              <w:spacing w:after="0" w:line="195" w:lineRule="exact"/>
              <w:rPr>
                <w:sz w:val="20"/>
                <w:szCs w:val="20"/>
                <w:color w:val="auto"/>
              </w:rPr>
            </w:pPr>
            <w:r>
              <w:rPr>
                <w:rFonts w:ascii="Arial" w:cs="Arial" w:eastAsia="Arial" w:hAnsi="Arial"/>
                <w:sz w:val="18"/>
                <w:szCs w:val="18"/>
                <w:color w:val="auto"/>
              </w:rPr>
              <w:t>Net sales</w:t>
            </w:r>
          </w:p>
        </w:tc>
        <w:tc>
          <w:tcPr>
            <w:tcW w:w="246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$174.5</w:t>
            </w:r>
          </w:p>
        </w:tc>
        <w:tc>
          <w:tcPr>
            <w:tcW w:w="170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$185.6</w:t>
            </w:r>
          </w:p>
        </w:tc>
        <w:tc>
          <w:tcPr>
            <w:tcW w:w="170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$186.6</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$196.3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61.8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69.6</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71.9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Net (loss)/income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5.6</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7.9</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Basic (losses)/earnings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0.25</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Diluted (losses)/earnings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0.18</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0.25</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Cash dividends per share</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0.12</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0.12</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0.12</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Class A Common Stock prices:</w:t>
            </w:r>
          </w:p>
        </w:tc>
        <w:tc>
          <w:tcPr>
            <w:tcW w:w="2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160"/>
              <w:spacing w:after="0" w:line="202" w:lineRule="exact"/>
              <w:rPr>
                <w:sz w:val="20"/>
                <w:szCs w:val="20"/>
                <w:color w:val="auto"/>
              </w:rPr>
            </w:pPr>
            <w:r>
              <w:rPr>
                <w:rFonts w:ascii="Arial" w:cs="Arial" w:eastAsia="Arial" w:hAnsi="Arial"/>
                <w:sz w:val="18"/>
                <w:szCs w:val="18"/>
                <w:color w:val="auto"/>
              </w:rPr>
              <w:t>High</w:t>
            </w:r>
          </w:p>
        </w:tc>
        <w:tc>
          <w:tcPr>
            <w:tcW w:w="246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23.27</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25.73</w:t>
            </w:r>
          </w:p>
        </w:tc>
        <w:tc>
          <w:tcPr>
            <w:tcW w:w="17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20.89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Low</w:t>
            </w:r>
          </w:p>
        </w:tc>
        <w:tc>
          <w:tcPr>
            <w:tcW w:w="246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18.32</w:t>
            </w:r>
          </w:p>
        </w:tc>
        <w:tc>
          <w:tcPr>
            <w:tcW w:w="17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16.00</w:t>
            </w:r>
          </w:p>
        </w:tc>
        <w:tc>
          <w:tcPr>
            <w:tcW w:w="17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15.06</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560" w:firstLine="360"/>
        <w:spacing w:after="0" w:line="246" w:lineRule="auto"/>
        <w:rPr>
          <w:sz w:val="20"/>
          <w:szCs w:val="20"/>
          <w:color w:val="auto"/>
        </w:rPr>
      </w:pPr>
      <w:r>
        <w:rPr>
          <w:rFonts w:ascii="Arial" w:cs="Arial" w:eastAsia="Arial" w:hAnsi="Arial"/>
          <w:sz w:val="18"/>
          <w:szCs w:val="18"/>
          <w:color w:val="auto"/>
        </w:rPr>
        <w:t>In 2012, earnings per share includes pension plan settlement charges per share of $0.22 in the first quarter and $2.34 in the second quarter.</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Q1 2012 income tax expense includes a favorable discrete adjustment for a Canadian audit settlement of $0.23 per share.</w:t>
      </w:r>
    </w:p>
    <w:p>
      <w:pPr>
        <w:spacing w:after="0" w:line="158" w:lineRule="exact"/>
        <w:rPr>
          <w:sz w:val="20"/>
          <w:szCs w:val="20"/>
          <w:color w:val="auto"/>
        </w:rPr>
      </w:pPr>
    </w:p>
    <w:p>
      <w:pPr>
        <w:ind w:right="500" w:firstLine="360"/>
        <w:spacing w:after="0" w:line="246" w:lineRule="auto"/>
        <w:rPr>
          <w:sz w:val="20"/>
          <w:szCs w:val="20"/>
          <w:color w:val="auto"/>
        </w:rPr>
      </w:pPr>
      <w:r>
        <w:rPr>
          <w:rFonts w:ascii="Arial" w:cs="Arial" w:eastAsia="Arial" w:hAnsi="Arial"/>
          <w:sz w:val="18"/>
          <w:szCs w:val="18"/>
          <w:color w:val="auto"/>
        </w:rPr>
        <w:t>In 2012, restructuring charges reduced earnings per share by $0.01 in the first quarter, $0.06 in the second quarter, $0.05 in the third quarter, and $0.02 in the fourth quarter.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87" w:name="page88"/>
    <w:bookmarkEnd w:id="87"/>
    <w:p>
      <w:pPr>
        <w:jc w:val="both"/>
        <w:ind w:firstLine="360"/>
        <w:spacing w:after="0"/>
        <w:rPr>
          <w:sz w:val="20"/>
          <w:szCs w:val="20"/>
          <w:color w:val="auto"/>
        </w:rPr>
      </w:pPr>
      <w:r>
        <w:rPr>
          <w:rFonts w:ascii="Arial" w:cs="Arial" w:eastAsia="Arial" w:hAnsi="Arial"/>
          <w:sz w:val="18"/>
          <w:szCs w:val="18"/>
          <w:color w:val="auto"/>
        </w:rPr>
        <w:t>Income tax expense in the fourth quarter of 2011 includes a favorable adjustment of $ 0.11 per share to correct errors from periods prior to 2006. The Company does not believe that the corrected item is or was material to 2011 or any previously reported quarterly or annual financial statements. As a result, the Company has not restated its previously issued annual or quarterly financial statements.</w:t>
      </w:r>
    </w:p>
    <w:p>
      <w:pPr>
        <w:spacing w:after="0" w:line="149" w:lineRule="exact"/>
        <w:rPr>
          <w:sz w:val="20"/>
          <w:szCs w:val="20"/>
          <w:color w:val="auto"/>
        </w:rPr>
      </w:pPr>
    </w:p>
    <w:p>
      <w:pPr>
        <w:ind w:right="420" w:firstLine="360"/>
        <w:spacing w:after="0" w:line="246" w:lineRule="auto"/>
        <w:rPr>
          <w:sz w:val="20"/>
          <w:szCs w:val="20"/>
          <w:color w:val="auto"/>
        </w:rPr>
      </w:pPr>
      <w:r>
        <w:rPr>
          <w:rFonts w:ascii="Arial" w:cs="Arial" w:eastAsia="Arial" w:hAnsi="Arial"/>
          <w:sz w:val="18"/>
          <w:szCs w:val="18"/>
          <w:color w:val="auto"/>
        </w:rPr>
        <w:t>In 2011, restructuring charges reduced earnings per share by $0.00 in the first quarter, $0.04 in the second quarter, $0.06 in the third quarter, and $0.10 in the fourth quarter.</w:t>
      </w:r>
    </w:p>
    <w:p>
      <w:pPr>
        <w:spacing w:after="0" w:line="143" w:lineRule="exact"/>
        <w:rPr>
          <w:sz w:val="20"/>
          <w:szCs w:val="20"/>
          <w:color w:val="auto"/>
        </w:rPr>
      </w:pPr>
    </w:p>
    <w:p>
      <w:pPr>
        <w:ind w:right="420" w:firstLine="360"/>
        <w:spacing w:after="0" w:line="246" w:lineRule="auto"/>
        <w:rPr>
          <w:sz w:val="20"/>
          <w:szCs w:val="20"/>
          <w:color w:val="auto"/>
        </w:rPr>
      </w:pPr>
      <w:r>
        <w:rPr>
          <w:rFonts w:ascii="Arial" w:cs="Arial" w:eastAsia="Arial" w:hAnsi="Arial"/>
          <w:sz w:val="18"/>
          <w:szCs w:val="18"/>
          <w:color w:val="auto"/>
        </w:rPr>
        <w:t>In 2010, restructuring charges reduced earnings per share by $0.03 in the first quarter, $0.01 in the second quarter, $0.02 in the third quarter, and $0.02 in the fourth quarter.</w:t>
      </w:r>
    </w:p>
    <w:p>
      <w:pPr>
        <w:spacing w:after="0" w:line="143" w:lineRule="exact"/>
        <w:rPr>
          <w:sz w:val="20"/>
          <w:szCs w:val="20"/>
          <w:color w:val="auto"/>
        </w:rPr>
      </w:pPr>
    </w:p>
    <w:p>
      <w:pPr>
        <w:ind w:right="200" w:firstLine="360"/>
        <w:spacing w:after="0"/>
        <w:rPr>
          <w:sz w:val="20"/>
          <w:szCs w:val="20"/>
          <w:color w:val="auto"/>
        </w:rPr>
      </w:pPr>
      <w:r>
        <w:rPr>
          <w:rFonts w:ascii="Arial" w:cs="Arial" w:eastAsia="Arial" w:hAnsi="Arial"/>
          <w:sz w:val="18"/>
          <w:szCs w:val="18"/>
          <w:color w:val="auto"/>
        </w:rPr>
        <w:t>The Company’s Class A Common Stock is traded principally on the New York Stock Exchange. As of December 31, 2012, there were approximately 5,500 beneficial owners of the Company’s common stock, including employees owning shares through the Company’s 401(k) defined contribution plan.</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38"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80" w:lineRule="exact"/>
        <w:rPr>
          <w:sz w:val="20"/>
          <w:szCs w:val="20"/>
          <w:color w:val="auto"/>
        </w:rPr>
      </w:pPr>
    </w:p>
    <w:p>
      <w:pPr>
        <w:ind w:right="20" w:firstLine="360"/>
        <w:spacing w:after="0"/>
        <w:rPr>
          <w:sz w:val="20"/>
          <w:szCs w:val="20"/>
          <w:color w:val="auto"/>
        </w:rPr>
      </w:pPr>
      <w:r>
        <w:rPr>
          <w:rFonts w:ascii="Arial" w:cs="Arial" w:eastAsia="Arial" w:hAnsi="Arial"/>
          <w:sz w:val="18"/>
          <w:szCs w:val="18"/>
          <w:color w:val="auto"/>
        </w:rPr>
        <w:t>The Company, with the participation of its management, including its Chief Executive Officer and Chief Financial Officer, has carried out an evaluation of the effectiveness of the design and operation of the Company’s disclosure controls and procedures (as defined in Exchange Act Rules 13a-15 and 15d-15) as of the end of the period covered by this annual report, to ensure:</w:t>
      </w:r>
    </w:p>
    <w:p>
      <w:pPr>
        <w:spacing w:after="0" w:line="149" w:lineRule="exact"/>
        <w:rPr>
          <w:sz w:val="20"/>
          <w:szCs w:val="20"/>
          <w:color w:val="auto"/>
        </w:rPr>
      </w:pPr>
    </w:p>
    <w:p>
      <w:pPr>
        <w:ind w:left="720" w:right="40" w:hanging="361"/>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maintained disclosure controls and procedures (as defined in paragraph (e) of this section) and internal control over financial reporting (as defined in paragraph (f) of this section);</w:t>
      </w:r>
    </w:p>
    <w:p>
      <w:pPr>
        <w:spacing w:after="0" w:line="142" w:lineRule="exact"/>
        <w:rPr>
          <w:rFonts w:ascii="Arial" w:cs="Arial" w:eastAsia="Arial" w:hAnsi="Arial"/>
          <w:sz w:val="18"/>
          <w:szCs w:val="18"/>
          <w:color w:val="auto"/>
        </w:rPr>
      </w:pPr>
    </w:p>
    <w:p>
      <w:pPr>
        <w:ind w:left="72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evaluated the effectiveness of disclosure controls and procedures, as of the end of each fiscal quarter;</w:t>
      </w:r>
    </w:p>
    <w:p>
      <w:pPr>
        <w:spacing w:after="0" w:line="157" w:lineRule="exact"/>
        <w:rPr>
          <w:rFonts w:ascii="Arial" w:cs="Arial" w:eastAsia="Arial" w:hAnsi="Arial"/>
          <w:sz w:val="18"/>
          <w:szCs w:val="18"/>
          <w:color w:val="auto"/>
        </w:rPr>
      </w:pPr>
    </w:p>
    <w:p>
      <w:pPr>
        <w:ind w:left="72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evaluated the effectiveness, as of the end of each fiscal year, of internal control over financial reporting. The framework on which evaluation of internal control over financial reporting is based is a suitable, recognized control framework that is established by a body or group that has followed due-process procedures, including the broad distribution of the framework for public comment;</w:t>
      </w:r>
    </w:p>
    <w:p>
      <w:pPr>
        <w:spacing w:after="0" w:line="148" w:lineRule="exact"/>
        <w:rPr>
          <w:rFonts w:ascii="Arial" w:cs="Arial" w:eastAsia="Arial" w:hAnsi="Arial"/>
          <w:sz w:val="18"/>
          <w:szCs w:val="18"/>
          <w:color w:val="auto"/>
        </w:rPr>
      </w:pPr>
    </w:p>
    <w:p>
      <w:pPr>
        <w:ind w:left="720" w:right="100" w:hanging="361"/>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evaluated any change in internal control over financial reporting, that occurred during each fiscal quarter, that has materially affected, or is reasonably likely to materially affect, the internal control over financial reporting;</w:t>
      </w:r>
    </w:p>
    <w:p>
      <w:pPr>
        <w:spacing w:after="0" w:line="124" w:lineRule="exact"/>
        <w:rPr>
          <w:rFonts w:ascii="Arial" w:cs="Arial" w:eastAsia="Arial" w:hAnsi="Arial"/>
          <w:sz w:val="18"/>
          <w:szCs w:val="18"/>
          <w:color w:val="auto"/>
        </w:rPr>
      </w:pPr>
    </w:p>
    <w:p>
      <w:pPr>
        <w:ind w:left="720" w:right="120" w:hanging="361"/>
        <w:spacing w:after="0" w:line="241"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For purposes of this section, the term </w:t>
      </w: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xml:space="preserve"> means controls and other procedures that are designed to ensure that information required to be disclosed in reports under the Act (15 U.S.C. 78a </w:t>
      </w:r>
      <w:r>
        <w:rPr>
          <w:rFonts w:ascii="Arial" w:cs="Arial" w:eastAsia="Arial" w:hAnsi="Arial"/>
          <w:sz w:val="18"/>
          <w:szCs w:val="18"/>
          <w:i w:val="1"/>
          <w:iCs w:val="1"/>
          <w:color w:val="auto"/>
        </w:rPr>
        <w:t>et seq.</w:t>
      </w:r>
      <w:r>
        <w:rPr>
          <w:rFonts w:ascii="Arial" w:cs="Arial" w:eastAsia="Arial" w:hAnsi="Arial"/>
          <w:sz w:val="18"/>
          <w:szCs w:val="18"/>
          <w:color w:val="auto"/>
        </w:rPr>
        <w:t>) is recorded, processed, summarized and reported, within the time periods specified in the Commission's rules and forms. Disclosure controls and procedures include, without limitation, controls and procedures designed to ensure that information required to be disclosed under the Act is accumulated and communicated to management, including the Chief Executive Officer and Chief Financial Officer, as appropriate to allow timely decisions regarding required disclosure;</w:t>
      </w:r>
    </w:p>
    <w:p>
      <w:pPr>
        <w:spacing w:after="0" w:line="148" w:lineRule="exact"/>
        <w:rPr>
          <w:rFonts w:ascii="Arial" w:cs="Arial" w:eastAsia="Arial" w:hAnsi="Arial"/>
          <w:sz w:val="18"/>
          <w:szCs w:val="18"/>
          <w:color w:val="auto"/>
        </w:rPr>
      </w:pPr>
    </w:p>
    <w:p>
      <w:pPr>
        <w:ind w:left="720" w:right="100" w:hanging="361"/>
        <w:spacing w:after="0" w:line="23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 internal control over financial reporting is defined as a process designed by, or under the supervision of, the principal executive and principal financial officers, or persons performing similar functions,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48" w:lineRule="exact"/>
        <w:rPr>
          <w:rFonts w:ascii="Arial" w:cs="Arial" w:eastAsia="Arial" w:hAnsi="Arial"/>
          <w:sz w:val="18"/>
          <w:szCs w:val="18"/>
          <w:color w:val="auto"/>
        </w:rPr>
      </w:pPr>
    </w:p>
    <w:p>
      <w:pPr>
        <w:ind w:left="1440" w:right="140" w:hanging="352"/>
        <w:spacing w:after="0" w:line="246" w:lineRule="auto"/>
        <w:tabs>
          <w:tab w:leader="none" w:pos="14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w:t>
      </w:r>
    </w:p>
    <w:p>
      <w:pPr>
        <w:spacing w:after="0" w:line="142" w:lineRule="exact"/>
        <w:rPr>
          <w:rFonts w:ascii="Arial" w:cs="Arial" w:eastAsia="Arial" w:hAnsi="Arial"/>
          <w:sz w:val="18"/>
          <w:szCs w:val="18"/>
          <w:color w:val="auto"/>
        </w:rPr>
      </w:pPr>
    </w:p>
    <w:p>
      <w:pPr>
        <w:ind w:left="1440" w:right="240" w:hanging="352"/>
        <w:spacing w:after="0"/>
        <w:tabs>
          <w:tab w:leader="none" w:pos="14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89" w:name="page90"/>
    <w:bookmarkEnd w:id="89"/>
    <w:p>
      <w:pPr>
        <w:ind w:left="1440" w:right="440" w:hanging="352"/>
        <w:spacing w:after="0" w:line="246" w:lineRule="auto"/>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43" w:lineRule="exact"/>
        <w:rPr>
          <w:sz w:val="20"/>
          <w:szCs w:val="20"/>
          <w:color w:val="auto"/>
        </w:rPr>
      </w:pPr>
    </w:p>
    <w:p>
      <w:pPr>
        <w:ind w:right="100" w:firstLine="360"/>
        <w:spacing w:after="0" w:line="238" w:lineRule="auto"/>
        <w:rPr>
          <w:sz w:val="20"/>
          <w:szCs w:val="20"/>
          <w:color w:val="auto"/>
        </w:rPr>
      </w:pPr>
      <w:r>
        <w:rPr>
          <w:rFonts w:ascii="Arial" w:cs="Arial" w:eastAsia="Arial" w:hAnsi="Arial"/>
          <w:sz w:val="18"/>
          <w:szCs w:val="18"/>
          <w:color w:val="auto"/>
        </w:rPr>
        <w:t>Based upon and as of the date of that evaluation, the Chief Executive Officer and the Chief Financial Officer concluded that the disclosure controls and procedures of the Company were effective in ensuring that the information required to be disclosed in the periodic reports is recorded, processed, summarized and reported, within the time periods specified in the Commission’s rules and forms and ensuring that information required to be disclosed in reports is accumulated and communicated to the management of the Company, including its Chief Executive Officer and Chief Financial Officer, as appropriate to allow timely decisions regarding required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0"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Rules 13a-15(f) and 15d-15(f) under the Securities Exchange Act of 1934. The Company’s internal control system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148" w:lineRule="exact"/>
        <w:rPr>
          <w:sz w:val="20"/>
          <w:szCs w:val="20"/>
          <w:color w:val="auto"/>
        </w:rPr>
      </w:pPr>
    </w:p>
    <w:p>
      <w:pPr>
        <w:ind w:right="160" w:firstLine="360"/>
        <w:spacing w:after="0"/>
        <w:rPr>
          <w:sz w:val="20"/>
          <w:szCs w:val="20"/>
          <w:color w:val="auto"/>
        </w:rPr>
      </w:pPr>
      <w:r>
        <w:rPr>
          <w:rFonts w:ascii="Arial" w:cs="Arial" w:eastAsia="Arial" w:hAnsi="Arial"/>
          <w:sz w:val="18"/>
          <w:szCs w:val="18"/>
          <w:color w:val="auto"/>
        </w:rPr>
        <w:t>Because of its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49"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 xml:space="preserve">Management of the Company assessed the effectiveness of the Company’s internal control over financial reporting as of December 31, 2012.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that assessment, management concluded that, as of December 31, 2012, the Company’s internal control over financial reporting was effective at a reasonable assurance level based on those criteria.</w:t>
      </w:r>
    </w:p>
    <w:p>
      <w:pPr>
        <w:spacing w:after="0" w:line="148" w:lineRule="exact"/>
        <w:rPr>
          <w:sz w:val="20"/>
          <w:szCs w:val="20"/>
          <w:color w:val="auto"/>
        </w:rPr>
      </w:pPr>
    </w:p>
    <w:p>
      <w:pPr>
        <w:ind w:right="1360" w:firstLine="360"/>
        <w:spacing w:after="0" w:line="246" w:lineRule="auto"/>
        <w:rPr>
          <w:sz w:val="20"/>
          <w:szCs w:val="20"/>
          <w:color w:val="auto"/>
        </w:rPr>
      </w:pPr>
      <w:r>
        <w:rPr>
          <w:rFonts w:ascii="Arial" w:cs="Arial" w:eastAsia="Arial" w:hAnsi="Arial"/>
          <w:sz w:val="18"/>
          <w:szCs w:val="18"/>
          <w:color w:val="auto"/>
        </w:rPr>
        <w:t>The effectiveness of the Company’s internal control over financial reporting as of December 31, 2012 has been audited by PricewaterhouseCoopers LLP, an independent registered public accounting firm, as stated in their report included herein.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There were no changes in our internal control over financial reporting during our fourth fiscal quarter of 2012 that have materially affected, or are reasonably likely to materially affect, our internal control over financial reporting.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60" w:type="dxa"/>
            <w:vAlign w:val="bottom"/>
            <w:gridSpan w:val="3"/>
          </w:tcPr>
          <w:p>
            <w:pPr>
              <w:ind w:left="80"/>
              <w:spacing w:after="0"/>
              <w:rPr>
                <w:sz w:val="20"/>
                <w:szCs w:val="20"/>
                <w:color w:val="auto"/>
              </w:rPr>
            </w:pPr>
            <w:r>
              <w:rPr>
                <w:rFonts w:ascii="Arial" w:cs="Arial" w:eastAsia="Arial" w:hAnsi="Arial"/>
                <w:sz w:val="18"/>
                <w:szCs w:val="18"/>
                <w:color w:val="auto"/>
              </w:rPr>
              <w:t>/s/ Joseph G. Morone, Ph.D.</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/s/ John B. Cozzolino</w:t>
            </w:r>
          </w:p>
        </w:tc>
        <w:tc>
          <w:tcPr>
            <w:tcW w:w="3640" w:type="dxa"/>
            <w:vAlign w:val="bottom"/>
          </w:tcPr>
          <w:p>
            <w:pPr>
              <w:ind w:left="100"/>
              <w:spacing w:after="0"/>
              <w:rPr>
                <w:sz w:val="20"/>
                <w:szCs w:val="20"/>
                <w:color w:val="auto"/>
              </w:rPr>
            </w:pPr>
            <w:r>
              <w:rPr>
                <w:rFonts w:ascii="Arial" w:cs="Arial" w:eastAsia="Arial" w:hAnsi="Arial"/>
                <w:sz w:val="18"/>
                <w:szCs w:val="18"/>
                <w:color w:val="auto"/>
              </w:rPr>
              <w:t>/s/ David M. Pawlick</w:t>
            </w: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Joseph G. Morone, Ph.D.</w:t>
            </w:r>
          </w:p>
        </w:tc>
        <w:tc>
          <w:tcPr>
            <w:tcW w:w="580" w:type="dxa"/>
            <w:vAlign w:val="bottom"/>
          </w:tcPr>
          <w:p>
            <w:pPr>
              <w:spacing w:after="0"/>
              <w:rPr>
                <w:sz w:val="16"/>
                <w:szCs w:val="16"/>
                <w:color w:val="auto"/>
              </w:rPr>
            </w:pPr>
          </w:p>
        </w:tc>
        <w:tc>
          <w:tcPr>
            <w:tcW w:w="33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B. Cozzolino</w:t>
            </w:r>
          </w:p>
        </w:tc>
        <w:tc>
          <w:tcPr>
            <w:tcW w:w="680" w:type="dxa"/>
            <w:vAlign w:val="bottom"/>
          </w:tcPr>
          <w:p>
            <w:pPr>
              <w:spacing w:after="0"/>
              <w:rPr>
                <w:sz w:val="16"/>
                <w:szCs w:val="16"/>
                <w:color w:val="auto"/>
              </w:rPr>
            </w:pPr>
          </w:p>
        </w:tc>
        <w:tc>
          <w:tcPr>
            <w:tcW w:w="36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David M. Pawlick</w:t>
            </w:r>
          </w:p>
        </w:tc>
      </w:tr>
      <w:tr>
        <w:trPr>
          <w:trHeight w:val="203"/>
        </w:trPr>
        <w:tc>
          <w:tcPr>
            <w:tcW w:w="20" w:type="dxa"/>
            <w:vAlign w:val="bottom"/>
          </w:tcPr>
          <w:p>
            <w:pPr>
              <w:spacing w:after="0"/>
              <w:rPr>
                <w:sz w:val="17"/>
                <w:szCs w:val="17"/>
                <w:color w:val="auto"/>
              </w:rPr>
            </w:pPr>
          </w:p>
        </w:tc>
        <w:tc>
          <w:tcPr>
            <w:tcW w:w="376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President and</w:t>
            </w:r>
          </w:p>
        </w:tc>
        <w:tc>
          <w:tcPr>
            <w:tcW w:w="4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Financial Officer</w:t>
            </w:r>
          </w:p>
        </w:tc>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Vice President and</w:t>
            </w:r>
          </w:p>
        </w:tc>
      </w:tr>
      <w:tr>
        <w:trPr>
          <w:trHeight w:val="203"/>
        </w:trPr>
        <w:tc>
          <w:tcPr>
            <w:tcW w:w="20" w:type="dxa"/>
            <w:vAlign w:val="bottom"/>
          </w:tcPr>
          <w:p>
            <w:pPr>
              <w:spacing w:after="0"/>
              <w:rPr>
                <w:sz w:val="17"/>
                <w:szCs w:val="17"/>
                <w:color w:val="auto"/>
              </w:rPr>
            </w:pPr>
          </w:p>
        </w:tc>
        <w:tc>
          <w:tcPr>
            <w:tcW w:w="376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Chief Executive Officer</w:t>
            </w:r>
          </w:p>
        </w:tc>
        <w:tc>
          <w:tcPr>
            <w:tcW w:w="4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and Treasurer</w:t>
            </w:r>
          </w:p>
        </w:tc>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Controller</w:t>
            </w:r>
          </w:p>
        </w:tc>
      </w:tr>
      <w:tr>
        <w:trPr>
          <w:trHeight w:val="203"/>
        </w:trPr>
        <w:tc>
          <w:tcPr>
            <w:tcW w:w="20" w:type="dxa"/>
            <w:vAlign w:val="bottom"/>
          </w:tcPr>
          <w:p>
            <w:pPr>
              <w:spacing w:after="0"/>
              <w:rPr>
                <w:sz w:val="17"/>
                <w:szCs w:val="17"/>
                <w:color w:val="auto"/>
              </w:rPr>
            </w:pPr>
          </w:p>
        </w:tc>
        <w:tc>
          <w:tcPr>
            <w:tcW w:w="376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and Director</w:t>
            </w:r>
          </w:p>
        </w:tc>
        <w:tc>
          <w:tcPr>
            <w:tcW w:w="4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(Principal Financial Officer)</w:t>
            </w:r>
          </w:p>
        </w:tc>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(Principal Accounting Officer)</w:t>
            </w:r>
          </w:p>
        </w:tc>
      </w:tr>
      <w:tr>
        <w:trPr>
          <w:trHeight w:val="217"/>
        </w:trPr>
        <w:tc>
          <w:tcPr>
            <w:tcW w:w="20" w:type="dxa"/>
            <w:vAlign w:val="bottom"/>
          </w:tcPr>
          <w:p>
            <w:pPr>
              <w:spacing w:after="0"/>
              <w:rPr>
                <w:sz w:val="18"/>
                <w:szCs w:val="18"/>
                <w:color w:val="auto"/>
              </w:rPr>
            </w:pPr>
          </w:p>
        </w:tc>
        <w:tc>
          <w:tcPr>
            <w:tcW w:w="3760" w:type="dxa"/>
            <w:vAlign w:val="bottom"/>
            <w:gridSpan w:val="3"/>
          </w:tcPr>
          <w:p>
            <w:pPr>
              <w:ind w:left="80"/>
              <w:spacing w:after="0"/>
              <w:rPr>
                <w:sz w:val="20"/>
                <w:szCs w:val="20"/>
                <w:color w:val="auto"/>
              </w:rPr>
            </w:pPr>
            <w:r>
              <w:rPr>
                <w:rFonts w:ascii="Arial" w:cs="Arial" w:eastAsia="Arial" w:hAnsi="Arial"/>
                <w:sz w:val="18"/>
                <w:szCs w:val="18"/>
                <w:color w:val="auto"/>
              </w:rPr>
              <w:t>(Principal Executive Officer)</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84"/>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Item 9B. OTHER INFORMATION</w:t>
            </w:r>
          </w:p>
        </w:tc>
        <w:tc>
          <w:tcPr>
            <w:tcW w:w="1120" w:type="dxa"/>
            <w:vAlign w:val="bottom"/>
            <w:gridSpan w:val="2"/>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85"/>
        </w:trPr>
        <w:tc>
          <w:tcPr>
            <w:tcW w:w="3780" w:type="dxa"/>
            <w:vAlign w:val="bottom"/>
            <w:gridSpan w:val="4"/>
          </w:tcPr>
          <w:p>
            <w:pPr>
              <w:spacing w:after="0"/>
              <w:rPr>
                <w:sz w:val="20"/>
                <w:szCs w:val="20"/>
                <w:color w:val="auto"/>
              </w:rPr>
            </w:pPr>
            <w:r>
              <w:rPr>
                <w:rFonts w:ascii="Arial" w:cs="Arial" w:eastAsia="Arial" w:hAnsi="Arial"/>
                <w:sz w:val="18"/>
                <w:szCs w:val="18"/>
                <w:color w:val="auto"/>
              </w:rPr>
              <w:t>None.</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5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18"/>
                <w:szCs w:val="18"/>
                <w:color w:val="auto"/>
              </w:rPr>
              <w:t>90</w:t>
            </w: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90" w:name="page91"/>
    <w:bookmarkEnd w:id="90"/>
    <w:p>
      <w:pPr>
        <w:jc w:val="center"/>
        <w:ind w:right="-79"/>
        <w:spacing w:after="0"/>
        <w:rPr>
          <w:sz w:val="20"/>
          <w:szCs w:val="20"/>
          <w:color w:val="auto"/>
        </w:rPr>
      </w:pPr>
      <w:r>
        <w:rPr>
          <w:rFonts w:ascii="Arial" w:cs="Arial" w:eastAsia="Arial" w:hAnsi="Arial"/>
          <w:sz w:val="18"/>
          <w:szCs w:val="18"/>
          <w:color w:val="auto"/>
        </w:rPr>
        <w:t>PART III</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158"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The information set out in the section captioned “Election of Directors” in the Proxy Statement is incorporated herein by reference.</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Executive Officers</w:t>
      </w:r>
      <w:r>
        <w:rPr>
          <w:rFonts w:ascii="Arial" w:cs="Arial" w:eastAsia="Arial" w:hAnsi="Arial"/>
          <w:sz w:val="18"/>
          <w:szCs w:val="18"/>
          <w:color w:val="auto"/>
        </w:rPr>
        <w:t>. Information about the officers of the Company is set forth in Item 1 above.</w:t>
      </w:r>
    </w:p>
    <w:p>
      <w:pPr>
        <w:spacing w:after="0" w:line="157" w:lineRule="exact"/>
        <w:rPr>
          <w:rFonts w:ascii="Arial" w:cs="Arial" w:eastAsia="Arial" w:hAnsi="Arial"/>
          <w:sz w:val="18"/>
          <w:szCs w:val="18"/>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Significant Employees</w:t>
      </w:r>
      <w:r>
        <w:rPr>
          <w:rFonts w:ascii="Arial" w:cs="Arial" w:eastAsia="Arial" w:hAnsi="Arial"/>
          <w:sz w:val="18"/>
          <w:szCs w:val="18"/>
          <w:color w:val="auto"/>
        </w:rPr>
        <w:t>. Same as Executive Officers.</w:t>
      </w:r>
    </w:p>
    <w:p>
      <w:pPr>
        <w:spacing w:after="0" w:line="157" w:lineRule="exact"/>
        <w:rPr>
          <w:rFonts w:ascii="Arial" w:cs="Arial" w:eastAsia="Arial" w:hAnsi="Arial"/>
          <w:sz w:val="18"/>
          <w:szCs w:val="18"/>
          <w:color w:val="auto"/>
        </w:rPr>
      </w:pPr>
    </w:p>
    <w:p>
      <w:pPr>
        <w:ind w:right="380" w:firstLine="8"/>
        <w:spacing w:after="0"/>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Nature of any family relationship between any director, executive officer, person nominated or chosen to become a director or executive officer,</w:t>
      </w:r>
      <w:r>
        <w:rPr>
          <w:rFonts w:ascii="Arial" w:cs="Arial" w:eastAsia="Arial" w:hAnsi="Arial"/>
          <w:sz w:val="18"/>
          <w:szCs w:val="18"/>
          <w:color w:val="auto"/>
        </w:rPr>
        <w:t xml:space="preserve"> The information set out in the section captioned “Certain Business Relationships and Related Person Transactions” in the Proxy Statement is incorporated herein by reference.</w:t>
      </w:r>
    </w:p>
    <w:p>
      <w:pPr>
        <w:spacing w:after="0" w:line="148" w:lineRule="exact"/>
        <w:rPr>
          <w:rFonts w:ascii="Arial" w:cs="Arial" w:eastAsia="Arial" w:hAnsi="Arial"/>
          <w:sz w:val="18"/>
          <w:szCs w:val="18"/>
          <w:color w:val="auto"/>
        </w:rPr>
      </w:pPr>
    </w:p>
    <w:p>
      <w:pPr>
        <w:ind w:right="100" w:firstLine="8"/>
        <w:spacing w:after="0"/>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Business experience, during the past five years, of each director, executive officer, person nominated or chosen to become director or executive officer, and significant employees.</w:t>
      </w:r>
      <w:r>
        <w:rPr>
          <w:rFonts w:ascii="Arial" w:cs="Arial" w:eastAsia="Arial" w:hAnsi="Arial"/>
          <w:sz w:val="18"/>
          <w:szCs w:val="18"/>
          <w:color w:val="auto"/>
        </w:rPr>
        <w:t xml:space="preserve"> Information about the officers of the Company is set forth in Item 1 above and the information set out in the section captioned “Election of Directors” in the Proxy Statement is incorporated herein by reference.</w:t>
      </w:r>
    </w:p>
    <w:p>
      <w:pPr>
        <w:spacing w:after="0" w:line="148" w:lineRule="exact"/>
        <w:rPr>
          <w:rFonts w:ascii="Arial" w:cs="Arial" w:eastAsia="Arial" w:hAnsi="Arial"/>
          <w:sz w:val="18"/>
          <w:szCs w:val="18"/>
          <w:color w:val="auto"/>
        </w:rPr>
      </w:pPr>
    </w:p>
    <w:p>
      <w:pPr>
        <w:ind w:right="40" w:firstLine="8"/>
        <w:spacing w:after="0" w:line="246" w:lineRule="auto"/>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Involvement in certain legal proceedings by any director, person nominated to become a director or executive officer.</w:t>
      </w:r>
      <w:r>
        <w:rPr>
          <w:rFonts w:ascii="Arial" w:cs="Arial" w:eastAsia="Arial" w:hAnsi="Arial"/>
          <w:sz w:val="18"/>
          <w:szCs w:val="18"/>
          <w:color w:val="auto"/>
        </w:rPr>
        <w:t xml:space="preserve"> The information set out in the section captioned “Election of Directors” in the Proxy Statement is incorporated herein by reference.</w:t>
      </w:r>
    </w:p>
    <w:p>
      <w:pPr>
        <w:spacing w:after="0" w:line="142" w:lineRule="exact"/>
        <w:rPr>
          <w:rFonts w:ascii="Arial" w:cs="Arial" w:eastAsia="Arial" w:hAnsi="Arial"/>
          <w:sz w:val="18"/>
          <w:szCs w:val="18"/>
          <w:color w:val="auto"/>
        </w:rPr>
      </w:pPr>
    </w:p>
    <w:p>
      <w:pPr>
        <w:ind w:left="220" w:hanging="212"/>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Certain promoters and control persons.</w:t>
      </w:r>
      <w:r>
        <w:rPr>
          <w:rFonts w:ascii="Arial" w:cs="Arial" w:eastAsia="Arial" w:hAnsi="Arial"/>
          <w:sz w:val="18"/>
          <w:szCs w:val="18"/>
          <w:color w:val="auto"/>
        </w:rPr>
        <w:t xml:space="preserve"> None.</w:t>
      </w:r>
    </w:p>
    <w:p>
      <w:pPr>
        <w:spacing w:after="0" w:line="157" w:lineRule="exact"/>
        <w:rPr>
          <w:rFonts w:ascii="Arial" w:cs="Arial" w:eastAsia="Arial" w:hAnsi="Arial"/>
          <w:sz w:val="18"/>
          <w:szCs w:val="18"/>
          <w:color w:val="auto"/>
        </w:rPr>
      </w:pPr>
    </w:p>
    <w:p>
      <w:pPr>
        <w:ind w:right="540" w:firstLine="8"/>
        <w:spacing w:after="0" w:line="246" w:lineRule="auto"/>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Audit Committee Financial Expert</w:t>
      </w:r>
      <w:r>
        <w:rPr>
          <w:rFonts w:ascii="Arial" w:cs="Arial" w:eastAsia="Arial" w:hAnsi="Arial"/>
          <w:sz w:val="18"/>
          <w:szCs w:val="18"/>
          <w:color w:val="auto"/>
        </w:rPr>
        <w:t>. The information set out in the section captioned “Corporate Governance” in the Proxy Statement is incorporated herein by reference.</w:t>
      </w:r>
    </w:p>
    <w:p>
      <w:pPr>
        <w:spacing w:after="0" w:line="142" w:lineRule="exact"/>
        <w:rPr>
          <w:rFonts w:ascii="Arial" w:cs="Arial" w:eastAsia="Arial" w:hAnsi="Arial"/>
          <w:sz w:val="18"/>
          <w:szCs w:val="18"/>
          <w:color w:val="auto"/>
        </w:rPr>
      </w:pPr>
    </w:p>
    <w:p>
      <w:pPr>
        <w:ind w:right="40" w:firstLine="8"/>
        <w:spacing w:after="0" w:line="237" w:lineRule="auto"/>
        <w:tabs>
          <w:tab w:leader="none" w:pos="15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Code of Ethics</w:t>
      </w:r>
      <w:r>
        <w:rPr>
          <w:rFonts w:ascii="Arial" w:cs="Arial" w:eastAsia="Arial" w:hAnsi="Arial"/>
          <w:sz w:val="18"/>
          <w:szCs w:val="18"/>
          <w:color w:val="auto"/>
        </w:rPr>
        <w:t>. The Company has adopted a Code of Ethics that applies to its Chief Executive Officer, Chief Financial Officer and Controller. A copy of the Code of Ethics is filed as Exhibit 10(p) and is available at the Corporate Governance section of the Company’s website (www.albint.com). A copy of the Code of Ethics may be obtained, without charge, by writing to: Investor Relations Department, Albany International Corp., 216 Airport Drive, Rochester, New Hampshire 03867. Any amendment to the Code of Ethics will be disclosed by posting the amended Code of Ethics on the Company’s website. Any waiver of any provision of the Code of Ethics will be disclosed by the filing of a Form 8-K.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158" w:lineRule="exact"/>
        <w:rPr>
          <w:sz w:val="20"/>
          <w:szCs w:val="20"/>
          <w:color w:val="auto"/>
        </w:rPr>
      </w:pPr>
    </w:p>
    <w:p>
      <w:pPr>
        <w:ind w:right="240" w:firstLine="360"/>
        <w:spacing w:after="0" w:line="239" w:lineRule="auto"/>
        <w:rPr>
          <w:sz w:val="20"/>
          <w:szCs w:val="20"/>
          <w:color w:val="auto"/>
        </w:rPr>
      </w:pPr>
      <w:r>
        <w:rPr>
          <w:rFonts w:ascii="Arial" w:cs="Arial" w:eastAsia="Arial" w:hAnsi="Arial"/>
          <w:sz w:val="18"/>
          <w:szCs w:val="18"/>
          <w:color w:val="auto"/>
        </w:rPr>
        <w:t>The information set forth in the sections of the Proxy Statement captioned “Executive Compensation,” “Summary Compensation Table,” “Grants of Plan-Based Awards,” “Outstanding Equity Awards At Fiscal Year-End,” “Option Exercises and Stock Vested,” “Pension Benefits,” “Nonqualified Deferred Compensation,” “Director Compensation,” “Compensation Committee Report,” “Compensation Discussion and Analysis,” and “Compensation Committee Interlocks and Insider Participation” is incorporated herein by reference.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38" w:right="299" w:bottom="1440" w:gutter="0" w:footer="0" w:header="0"/>
        </w:sectPr>
      </w:pPr>
    </w:p>
    <w:bookmarkStart w:id="91" w:name="page92"/>
    <w:bookmarkEnd w:id="91"/>
    <w:p>
      <w:pPr>
        <w:ind w:left="360" w:right="180" w:hanging="359"/>
        <w:spacing w:after="0" w:line="447" w:lineRule="auto"/>
        <w:rPr>
          <w:sz w:val="20"/>
          <w:szCs w:val="20"/>
          <w:color w:val="auto"/>
        </w:rPr>
      </w:pPr>
      <w:r>
        <w:rPr>
          <w:rFonts w:ascii="Arial" w:cs="Arial" w:eastAsia="Arial" w:hAnsi="Arial"/>
          <w:sz w:val="17"/>
          <w:szCs w:val="17"/>
          <w:u w:val="single" w:color="auto"/>
          <w:color w:val="auto"/>
        </w:rPr>
        <w:t xml:space="preserve">Item 12. SECURITY OWNERSHIP OF CERTAIN BENEFICIAL OWNERS AND MANAGEMENT AND RELATED STOCKHOLDER MATTERS </w:t>
      </w:r>
      <w:r>
        <w:rPr>
          <w:rFonts w:ascii="Arial" w:cs="Arial" w:eastAsia="Arial" w:hAnsi="Arial"/>
          <w:sz w:val="17"/>
          <w:szCs w:val="17"/>
          <w:color w:val="auto"/>
        </w:rPr>
        <w:t>The information set forth in the section captioned "Share Ownership" in the Proxy Statement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 Plan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4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tcPr>
          <w:p>
            <w:pPr>
              <w:jc w:val="center"/>
              <w:ind w:left="674"/>
              <w:spacing w:after="0" w:line="127" w:lineRule="exact"/>
              <w:rPr>
                <w:sz w:val="20"/>
                <w:szCs w:val="20"/>
                <w:color w:val="auto"/>
              </w:rPr>
            </w:pPr>
            <w:r>
              <w:rPr>
                <w:rFonts w:ascii="Arial" w:cs="Arial" w:eastAsia="Arial" w:hAnsi="Arial"/>
                <w:sz w:val="13"/>
                <w:szCs w:val="13"/>
                <w:b w:val="1"/>
                <w:bCs w:val="1"/>
                <w:color w:val="auto"/>
                <w:w w:val="97"/>
              </w:rPr>
              <w:t>Number of securities</w:t>
            </w:r>
          </w:p>
        </w:tc>
        <w:tc>
          <w:tcPr>
            <w:tcW w:w="16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7"/>
              </w:rPr>
              <w:t>Weighted average</w:t>
            </w:r>
          </w:p>
        </w:tc>
        <w:tc>
          <w:tcPr>
            <w:tcW w:w="25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3"/>
                <w:szCs w:val="13"/>
                <w:b w:val="1"/>
                <w:bCs w:val="1"/>
                <w:color w:val="auto"/>
                <w:w w:val="97"/>
              </w:rPr>
              <w:t>Number of securities remaining</w:t>
            </w:r>
          </w:p>
        </w:tc>
      </w:tr>
      <w:tr>
        <w:trPr>
          <w:trHeight w:val="135"/>
        </w:trPr>
        <w:tc>
          <w:tcPr>
            <w:tcW w:w="4840" w:type="dxa"/>
            <w:vAlign w:val="bottom"/>
          </w:tcPr>
          <w:p>
            <w:pPr>
              <w:spacing w:after="0"/>
              <w:rPr>
                <w:sz w:val="11"/>
                <w:szCs w:val="11"/>
                <w:color w:val="auto"/>
              </w:rPr>
            </w:pPr>
          </w:p>
        </w:tc>
        <w:tc>
          <w:tcPr>
            <w:tcW w:w="2480" w:type="dxa"/>
            <w:vAlign w:val="bottom"/>
          </w:tcPr>
          <w:p>
            <w:pPr>
              <w:jc w:val="center"/>
              <w:ind w:left="694"/>
              <w:spacing w:after="0" w:line="135" w:lineRule="exact"/>
              <w:rPr>
                <w:sz w:val="20"/>
                <w:szCs w:val="20"/>
                <w:color w:val="auto"/>
              </w:rPr>
            </w:pPr>
            <w:r>
              <w:rPr>
                <w:rFonts w:ascii="Arial" w:cs="Arial" w:eastAsia="Arial" w:hAnsi="Arial"/>
                <w:sz w:val="13"/>
                <w:szCs w:val="13"/>
                <w:b w:val="1"/>
                <w:bCs w:val="1"/>
                <w:color w:val="auto"/>
                <w:w w:val="97"/>
              </w:rPr>
              <w:t>to be issued upon</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exercise price of</w:t>
            </w:r>
          </w:p>
        </w:tc>
        <w:tc>
          <w:tcPr>
            <w:tcW w:w="2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available for future issuance</w:t>
            </w:r>
          </w:p>
        </w:tc>
      </w:tr>
      <w:tr>
        <w:trPr>
          <w:trHeight w:val="135"/>
        </w:trPr>
        <w:tc>
          <w:tcPr>
            <w:tcW w:w="4840" w:type="dxa"/>
            <w:vAlign w:val="bottom"/>
          </w:tcPr>
          <w:p>
            <w:pPr>
              <w:spacing w:after="0"/>
              <w:rPr>
                <w:sz w:val="11"/>
                <w:szCs w:val="11"/>
                <w:color w:val="auto"/>
              </w:rPr>
            </w:pPr>
          </w:p>
        </w:tc>
        <w:tc>
          <w:tcPr>
            <w:tcW w:w="2480" w:type="dxa"/>
            <w:vAlign w:val="bottom"/>
          </w:tcPr>
          <w:p>
            <w:pPr>
              <w:jc w:val="center"/>
              <w:ind w:left="674"/>
              <w:spacing w:after="0" w:line="135" w:lineRule="exact"/>
              <w:rPr>
                <w:sz w:val="20"/>
                <w:szCs w:val="20"/>
                <w:color w:val="auto"/>
              </w:rPr>
            </w:pPr>
            <w:r>
              <w:rPr>
                <w:rFonts w:ascii="Arial" w:cs="Arial" w:eastAsia="Arial" w:hAnsi="Arial"/>
                <w:sz w:val="13"/>
                <w:szCs w:val="13"/>
                <w:b w:val="1"/>
                <w:bCs w:val="1"/>
                <w:color w:val="auto"/>
                <w:w w:val="97"/>
              </w:rPr>
              <w:t>exercise of</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outstanding</w:t>
            </w:r>
          </w:p>
        </w:tc>
        <w:tc>
          <w:tcPr>
            <w:tcW w:w="2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compensation</w:t>
            </w:r>
          </w:p>
        </w:tc>
      </w:tr>
      <w:tr>
        <w:trPr>
          <w:trHeight w:val="135"/>
        </w:trPr>
        <w:tc>
          <w:tcPr>
            <w:tcW w:w="4840" w:type="dxa"/>
            <w:vAlign w:val="bottom"/>
          </w:tcPr>
          <w:p>
            <w:pPr>
              <w:spacing w:after="0"/>
              <w:rPr>
                <w:sz w:val="11"/>
                <w:szCs w:val="11"/>
                <w:color w:val="auto"/>
              </w:rPr>
            </w:pPr>
          </w:p>
        </w:tc>
        <w:tc>
          <w:tcPr>
            <w:tcW w:w="2480" w:type="dxa"/>
            <w:vAlign w:val="bottom"/>
          </w:tcPr>
          <w:p>
            <w:pPr>
              <w:jc w:val="center"/>
              <w:ind w:left="694"/>
              <w:spacing w:after="0" w:line="135" w:lineRule="exact"/>
              <w:rPr>
                <w:sz w:val="20"/>
                <w:szCs w:val="20"/>
                <w:color w:val="auto"/>
              </w:rPr>
            </w:pPr>
            <w:r>
              <w:rPr>
                <w:rFonts w:ascii="Arial" w:cs="Arial" w:eastAsia="Arial" w:hAnsi="Arial"/>
                <w:sz w:val="13"/>
                <w:szCs w:val="13"/>
                <w:b w:val="1"/>
                <w:bCs w:val="1"/>
                <w:color w:val="auto"/>
                <w:w w:val="96"/>
              </w:rPr>
              <w:t>outstanding options,</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options, warrants,</w:t>
            </w:r>
          </w:p>
        </w:tc>
        <w:tc>
          <w:tcPr>
            <w:tcW w:w="2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plans (excluding securities</w:t>
            </w:r>
          </w:p>
        </w:tc>
      </w:tr>
      <w:tr>
        <w:trPr>
          <w:trHeight w:val="157"/>
        </w:trPr>
        <w:tc>
          <w:tcPr>
            <w:tcW w:w="4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Category</w:t>
            </w:r>
          </w:p>
        </w:tc>
        <w:tc>
          <w:tcPr>
            <w:tcW w:w="2480" w:type="dxa"/>
            <w:vAlign w:val="bottom"/>
            <w:tcBorders>
              <w:bottom w:val="single" w:sz="8" w:color="auto"/>
            </w:tcBorders>
          </w:tcPr>
          <w:p>
            <w:pPr>
              <w:jc w:val="center"/>
              <w:ind w:left="714"/>
              <w:spacing w:after="0"/>
              <w:rPr>
                <w:sz w:val="20"/>
                <w:szCs w:val="20"/>
                <w:color w:val="auto"/>
              </w:rPr>
            </w:pPr>
            <w:r>
              <w:rPr>
                <w:rFonts w:ascii="Arial" w:cs="Arial" w:eastAsia="Arial" w:hAnsi="Arial"/>
                <w:sz w:val="13"/>
                <w:szCs w:val="13"/>
                <w:b w:val="1"/>
                <w:bCs w:val="1"/>
                <w:color w:val="auto"/>
                <w:w w:val="98"/>
              </w:rPr>
              <w:t>warrants, and rights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and rights</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reflected in column (a))</w:t>
            </w:r>
          </w:p>
        </w:tc>
      </w:tr>
      <w:tr>
        <w:trPr>
          <w:trHeight w:val="155"/>
        </w:trPr>
        <w:tc>
          <w:tcPr>
            <w:tcW w:w="4840" w:type="dxa"/>
            <w:vAlign w:val="bottom"/>
          </w:tcPr>
          <w:p>
            <w:pPr>
              <w:spacing w:after="0"/>
              <w:rPr>
                <w:sz w:val="13"/>
                <w:szCs w:val="13"/>
                <w:color w:val="auto"/>
              </w:rPr>
            </w:pPr>
          </w:p>
        </w:tc>
        <w:tc>
          <w:tcPr>
            <w:tcW w:w="2480" w:type="dxa"/>
            <w:vAlign w:val="bottom"/>
          </w:tcPr>
          <w:p>
            <w:pPr>
              <w:jc w:val="center"/>
              <w:ind w:left="714"/>
              <w:spacing w:after="0" w:line="155" w:lineRule="exact"/>
              <w:rPr>
                <w:sz w:val="20"/>
                <w:szCs w:val="20"/>
                <w:color w:val="auto"/>
              </w:rPr>
            </w:pPr>
            <w:r>
              <w:rPr>
                <w:rFonts w:ascii="Arial" w:cs="Arial" w:eastAsia="Arial" w:hAnsi="Arial"/>
                <w:sz w:val="14"/>
                <w:szCs w:val="14"/>
                <w:color w:val="auto"/>
              </w:rPr>
              <w:t>(a)</w:t>
            </w:r>
          </w:p>
        </w:tc>
        <w:tc>
          <w:tcPr>
            <w:tcW w:w="1600" w:type="dxa"/>
            <w:vAlign w:val="bottom"/>
          </w:tcPr>
          <w:p>
            <w:pPr>
              <w:jc w:val="center"/>
              <w:spacing w:after="0" w:line="155" w:lineRule="exact"/>
              <w:rPr>
                <w:sz w:val="20"/>
                <w:szCs w:val="20"/>
                <w:color w:val="auto"/>
              </w:rPr>
            </w:pPr>
            <w:r>
              <w:rPr>
                <w:rFonts w:ascii="Arial" w:cs="Arial" w:eastAsia="Arial" w:hAnsi="Arial"/>
                <w:sz w:val="14"/>
                <w:szCs w:val="14"/>
                <w:color w:val="auto"/>
              </w:rPr>
              <w:t>(b)</w:t>
            </w:r>
          </w:p>
        </w:tc>
        <w:tc>
          <w:tcPr>
            <w:tcW w:w="2500" w:type="dxa"/>
            <w:vAlign w:val="bottom"/>
          </w:tcPr>
          <w:p>
            <w:pPr>
              <w:jc w:val="center"/>
              <w:spacing w:after="0" w:line="155" w:lineRule="exact"/>
              <w:rPr>
                <w:sz w:val="20"/>
                <w:szCs w:val="20"/>
                <w:color w:val="auto"/>
              </w:rPr>
            </w:pPr>
            <w:r>
              <w:rPr>
                <w:rFonts w:ascii="Arial" w:cs="Arial" w:eastAsia="Arial" w:hAnsi="Arial"/>
                <w:sz w:val="14"/>
                <w:szCs w:val="14"/>
                <w:color w:val="auto"/>
              </w:rPr>
              <w:t>(c)</w:t>
            </w:r>
          </w:p>
        </w:tc>
      </w:tr>
      <w:tr>
        <w:trPr>
          <w:trHeight w:val="194"/>
        </w:trPr>
        <w:tc>
          <w:tcPr>
            <w:tcW w:w="4840" w:type="dxa"/>
            <w:vAlign w:val="bottom"/>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2480" w:type="dxa"/>
            <w:vAlign w:val="bottom"/>
          </w:tcPr>
          <w:p>
            <w:pPr>
              <w:jc w:val="center"/>
              <w:ind w:left="714"/>
              <w:spacing w:after="0" w:line="194" w:lineRule="exact"/>
              <w:rPr>
                <w:sz w:val="20"/>
                <w:szCs w:val="20"/>
                <w:color w:val="auto"/>
              </w:rPr>
            </w:pPr>
            <w:r>
              <w:rPr>
                <w:rFonts w:ascii="Arial" w:cs="Arial" w:eastAsia="Arial" w:hAnsi="Arial"/>
                <w:sz w:val="14"/>
                <w:szCs w:val="14"/>
                <w:color w:val="auto"/>
                <w:w w:val="98"/>
              </w:rPr>
              <w:t xml:space="preserve">507,313 </w:t>
            </w:r>
            <w:r>
              <w:rPr>
                <w:rFonts w:ascii="Arial" w:cs="Arial" w:eastAsia="Arial" w:hAnsi="Arial"/>
                <w:sz w:val="22"/>
                <w:szCs w:val="22"/>
                <w:color w:val="auto"/>
                <w:w w:val="98"/>
                <w:vertAlign w:val="superscript"/>
              </w:rPr>
              <w:t>1</w:t>
            </w:r>
          </w:p>
        </w:tc>
        <w:tc>
          <w:tcPr>
            <w:tcW w:w="1600" w:type="dxa"/>
            <w:vAlign w:val="bottom"/>
          </w:tcPr>
          <w:p>
            <w:pPr>
              <w:jc w:val="center"/>
              <w:spacing w:after="0"/>
              <w:rPr>
                <w:sz w:val="20"/>
                <w:szCs w:val="20"/>
                <w:color w:val="auto"/>
              </w:rPr>
            </w:pPr>
            <w:r>
              <w:rPr>
                <w:rFonts w:ascii="Arial" w:cs="Arial" w:eastAsia="Arial" w:hAnsi="Arial"/>
                <w:sz w:val="14"/>
                <w:szCs w:val="14"/>
                <w:color w:val="auto"/>
              </w:rPr>
              <w:t>$19.45</w:t>
            </w:r>
          </w:p>
        </w:tc>
        <w:tc>
          <w:tcPr>
            <w:tcW w:w="2500" w:type="dxa"/>
            <w:vAlign w:val="bottom"/>
          </w:tcPr>
          <w:p>
            <w:pPr>
              <w:jc w:val="center"/>
              <w:spacing w:after="0" w:line="194" w:lineRule="exact"/>
              <w:rPr>
                <w:sz w:val="20"/>
                <w:szCs w:val="20"/>
                <w:color w:val="auto"/>
              </w:rPr>
            </w:pPr>
            <w:r>
              <w:rPr>
                <w:rFonts w:ascii="Arial" w:cs="Arial" w:eastAsia="Arial" w:hAnsi="Arial"/>
                <w:sz w:val="14"/>
                <w:szCs w:val="14"/>
                <w:color w:val="auto"/>
                <w:w w:val="94"/>
              </w:rPr>
              <w:t xml:space="preserve">465,338 </w:t>
            </w:r>
            <w:r>
              <w:rPr>
                <w:rFonts w:ascii="Arial" w:cs="Arial" w:eastAsia="Arial" w:hAnsi="Arial"/>
                <w:sz w:val="22"/>
                <w:szCs w:val="22"/>
                <w:color w:val="auto"/>
                <w:w w:val="94"/>
                <w:vertAlign w:val="superscript"/>
              </w:rPr>
              <w:t>2,3,4</w:t>
            </w:r>
          </w:p>
        </w:tc>
      </w:tr>
      <w:tr>
        <w:trPr>
          <w:trHeight w:val="157"/>
        </w:trPr>
        <w:tc>
          <w:tcPr>
            <w:tcW w:w="48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Equity compensation plans not approved by security holders</w:t>
            </w:r>
          </w:p>
        </w:tc>
        <w:tc>
          <w:tcPr>
            <w:tcW w:w="2480" w:type="dxa"/>
            <w:vAlign w:val="bottom"/>
            <w:tcBorders>
              <w:bottom w:val="single" w:sz="8" w:color="auto"/>
            </w:tcBorders>
          </w:tcPr>
          <w:p>
            <w:pPr>
              <w:jc w:val="center"/>
              <w:ind w:left="714"/>
              <w:spacing w:after="0" w:line="157"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84"/>
              </w:rPr>
              <w:t>-</w:t>
            </w:r>
          </w:p>
        </w:tc>
        <w:tc>
          <w:tcPr>
            <w:tcW w:w="25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r>
      <w:tr>
        <w:trPr>
          <w:trHeight w:val="183"/>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480" w:type="dxa"/>
            <w:vAlign w:val="bottom"/>
            <w:tcBorders>
              <w:bottom w:val="single" w:sz="8" w:color="auto"/>
            </w:tcBorders>
          </w:tcPr>
          <w:p>
            <w:pPr>
              <w:jc w:val="center"/>
              <w:ind w:left="714"/>
              <w:spacing w:after="0" w:line="183" w:lineRule="exact"/>
              <w:rPr>
                <w:sz w:val="20"/>
                <w:szCs w:val="20"/>
                <w:color w:val="auto"/>
              </w:rPr>
            </w:pPr>
            <w:r>
              <w:rPr>
                <w:rFonts w:ascii="Arial" w:cs="Arial" w:eastAsia="Arial" w:hAnsi="Arial"/>
                <w:sz w:val="13"/>
                <w:szCs w:val="13"/>
                <w:color w:val="auto"/>
              </w:rPr>
              <w:t xml:space="preserve">507,313 </w:t>
            </w:r>
            <w:r>
              <w:rPr>
                <w:rFonts w:ascii="Arial" w:cs="Arial" w:eastAsia="Arial" w:hAnsi="Arial"/>
                <w:sz w:val="21"/>
                <w:szCs w:val="21"/>
                <w:color w:val="auto"/>
                <w:vertAlign w:val="superscript"/>
              </w:rPr>
              <w:t>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$19.45</w:t>
            </w:r>
          </w:p>
        </w:tc>
        <w:tc>
          <w:tcPr>
            <w:tcW w:w="25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3"/>
                <w:szCs w:val="13"/>
                <w:color w:val="auto"/>
              </w:rPr>
              <w:t xml:space="preserve">465,338 </w:t>
            </w:r>
            <w:r>
              <w:rPr>
                <w:rFonts w:ascii="Arial" w:cs="Arial" w:eastAsia="Arial" w:hAnsi="Arial"/>
                <w:sz w:val="21"/>
                <w:szCs w:val="21"/>
                <w:color w:val="auto"/>
                <w:vertAlign w:val="superscript"/>
              </w:rPr>
              <w:t>2,3,4</w:t>
            </w:r>
          </w:p>
        </w:tc>
      </w:tr>
    </w:tbl>
    <w:p>
      <w:pPr>
        <w:spacing w:after="0" w:line="161" w:lineRule="exact"/>
        <w:rPr>
          <w:sz w:val="20"/>
          <w:szCs w:val="20"/>
          <w:color w:val="auto"/>
        </w:rPr>
      </w:pPr>
    </w:p>
    <w:p>
      <w:pPr>
        <w:ind w:right="220" w:firstLine="8"/>
        <w:spacing w:after="0" w:line="196" w:lineRule="auto"/>
        <w:tabs>
          <w:tab w:leader="none" w:pos="133"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Does not include 121,524, 46,330, and 35,967 shares that may be issued pursuant to 2010, 2011 and 2012, respectively, performance incentive awards granted to certain executive officers pursuant to the 2005 and 2011 Incentive Plans. Such awards are not “exercisable,” but will be paid out to the recipients in accordance with their terms, subject to certain conditions.</w:t>
      </w:r>
    </w:p>
    <w:p>
      <w:pPr>
        <w:spacing w:after="0" w:line="191" w:lineRule="exact"/>
        <w:rPr>
          <w:sz w:val="20"/>
          <w:szCs w:val="20"/>
          <w:color w:val="auto"/>
        </w:rPr>
      </w:pPr>
    </w:p>
    <w:p>
      <w:pPr>
        <w:ind w:right="280" w:firstLine="8"/>
        <w:spacing w:after="0" w:line="204" w:lineRule="auto"/>
        <w:tabs>
          <w:tab w:leader="none" w:pos="133"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Reflects the number of shares that may be issued pursuant to future awards under the 2011 Incentive Plan. Additional shares of Class A Common Stock are available for issuance under the 2011 Incentive Plan (see note 3 below), as well as under the Directors’ Annual Retainer Plan (see note 5 below). No additional shares are available under any of the stock option plans pursuant to which outstanding options were granted.</w:t>
      </w:r>
    </w:p>
    <w:p>
      <w:pPr>
        <w:spacing w:after="0" w:line="192" w:lineRule="exact"/>
        <w:rPr>
          <w:sz w:val="20"/>
          <w:szCs w:val="20"/>
          <w:color w:val="auto"/>
        </w:rPr>
      </w:pPr>
    </w:p>
    <w:p>
      <w:pPr>
        <w:ind w:right="120" w:firstLine="8"/>
        <w:spacing w:after="0" w:line="223" w:lineRule="auto"/>
        <w:tabs>
          <w:tab w:leader="none" w:pos="125"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465,338 shares available for future issuance under the 2011 Incentive Plan. The 2011 Incentive Plan allows the Board from time to time to increase the number of shares that may be issued pursuant to awards granted under that Plan, provided that the number of shares so added may not exceed 500,000 in any one calendar year, and provided further that the total number of shares then available for issuance under the Plan shall not exceed 1,000,000 at any time. Shares of Common Stock covered by awards granted under the 2011 Incentive Plan are only counted as used to the extent they are actually issued and delivered. Accordingly, if an award is settled for cash, or if shares are withheld to pay any exercise price or to satisfy any tax-withholding requirement, only shares issued (if any), net of shares withheld, will be deemed delivered for purposes of determining the number of shares available under the Plan. If shares are issued subject to conditions that may result in the forfeiture, cancellation, or return of such shares to the Company, any shares forfeited, canceled, or returned shall be treated as not issued. If shares are tendered to the Company in payment of any obligation in connection with an award, the number of shares tendered shall be added to the number of shares available under the 2005 Incentive Plan. Assuming full exercise by the Board of its power to increase annually the number of shares available under the 2011 Incentive Plan, the maximum number of additional shares that could yet be issued pursuant to the Plan awards (including those set forth in column (c) above) would be 4,965,338.</w:t>
      </w:r>
    </w:p>
    <w:p>
      <w:pPr>
        <w:spacing w:after="0" w:line="197" w:lineRule="exact"/>
        <w:rPr>
          <w:sz w:val="20"/>
          <w:szCs w:val="20"/>
          <w:color w:val="auto"/>
        </w:rPr>
      </w:pPr>
    </w:p>
    <w:p>
      <w:pPr>
        <w:ind w:right="120" w:firstLine="8"/>
        <w:spacing w:after="0" w:line="210" w:lineRule="auto"/>
        <w:tabs>
          <w:tab w:leader="none" w:pos="125"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 xml:space="preserve">The Directors’ Annual Retainer Plan provides that the aggregate dollar amount of the annual retainer payable for service as a member of the Company’s Board of Directors is $100,000, $50,000 of which is required to be paid in shares of Class A Common Stock, the exact number of shares to be paid for any year being determined on the basis of the per share closing price of such stock on the day of the Annual Meeting at which the election of the directors for such year occurs, as shown in the composite index published for such day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rounded down to the nearest whole share.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92" w:name="page93"/>
    <w:bookmarkEnd w:id="92"/>
    <w:p>
      <w:pPr>
        <w:ind w:firstLine="360"/>
        <w:spacing w:after="0" w:line="239" w:lineRule="auto"/>
        <w:rPr>
          <w:sz w:val="20"/>
          <w:szCs w:val="20"/>
          <w:color w:val="auto"/>
        </w:rPr>
      </w:pPr>
      <w:r>
        <w:rPr>
          <w:rFonts w:ascii="Arial" w:cs="Arial" w:eastAsia="Arial" w:hAnsi="Arial"/>
          <w:sz w:val="18"/>
          <w:szCs w:val="18"/>
          <w:color w:val="auto"/>
        </w:rPr>
        <w:t>The following graph compares the cumulative 5-year total return to shareholders on Albany International Corp.'s common stock relative to the cumulative total returns of the S&amp;P 500 index and the Dow Jones US Paper index. An investment of $100 (with reinvestment of all dividends) is assumed to have been made in the Company's common stock and in each of the indexes on 12/31/2007, and its relative performance is tracked through 12/31/2012.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94615</wp:posOffset>
            </wp:positionV>
            <wp:extent cx="5574030" cy="4631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403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RELATED TRANSACTIONS AND DIRECTOR INDEPENDENCE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out in the section captioned “Election of Directors” in the Proxy Statement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in the section captioned “Independent Auditors” in the Proxy Statement is incorporated herein by reference.</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638" w:right="35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u w:val="single" w:color="auto"/>
          <w:color w:val="auto"/>
        </w:rPr>
        <w:t>PART IV</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Exhibit</w:t>
            </w:r>
          </w:p>
        </w:tc>
        <w:tc>
          <w:tcPr>
            <w:tcW w:w="714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2540" w:type="dxa"/>
            <w:vAlign w:val="bottom"/>
            <w:gridSpan w:val="3"/>
          </w:tcPr>
          <w:p>
            <w:pPr>
              <w:ind w:left="22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4"/>
        </w:trPr>
        <w:tc>
          <w:tcPr>
            <w:tcW w:w="880" w:type="dxa"/>
            <w:vAlign w:val="bottom"/>
            <w:vMerge w:val="continue"/>
          </w:tcPr>
          <w:p>
            <w:pPr>
              <w:spacing w:after="0"/>
              <w:rPr>
                <w:sz w:val="14"/>
                <w:szCs w:val="14"/>
                <w:color w:val="auto"/>
              </w:rPr>
            </w:pPr>
          </w:p>
        </w:tc>
        <w:tc>
          <w:tcPr>
            <w:tcW w:w="7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140"/>
              <w:spacing w:after="0" w:line="165" w:lineRule="exact"/>
              <w:rPr>
                <w:sz w:val="20"/>
                <w:szCs w:val="20"/>
                <w:color w:val="auto"/>
              </w:rPr>
            </w:pPr>
            <w:r>
              <w:rPr>
                <w:rFonts w:ascii="Arial" w:cs="Arial" w:eastAsia="Arial" w:hAnsi="Arial"/>
                <w:sz w:val="16"/>
                <w:szCs w:val="16"/>
                <w:b w:val="1"/>
                <w:bCs w:val="1"/>
                <w:color w:val="auto"/>
              </w:rPr>
              <w:t>Period</w:t>
            </w:r>
          </w:p>
        </w:tc>
        <w:tc>
          <w:tcPr>
            <w:tcW w:w="8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0" w:type="dxa"/>
            <w:vAlign w:val="bottom"/>
          </w:tcPr>
          <w:p>
            <w:pPr>
              <w:spacing w:after="0"/>
              <w:rPr>
                <w:sz w:val="1"/>
                <w:szCs w:val="1"/>
                <w:color w:val="auto"/>
              </w:rPr>
            </w:pPr>
          </w:p>
        </w:tc>
      </w:tr>
      <w:tr>
        <w:trPr>
          <w:trHeight w:val="207"/>
        </w:trPr>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71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Exhibit Description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Ending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184"/>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3 (a)</w:t>
            </w:r>
          </w:p>
        </w:tc>
        <w:tc>
          <w:tcPr>
            <w:tcW w:w="7140" w:type="dxa"/>
            <w:vAlign w:val="bottom"/>
          </w:tcPr>
          <w:p>
            <w:pPr>
              <w:ind w:left="100"/>
              <w:spacing w:after="0"/>
              <w:rPr>
                <w:sz w:val="20"/>
                <w:szCs w:val="20"/>
                <w:color w:val="auto"/>
              </w:rPr>
            </w:pPr>
            <w:r>
              <w:rPr>
                <w:rFonts w:ascii="Arial" w:cs="Arial" w:eastAsia="Arial" w:hAnsi="Arial"/>
                <w:sz w:val="16"/>
                <w:szCs w:val="16"/>
                <w:color w:val="auto"/>
              </w:rPr>
              <w:t>Certificate of Incorporation of Company</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8-A, File</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9/7/88</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No. 1-</w:t>
            </w: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10026</w:t>
            </w: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3 (b)</w:t>
            </w:r>
          </w:p>
        </w:tc>
        <w:tc>
          <w:tcPr>
            <w:tcW w:w="7140" w:type="dxa"/>
            <w:vAlign w:val="bottom"/>
          </w:tcPr>
          <w:p>
            <w:pPr>
              <w:ind w:left="100"/>
              <w:spacing w:after="0"/>
              <w:rPr>
                <w:sz w:val="20"/>
                <w:szCs w:val="20"/>
                <w:color w:val="auto"/>
              </w:rPr>
            </w:pPr>
            <w:r>
              <w:rPr>
                <w:rFonts w:ascii="Arial" w:cs="Arial" w:eastAsia="Arial" w:hAnsi="Arial"/>
                <w:sz w:val="16"/>
                <w:szCs w:val="16"/>
                <w:color w:val="auto"/>
              </w:rPr>
              <w:t>Bylaws of Company</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2/23/11</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4 (a)</w:t>
            </w:r>
          </w:p>
        </w:tc>
        <w:tc>
          <w:tcPr>
            <w:tcW w:w="7140" w:type="dxa"/>
            <w:vAlign w:val="bottom"/>
          </w:tcPr>
          <w:p>
            <w:pPr>
              <w:ind w:left="100"/>
              <w:spacing w:after="0"/>
              <w:rPr>
                <w:sz w:val="20"/>
                <w:szCs w:val="20"/>
                <w:color w:val="auto"/>
              </w:rPr>
            </w:pPr>
            <w:r>
              <w:rPr>
                <w:rFonts w:ascii="Arial" w:cs="Arial" w:eastAsia="Arial" w:hAnsi="Arial"/>
                <w:sz w:val="16"/>
                <w:szCs w:val="16"/>
                <w:color w:val="auto"/>
              </w:rPr>
              <w:t>Article IV of Certificate of Incorporation of Company</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8-A, File</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9/7/88</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No. 1-</w:t>
            </w: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10026</w:t>
            </w: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4 (b)</w:t>
            </w:r>
          </w:p>
        </w:tc>
        <w:tc>
          <w:tcPr>
            <w:tcW w:w="7140" w:type="dxa"/>
            <w:vAlign w:val="bottom"/>
          </w:tcPr>
          <w:p>
            <w:pPr>
              <w:ind w:left="100"/>
              <w:spacing w:after="0"/>
              <w:rPr>
                <w:sz w:val="20"/>
                <w:szCs w:val="20"/>
                <w:color w:val="auto"/>
              </w:rPr>
            </w:pPr>
            <w:r>
              <w:rPr>
                <w:rFonts w:ascii="Arial" w:cs="Arial" w:eastAsia="Arial" w:hAnsi="Arial"/>
                <w:sz w:val="16"/>
                <w:szCs w:val="16"/>
                <w:color w:val="auto"/>
              </w:rPr>
              <w:t>Specimen Stock Certificate for Class A Common Stock</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S-1, No.</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9/30/87</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33-16254</w:t>
            </w: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4.1</w:t>
            </w:r>
          </w:p>
        </w:tc>
        <w:tc>
          <w:tcPr>
            <w:tcW w:w="7140" w:type="dxa"/>
            <w:vAlign w:val="bottom"/>
          </w:tcPr>
          <w:p>
            <w:pPr>
              <w:ind w:left="100"/>
              <w:spacing w:after="0"/>
              <w:rPr>
                <w:sz w:val="20"/>
                <w:szCs w:val="20"/>
                <w:color w:val="auto"/>
              </w:rPr>
            </w:pPr>
            <w:r>
              <w:rPr>
                <w:rFonts w:ascii="Arial" w:cs="Arial" w:eastAsia="Arial" w:hAnsi="Arial"/>
                <w:sz w:val="16"/>
                <w:szCs w:val="16"/>
                <w:color w:val="auto"/>
              </w:rPr>
              <w:t>Indenture, dated as of March 13, 2006, between the Company and JPMorgan Chase Bank, N.A.</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3/15/06</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4.2</w:t>
            </w:r>
          </w:p>
        </w:tc>
        <w:tc>
          <w:tcPr>
            <w:tcW w:w="7140" w:type="dxa"/>
            <w:vAlign w:val="bottom"/>
          </w:tcPr>
          <w:p>
            <w:pPr>
              <w:ind w:left="100"/>
              <w:spacing w:after="0"/>
              <w:rPr>
                <w:sz w:val="20"/>
                <w:szCs w:val="20"/>
                <w:color w:val="auto"/>
              </w:rPr>
            </w:pPr>
            <w:r>
              <w:rPr>
                <w:rFonts w:ascii="Arial" w:cs="Arial" w:eastAsia="Arial" w:hAnsi="Arial"/>
                <w:sz w:val="16"/>
                <w:szCs w:val="16"/>
                <w:color w:val="auto"/>
              </w:rPr>
              <w:t>Form of 2.25% convertible senior subordinated note due 2026</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3/15/06</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4.3</w:t>
            </w:r>
          </w:p>
        </w:tc>
        <w:tc>
          <w:tcPr>
            <w:tcW w:w="7140" w:type="dxa"/>
            <w:vAlign w:val="bottom"/>
          </w:tcPr>
          <w:p>
            <w:pPr>
              <w:ind w:left="100"/>
              <w:spacing w:after="0"/>
              <w:rPr>
                <w:sz w:val="20"/>
                <w:szCs w:val="20"/>
                <w:color w:val="auto"/>
              </w:rPr>
            </w:pPr>
            <w:r>
              <w:rPr>
                <w:rFonts w:ascii="Arial" w:cs="Arial" w:eastAsia="Arial" w:hAnsi="Arial"/>
                <w:sz w:val="16"/>
                <w:szCs w:val="16"/>
                <w:color w:val="auto"/>
              </w:rPr>
              <w:t>Registration Rights Agreement, dated as of March 13, 2006, between J.P. Morgan Securities,</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3/15/06</w:t>
            </w:r>
          </w:p>
        </w:tc>
        <w:tc>
          <w:tcPr>
            <w:tcW w:w="0" w:type="dxa"/>
            <w:vAlign w:val="bottom"/>
          </w:tcPr>
          <w:p>
            <w:pPr>
              <w:spacing w:after="0"/>
              <w:rPr>
                <w:sz w:val="1"/>
                <w:szCs w:val="1"/>
                <w:color w:val="auto"/>
              </w:rPr>
            </w:pPr>
          </w:p>
        </w:tc>
      </w:tr>
      <w:tr>
        <w:trPr>
          <w:trHeight w:val="187"/>
        </w:trPr>
        <w:tc>
          <w:tcPr>
            <w:tcW w:w="880" w:type="dxa"/>
            <w:vAlign w:val="bottom"/>
            <w:tcBorders>
              <w:left w:val="single" w:sz="8" w:color="auto"/>
              <w:bottom w:val="single" w:sz="8" w:color="auto"/>
            </w:tcBorders>
          </w:tcPr>
          <w:p>
            <w:pPr>
              <w:spacing w:after="0"/>
              <w:rPr>
                <w:sz w:val="16"/>
                <w:szCs w:val="16"/>
                <w:color w:val="auto"/>
              </w:rPr>
            </w:pPr>
          </w:p>
        </w:tc>
        <w:tc>
          <w:tcPr>
            <w:tcW w:w="71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Inc., Banc of America Securities LLC, other initial purchasers, and the Company</w:t>
            </w: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Borders>
              <w:left w:val="single" w:sz="8" w:color="auto"/>
              <w:bottom w:val="single" w:sz="8" w:color="auto"/>
            </w:tcBorders>
            <w:gridSpan w:val="2"/>
          </w:tcPr>
          <w:p>
            <w:pPr>
              <w:ind w:left="120"/>
              <w:spacing w:after="0" w:line="183" w:lineRule="exact"/>
              <w:rPr>
                <w:sz w:val="20"/>
                <w:szCs w:val="20"/>
                <w:color w:val="auto"/>
              </w:rPr>
            </w:pPr>
            <w:r>
              <w:rPr>
                <w:rFonts w:ascii="Arial" w:cs="Arial" w:eastAsia="Arial" w:hAnsi="Arial"/>
                <w:sz w:val="16"/>
                <w:szCs w:val="16"/>
                <w:b w:val="1"/>
                <w:bCs w:val="1"/>
                <w:color w:val="auto"/>
              </w:rPr>
              <w:t>Credit Agreement</w:t>
            </w:r>
          </w:p>
        </w:tc>
        <w:tc>
          <w:tcPr>
            <w:tcW w:w="9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10(k)(i)</w:t>
            </w:r>
          </w:p>
        </w:tc>
        <w:tc>
          <w:tcPr>
            <w:tcW w:w="7140" w:type="dxa"/>
            <w:vAlign w:val="bottom"/>
          </w:tcPr>
          <w:p>
            <w:pPr>
              <w:ind w:left="100"/>
              <w:spacing w:after="0"/>
              <w:rPr>
                <w:sz w:val="20"/>
                <w:szCs w:val="20"/>
                <w:color w:val="auto"/>
              </w:rPr>
            </w:pPr>
            <w:r>
              <w:rPr>
                <w:rFonts w:ascii="Arial" w:cs="Arial" w:eastAsia="Arial" w:hAnsi="Arial"/>
                <w:sz w:val="16"/>
                <w:szCs w:val="16"/>
                <w:color w:val="auto"/>
              </w:rPr>
              <w:t>Note Agreement and Guaranty between the Company and the Prudential Insurance Company of</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10/26/05</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America and certain other purchasers named therein, dated as of October 25, 2005</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10(k)(ii)</w:t>
            </w:r>
          </w:p>
        </w:tc>
        <w:tc>
          <w:tcPr>
            <w:tcW w:w="7140" w:type="dxa"/>
            <w:vAlign w:val="bottom"/>
          </w:tcPr>
          <w:p>
            <w:pPr>
              <w:ind w:left="100"/>
              <w:spacing w:after="0"/>
              <w:rPr>
                <w:sz w:val="20"/>
                <w:szCs w:val="20"/>
                <w:color w:val="auto"/>
              </w:rPr>
            </w:pPr>
            <w:r>
              <w:rPr>
                <w:rFonts w:ascii="Arial" w:cs="Arial" w:eastAsia="Arial" w:hAnsi="Arial"/>
                <w:sz w:val="16"/>
                <w:szCs w:val="16"/>
                <w:color w:val="auto"/>
              </w:rPr>
              <w:t>First Amendment, dated as of November 13, 2006, to Note Agreement and Guaranty</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11/17/06</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10(k)(iii)</w:t>
            </w:r>
          </w:p>
        </w:tc>
        <w:tc>
          <w:tcPr>
            <w:tcW w:w="7140" w:type="dxa"/>
            <w:vAlign w:val="bottom"/>
          </w:tcPr>
          <w:p>
            <w:pPr>
              <w:ind w:left="100"/>
              <w:spacing w:after="0"/>
              <w:rPr>
                <w:sz w:val="20"/>
                <w:szCs w:val="20"/>
                <w:color w:val="auto"/>
              </w:rPr>
            </w:pPr>
            <w:r>
              <w:rPr>
                <w:rFonts w:ascii="Arial" w:cs="Arial" w:eastAsia="Arial" w:hAnsi="Arial"/>
                <w:sz w:val="16"/>
                <w:szCs w:val="16"/>
                <w:color w:val="auto"/>
              </w:rPr>
              <w:t>Second Amendment, dated as of April 27, 2007, to Note Agreement and Guaranty</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5/3/07</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10(k)(iv)</w:t>
            </w:r>
          </w:p>
        </w:tc>
        <w:tc>
          <w:tcPr>
            <w:tcW w:w="7140" w:type="dxa"/>
            <w:vAlign w:val="bottom"/>
          </w:tcPr>
          <w:p>
            <w:pPr>
              <w:ind w:left="100"/>
              <w:spacing w:after="0"/>
              <w:rPr>
                <w:sz w:val="20"/>
                <w:szCs w:val="20"/>
                <w:color w:val="auto"/>
              </w:rPr>
            </w:pPr>
            <w:r>
              <w:rPr>
                <w:rFonts w:ascii="Arial" w:cs="Arial" w:eastAsia="Arial" w:hAnsi="Arial"/>
                <w:sz w:val="16"/>
                <w:szCs w:val="16"/>
                <w:color w:val="auto"/>
              </w:rPr>
              <w:t>Third Amendment, dated as of December 16, 2008, to Note Agreement and Amendment to</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12/19/08</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Notes</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10(k)(v)</w:t>
            </w:r>
          </w:p>
        </w:tc>
        <w:tc>
          <w:tcPr>
            <w:tcW w:w="7140" w:type="dxa"/>
            <w:vAlign w:val="bottom"/>
          </w:tcPr>
          <w:p>
            <w:pPr>
              <w:ind w:left="100"/>
              <w:spacing w:after="0"/>
              <w:rPr>
                <w:sz w:val="20"/>
                <w:szCs w:val="20"/>
                <w:color w:val="auto"/>
              </w:rPr>
            </w:pPr>
            <w:r>
              <w:rPr>
                <w:rFonts w:ascii="Arial" w:cs="Arial" w:eastAsia="Arial" w:hAnsi="Arial"/>
                <w:sz w:val="16"/>
                <w:szCs w:val="16"/>
                <w:color w:val="auto"/>
              </w:rPr>
              <w:t>Fourth Amendment, dated as of October 22, 2009, to Note Agreement and Amendment to Notes</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2/12/10</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10(k)(vi)</w:t>
            </w:r>
          </w:p>
        </w:tc>
        <w:tc>
          <w:tcPr>
            <w:tcW w:w="7140" w:type="dxa"/>
            <w:vAlign w:val="bottom"/>
          </w:tcPr>
          <w:p>
            <w:pPr>
              <w:ind w:left="100"/>
              <w:spacing w:after="0"/>
              <w:rPr>
                <w:sz w:val="20"/>
                <w:szCs w:val="20"/>
                <w:color w:val="auto"/>
              </w:rPr>
            </w:pPr>
            <w:r>
              <w:rPr>
                <w:rFonts w:ascii="Arial" w:cs="Arial" w:eastAsia="Arial" w:hAnsi="Arial"/>
                <w:sz w:val="16"/>
                <w:szCs w:val="16"/>
                <w:color w:val="auto"/>
              </w:rPr>
              <w:t>Fifth Amendment, dated as of February 10, 2010, to Note Agreement and Amendment to Notes</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2/12/10</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10(k)(vii)</w:t>
            </w:r>
          </w:p>
        </w:tc>
        <w:tc>
          <w:tcPr>
            <w:tcW w:w="7140" w:type="dxa"/>
            <w:vAlign w:val="bottom"/>
          </w:tcPr>
          <w:p>
            <w:pPr>
              <w:ind w:left="100"/>
              <w:spacing w:after="0"/>
              <w:rPr>
                <w:sz w:val="20"/>
                <w:szCs w:val="20"/>
                <w:color w:val="auto"/>
              </w:rPr>
            </w:pPr>
            <w:r>
              <w:rPr>
                <w:rFonts w:ascii="Arial" w:cs="Arial" w:eastAsia="Arial" w:hAnsi="Arial"/>
                <w:sz w:val="16"/>
                <w:szCs w:val="16"/>
                <w:color w:val="auto"/>
              </w:rPr>
              <w:t>Sixth Amendment, dated as of September 17, 2010, to Note Agreement, amending and restating</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9/23/10</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the Note Agreement as of July 16, 2010 (the “Amended and Restated Note Agreement”)</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10(k)(viii)</w:t>
            </w:r>
          </w:p>
        </w:tc>
        <w:tc>
          <w:tcPr>
            <w:tcW w:w="7140" w:type="dxa"/>
            <w:vAlign w:val="bottom"/>
          </w:tcPr>
          <w:p>
            <w:pPr>
              <w:ind w:left="100"/>
              <w:spacing w:after="0"/>
              <w:rPr>
                <w:sz w:val="20"/>
                <w:szCs w:val="20"/>
                <w:color w:val="auto"/>
              </w:rPr>
            </w:pPr>
            <w:r>
              <w:rPr>
                <w:rFonts w:ascii="Arial" w:cs="Arial" w:eastAsia="Arial" w:hAnsi="Arial"/>
                <w:sz w:val="16"/>
                <w:szCs w:val="16"/>
                <w:color w:val="auto"/>
              </w:rPr>
              <w:t>$390 Million Five-Year Revolving Credit Facility Agreement among Albany International Corp.,</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7/19/10</w:t>
            </w:r>
          </w:p>
        </w:tc>
        <w:tc>
          <w:tcPr>
            <w:tcW w:w="0" w:type="dxa"/>
            <w:vAlign w:val="bottom"/>
          </w:tcPr>
          <w:p>
            <w:pPr>
              <w:spacing w:after="0"/>
              <w:rPr>
                <w:sz w:val="1"/>
                <w:szCs w:val="1"/>
                <w:color w:val="auto"/>
              </w:rPr>
            </w:pPr>
          </w:p>
        </w:tc>
      </w:tr>
      <w:tr>
        <w:trPr>
          <w:trHeight w:val="186"/>
        </w:trPr>
        <w:tc>
          <w:tcPr>
            <w:tcW w:w="880" w:type="dxa"/>
            <w:vAlign w:val="bottom"/>
            <w:tcBorders>
              <w:left w:val="single" w:sz="8" w:color="auto"/>
            </w:tcBorders>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the other Borrowers named therein, the Lenders Party thereto, JPMorgan Chase Bank, N.A., as</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Borders>
              <w:left w:val="single" w:sz="8" w:color="auto"/>
            </w:tcBorders>
          </w:tcPr>
          <w:p>
            <w:pPr>
              <w:spacing w:after="0"/>
              <w:rPr>
                <w:sz w:val="17"/>
                <w:szCs w:val="17"/>
                <w:color w:val="auto"/>
              </w:rPr>
            </w:pPr>
          </w:p>
        </w:tc>
        <w:tc>
          <w:tcPr>
            <w:tcW w:w="7140" w:type="dxa"/>
            <w:vAlign w:val="bottom"/>
          </w:tcPr>
          <w:p>
            <w:pPr>
              <w:ind w:left="100"/>
              <w:spacing w:after="0" w:line="202" w:lineRule="exact"/>
              <w:rPr>
                <w:sz w:val="20"/>
                <w:szCs w:val="20"/>
                <w:color w:val="auto"/>
              </w:rPr>
            </w:pPr>
            <w:r>
              <w:rPr>
                <w:rFonts w:ascii="Arial" w:cs="Arial" w:eastAsia="Arial" w:hAnsi="Arial"/>
                <w:sz w:val="16"/>
                <w:szCs w:val="16"/>
                <w:color w:val="auto"/>
              </w:rPr>
              <w:t xml:space="preserve">Administrative </w:t>
            </w:r>
            <w:r>
              <w:rPr>
                <w:rFonts w:ascii="Arial" w:cs="Arial" w:eastAsia="Arial" w:hAnsi="Arial"/>
                <w:sz w:val="18"/>
                <w:szCs w:val="18"/>
                <w:color w:val="auto"/>
              </w:rPr>
              <w:t>Agent, JPMorgan Chase Bank, N.A., Toronto Branch, as Canadian Agent</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tcBorders>
              <w:left w:val="single" w:sz="8" w:color="auto"/>
            </w:tcBorders>
          </w:tcPr>
          <w:p>
            <w:pPr>
              <w:spacing w:after="0"/>
              <w:rPr>
                <w:sz w:val="17"/>
                <w:szCs w:val="17"/>
                <w:color w:val="auto"/>
              </w:rPr>
            </w:pPr>
          </w:p>
        </w:tc>
        <w:tc>
          <w:tcPr>
            <w:tcW w:w="7140" w:type="dxa"/>
            <w:vAlign w:val="bottom"/>
          </w:tcPr>
          <w:p>
            <w:pPr>
              <w:ind w:left="100"/>
              <w:spacing w:after="0" w:line="206" w:lineRule="exact"/>
              <w:rPr>
                <w:sz w:val="20"/>
                <w:szCs w:val="20"/>
                <w:color w:val="auto"/>
              </w:rPr>
            </w:pPr>
            <w:r>
              <w:rPr>
                <w:rFonts w:ascii="Arial" w:cs="Arial" w:eastAsia="Arial" w:hAnsi="Arial"/>
                <w:sz w:val="18"/>
                <w:szCs w:val="18"/>
                <w:color w:val="auto"/>
              </w:rPr>
              <w:t>and J.P.Morgan Europe Limited, as London Agent, dated as of July 16, 2010</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10(k)(ix)</w:t>
            </w:r>
          </w:p>
        </w:tc>
        <w:tc>
          <w:tcPr>
            <w:tcW w:w="7140" w:type="dxa"/>
            <w:vAlign w:val="bottom"/>
          </w:tcPr>
          <w:p>
            <w:pPr>
              <w:ind w:left="100"/>
              <w:spacing w:after="0"/>
              <w:rPr>
                <w:sz w:val="20"/>
                <w:szCs w:val="20"/>
                <w:color w:val="auto"/>
              </w:rPr>
            </w:pPr>
            <w:r>
              <w:rPr>
                <w:rFonts w:ascii="Arial" w:cs="Arial" w:eastAsia="Arial" w:hAnsi="Arial"/>
                <w:sz w:val="16"/>
                <w:szCs w:val="16"/>
                <w:color w:val="auto"/>
              </w:rPr>
              <w:t>First Amendment, dated as of February 6, 2012, to Five-Year Revolving Credit Facility</w:t>
            </w:r>
          </w:p>
        </w:tc>
        <w:tc>
          <w:tcPr>
            <w:tcW w:w="9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Pr>
          <w:p>
            <w:pPr>
              <w:spacing w:after="0"/>
              <w:rPr>
                <w:sz w:val="16"/>
                <w:szCs w:val="16"/>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2/9/12</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tcBorders>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Agreement</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10(k)(x)</w:t>
            </w:r>
          </w:p>
        </w:tc>
        <w:tc>
          <w:tcPr>
            <w:tcW w:w="71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First Amendment, dated as of February 17, 2012, to Amended and Restated Note Agreement</w:t>
            </w:r>
          </w:p>
        </w:tc>
        <w:tc>
          <w:tcPr>
            <w:tcW w:w="9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8-K</w:t>
            </w: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2/22/12</w:t>
            </w:r>
          </w:p>
        </w:tc>
        <w:tc>
          <w:tcPr>
            <w:tcW w:w="0" w:type="dxa"/>
            <w:vAlign w:val="bottom"/>
          </w:tcPr>
          <w:p>
            <w:pPr>
              <w:spacing w:after="0"/>
              <w:rPr>
                <w:sz w:val="1"/>
                <w:szCs w:val="1"/>
                <w:color w:val="auto"/>
              </w:rPr>
            </w:pPr>
          </w:p>
        </w:tc>
      </w:tr>
      <w:tr>
        <w:trPr>
          <w:trHeight w:val="804"/>
        </w:trPr>
        <w:tc>
          <w:tcPr>
            <w:tcW w:w="880" w:type="dxa"/>
            <w:vAlign w:val="bottom"/>
          </w:tcPr>
          <w:p>
            <w:pPr>
              <w:spacing w:after="0"/>
              <w:rPr>
                <w:sz w:val="24"/>
                <w:szCs w:val="24"/>
                <w:color w:val="auto"/>
              </w:rPr>
            </w:pPr>
          </w:p>
        </w:tc>
        <w:tc>
          <w:tcPr>
            <w:tcW w:w="7140" w:type="dxa"/>
            <w:vAlign w:val="bottom"/>
          </w:tcPr>
          <w:p>
            <w:pPr>
              <w:ind w:left="4740"/>
              <w:spacing w:after="0"/>
              <w:rPr>
                <w:sz w:val="20"/>
                <w:szCs w:val="20"/>
                <w:color w:val="auto"/>
              </w:rPr>
            </w:pPr>
            <w:r>
              <w:rPr>
                <w:rFonts w:ascii="Arial" w:cs="Arial" w:eastAsia="Arial" w:hAnsi="Arial"/>
                <w:sz w:val="18"/>
                <w:szCs w:val="18"/>
                <w:color w:val="auto"/>
              </w:rPr>
              <w:t>94</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auto"/>
            </w:tcBorders>
          </w:tcPr>
          <w:p>
            <w:pPr>
              <w:spacing w:after="0"/>
              <w:rPr>
                <w:sz w:val="17"/>
                <w:szCs w:val="17"/>
                <w:color w:val="auto"/>
              </w:rPr>
            </w:pPr>
          </w:p>
        </w:tc>
        <w:tc>
          <w:tcPr>
            <w:tcW w:w="7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38" w:right="219" w:bottom="1440" w:gutter="0" w:footer="0" w:header="0"/>
        </w:sectPr>
      </w:pPr>
    </w:p>
    <w:bookmarkStart w:id="94" w:name="page95"/>
    <w:bookmarkEnd w:id="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2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Exhibit</w:t>
            </w:r>
          </w:p>
        </w:tc>
        <w:tc>
          <w:tcPr>
            <w:tcW w:w="4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4"/>
        </w:trPr>
        <w:tc>
          <w:tcPr>
            <w:tcW w:w="12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Period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60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Exhibit Description</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Ending</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83"/>
        </w:trPr>
        <w:tc>
          <w:tcPr>
            <w:tcW w:w="7320" w:type="dxa"/>
            <w:vAlign w:val="bottom"/>
            <w:tcBorders>
              <w:left w:val="single" w:sz="8" w:color="auto"/>
              <w:bottom w:val="single" w:sz="8" w:color="auto"/>
            </w:tcBorders>
            <w:gridSpan w:val="3"/>
          </w:tcPr>
          <w:p>
            <w:pPr>
              <w:ind w:left="120"/>
              <w:spacing w:after="0" w:line="183" w:lineRule="exact"/>
              <w:rPr>
                <w:sz w:val="20"/>
                <w:szCs w:val="20"/>
                <w:color w:val="auto"/>
              </w:rPr>
            </w:pPr>
            <w:r>
              <w:rPr>
                <w:rFonts w:ascii="Arial" w:cs="Arial" w:eastAsia="Arial" w:hAnsi="Arial"/>
                <w:sz w:val="16"/>
                <w:szCs w:val="16"/>
                <w:b w:val="1"/>
                <w:bCs w:val="1"/>
                <w:color w:val="auto"/>
              </w:rPr>
              <w:t>Restricted Stock Units</w:t>
            </w:r>
          </w:p>
        </w:tc>
        <w:tc>
          <w:tcPr>
            <w:tcW w:w="10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10(l)(i)</w:t>
            </w:r>
          </w:p>
        </w:tc>
        <w:tc>
          <w:tcPr>
            <w:tcW w:w="460" w:type="dxa"/>
            <w:vAlign w:val="bottom"/>
          </w:tcPr>
          <w:p>
            <w:pPr>
              <w:ind w:left="80"/>
              <w:spacing w:after="0"/>
              <w:rPr>
                <w:sz w:val="20"/>
                <w:szCs w:val="20"/>
                <w:color w:val="auto"/>
              </w:rPr>
            </w:pPr>
            <w:r>
              <w:rPr>
                <w:rFonts w:ascii="Arial" w:cs="Arial" w:eastAsia="Arial" w:hAnsi="Arial"/>
                <w:sz w:val="16"/>
                <w:szCs w:val="16"/>
                <w:color w:val="auto"/>
              </w:rPr>
              <w:t>2003</w:t>
            </w:r>
          </w:p>
        </w:tc>
        <w:tc>
          <w:tcPr>
            <w:tcW w:w="5580" w:type="dxa"/>
            <w:vAlign w:val="bottom"/>
          </w:tcPr>
          <w:p>
            <w:pPr>
              <w:ind w:left="20"/>
              <w:spacing w:after="0"/>
              <w:rPr>
                <w:sz w:val="20"/>
                <w:szCs w:val="20"/>
                <w:color w:val="auto"/>
              </w:rPr>
            </w:pPr>
            <w:r>
              <w:rPr>
                <w:rFonts w:ascii="Arial" w:cs="Arial" w:eastAsia="Arial" w:hAnsi="Arial"/>
                <w:sz w:val="16"/>
                <w:szCs w:val="16"/>
                <w:color w:val="auto"/>
              </w:rPr>
              <w:t>Restricted Stock Unit Plan, as adopted November 13, 2003</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10(l)(ii)</w:t>
            </w:r>
          </w:p>
        </w:tc>
        <w:tc>
          <w:tcPr>
            <w:tcW w:w="460" w:type="dxa"/>
            <w:vAlign w:val="bottom"/>
          </w:tcPr>
          <w:p>
            <w:pPr>
              <w:ind w:left="80"/>
              <w:spacing w:after="0"/>
              <w:rPr>
                <w:sz w:val="20"/>
                <w:szCs w:val="20"/>
                <w:color w:val="auto"/>
              </w:rPr>
            </w:pPr>
            <w:r>
              <w:rPr>
                <w:rFonts w:ascii="Arial" w:cs="Arial" w:eastAsia="Arial" w:hAnsi="Arial"/>
                <w:sz w:val="16"/>
                <w:szCs w:val="16"/>
                <w:color w:val="auto"/>
              </w:rPr>
              <w:t>2003</w:t>
            </w:r>
          </w:p>
        </w:tc>
        <w:tc>
          <w:tcPr>
            <w:tcW w:w="5580" w:type="dxa"/>
            <w:vAlign w:val="bottom"/>
          </w:tcPr>
          <w:p>
            <w:pPr>
              <w:ind w:left="20"/>
              <w:spacing w:after="0"/>
              <w:rPr>
                <w:sz w:val="20"/>
                <w:szCs w:val="20"/>
                <w:color w:val="auto"/>
              </w:rPr>
            </w:pPr>
            <w:r>
              <w:rPr>
                <w:rFonts w:ascii="Arial" w:cs="Arial" w:eastAsia="Arial" w:hAnsi="Arial"/>
                <w:sz w:val="16"/>
                <w:szCs w:val="16"/>
                <w:color w:val="auto"/>
              </w:rPr>
              <w:t>Form of Restricted Stock Unit Award, as adopted November 13, 2003</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11/5/04</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10(l)(iii)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Amendment No. 1, dated as of November 30, 2005, to the 2003 Restricted Stock</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12/6/05</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Unit Plan</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10(l)(iv)</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Amendment No. 2, dated as of February 15, 2006, to the 2003 Restricted Stock</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2/21/06</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Unit Plan</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10(l)(v)</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Restricted Stock Unit Award for units granted on February 15, 2008</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2/21/08</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10(l)(vi)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Amended and Restated 2003 Restricted Stock Unit Plan as adopted on May 7,</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5/13/08</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6"/>
                <w:szCs w:val="16"/>
                <w:color w:val="auto"/>
              </w:rPr>
              <w:t>2008</w:t>
            </w:r>
          </w:p>
        </w:tc>
        <w:tc>
          <w:tcPr>
            <w:tcW w:w="5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10(l)(vii)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Restricted Stock Unit Award for units granted on July 8, 2009</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7/2/09</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10(l)(viii)</w:t>
            </w:r>
          </w:p>
        </w:tc>
        <w:tc>
          <w:tcPr>
            <w:tcW w:w="460" w:type="dxa"/>
            <w:vAlign w:val="bottom"/>
          </w:tcPr>
          <w:p>
            <w:pPr>
              <w:ind w:left="80"/>
              <w:spacing w:after="0"/>
              <w:rPr>
                <w:sz w:val="20"/>
                <w:szCs w:val="20"/>
                <w:color w:val="auto"/>
              </w:rPr>
            </w:pPr>
            <w:r>
              <w:rPr>
                <w:rFonts w:ascii="Arial" w:cs="Arial" w:eastAsia="Arial" w:hAnsi="Arial"/>
                <w:sz w:val="16"/>
                <w:szCs w:val="16"/>
                <w:color w:val="auto"/>
              </w:rPr>
              <w:t>2011</w:t>
            </w:r>
          </w:p>
        </w:tc>
        <w:tc>
          <w:tcPr>
            <w:tcW w:w="5580" w:type="dxa"/>
            <w:vAlign w:val="bottom"/>
          </w:tcPr>
          <w:p>
            <w:pPr>
              <w:ind w:left="20"/>
              <w:spacing w:after="0"/>
              <w:rPr>
                <w:sz w:val="20"/>
                <w:szCs w:val="20"/>
                <w:color w:val="auto"/>
              </w:rPr>
            </w:pPr>
            <w:r>
              <w:rPr>
                <w:rFonts w:ascii="Arial" w:cs="Arial" w:eastAsia="Arial" w:hAnsi="Arial"/>
                <w:sz w:val="16"/>
                <w:szCs w:val="16"/>
                <w:color w:val="auto"/>
              </w:rPr>
              <w:t>Performance Phantom Stock Plan as adopted on May 26, 2011. (42)</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960" w:type="dxa"/>
            <w:vAlign w:val="bottom"/>
          </w:tcPr>
          <w:p>
            <w:pPr>
              <w:jc w:val="center"/>
              <w:spacing w:after="0"/>
              <w:rPr>
                <w:sz w:val="20"/>
                <w:szCs w:val="20"/>
                <w:color w:val="auto"/>
              </w:rPr>
            </w:pPr>
            <w:r>
              <w:rPr>
                <w:rFonts w:ascii="Arial" w:cs="Arial" w:eastAsia="Arial" w:hAnsi="Arial"/>
                <w:sz w:val="16"/>
                <w:szCs w:val="16"/>
                <w:color w:val="auto"/>
              </w:rPr>
              <w:t>6/30/11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8/9/11</w:t>
            </w:r>
          </w:p>
        </w:tc>
        <w:tc>
          <w:tcPr>
            <w:tcW w:w="0" w:type="dxa"/>
            <w:vAlign w:val="bottom"/>
          </w:tcPr>
          <w:p>
            <w:pPr>
              <w:spacing w:after="0"/>
              <w:rPr>
                <w:sz w:val="1"/>
                <w:szCs w:val="1"/>
                <w:color w:val="auto"/>
              </w:rPr>
            </w:pPr>
          </w:p>
        </w:tc>
      </w:tr>
      <w:tr>
        <w:trPr>
          <w:trHeight w:val="187"/>
        </w:trPr>
        <w:tc>
          <w:tcPr>
            <w:tcW w:w="1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10(l)(ix)</w:t>
            </w:r>
          </w:p>
        </w:tc>
        <w:tc>
          <w:tcPr>
            <w:tcW w:w="60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Form of Restricted Stock Unit Award for units granted on February 17, 2012</w:t>
            </w: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2/24/12</w:t>
            </w: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Stock Options</w:t>
            </w:r>
          </w:p>
        </w:tc>
        <w:tc>
          <w:tcPr>
            <w:tcW w:w="460" w:type="dxa"/>
            <w:vAlign w:val="bottom"/>
            <w:tcBorders>
              <w:bottom w:val="single" w:sz="8" w:color="auto"/>
            </w:tcBorders>
          </w:tcPr>
          <w:p>
            <w:pPr>
              <w:spacing w:after="0"/>
              <w:rPr>
                <w:sz w:val="15"/>
                <w:szCs w:val="15"/>
                <w:color w:val="auto"/>
              </w:rPr>
            </w:pPr>
          </w:p>
        </w:tc>
        <w:tc>
          <w:tcPr>
            <w:tcW w:w="5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Stock Option Agreement, dated as of August 1, 1983, between the</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S-1, No.</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9/30/87</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Company and each of five employees, together with schedule showing the</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33-16254</w:t>
            </w: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names of such employees and the material differences among the Stock Option</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Agreements with such employees</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10(m)(ii)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Amendment of Stock Option Agreement, dated as of July 1, 1987,</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S-1, No.</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9/30/87</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between the Company and each of the five employees identified in the schedule</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33-16254</w:t>
            </w: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referred to as Exhibit 10(m)(i)</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10(m)(iii)</w:t>
            </w:r>
          </w:p>
        </w:tc>
        <w:tc>
          <w:tcPr>
            <w:tcW w:w="460" w:type="dxa"/>
            <w:vAlign w:val="bottom"/>
          </w:tcPr>
          <w:p>
            <w:pPr>
              <w:ind w:left="80"/>
              <w:spacing w:after="0"/>
              <w:rPr>
                <w:sz w:val="20"/>
                <w:szCs w:val="20"/>
                <w:color w:val="auto"/>
              </w:rPr>
            </w:pPr>
            <w:r>
              <w:rPr>
                <w:rFonts w:ascii="Arial" w:cs="Arial" w:eastAsia="Arial" w:hAnsi="Arial"/>
                <w:sz w:val="16"/>
                <w:szCs w:val="16"/>
                <w:color w:val="auto"/>
              </w:rPr>
              <w:t>1992</w:t>
            </w:r>
          </w:p>
        </w:tc>
        <w:tc>
          <w:tcPr>
            <w:tcW w:w="5580" w:type="dxa"/>
            <w:vAlign w:val="bottom"/>
          </w:tcPr>
          <w:p>
            <w:pPr>
              <w:ind w:left="20"/>
              <w:spacing w:after="0"/>
              <w:rPr>
                <w:sz w:val="20"/>
                <w:szCs w:val="20"/>
                <w:color w:val="auto"/>
              </w:rPr>
            </w:pPr>
            <w:r>
              <w:rPr>
                <w:rFonts w:ascii="Arial" w:cs="Arial" w:eastAsia="Arial" w:hAnsi="Arial"/>
                <w:sz w:val="16"/>
                <w:szCs w:val="16"/>
                <w:color w:val="auto"/>
              </w:rPr>
              <w:t>Stock Option Plan</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1/18/93</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10(m)(iv)</w:t>
            </w:r>
          </w:p>
        </w:tc>
        <w:tc>
          <w:tcPr>
            <w:tcW w:w="460" w:type="dxa"/>
            <w:vAlign w:val="bottom"/>
          </w:tcPr>
          <w:p>
            <w:pPr>
              <w:ind w:left="80"/>
              <w:spacing w:after="0"/>
              <w:rPr>
                <w:sz w:val="20"/>
                <w:szCs w:val="20"/>
                <w:color w:val="auto"/>
              </w:rPr>
            </w:pPr>
            <w:r>
              <w:rPr>
                <w:rFonts w:ascii="Arial" w:cs="Arial" w:eastAsia="Arial" w:hAnsi="Arial"/>
                <w:sz w:val="16"/>
                <w:szCs w:val="16"/>
                <w:color w:val="auto"/>
              </w:rPr>
              <w:t>1997</w:t>
            </w:r>
          </w:p>
        </w:tc>
        <w:tc>
          <w:tcPr>
            <w:tcW w:w="5580" w:type="dxa"/>
            <w:vAlign w:val="bottom"/>
          </w:tcPr>
          <w:p>
            <w:pPr>
              <w:ind w:left="20"/>
              <w:spacing w:after="0"/>
              <w:rPr>
                <w:sz w:val="20"/>
                <w:szCs w:val="20"/>
                <w:color w:val="auto"/>
              </w:rPr>
            </w:pPr>
            <w:r>
              <w:rPr>
                <w:rFonts w:ascii="Arial" w:cs="Arial" w:eastAsia="Arial" w:hAnsi="Arial"/>
                <w:sz w:val="16"/>
                <w:szCs w:val="16"/>
                <w:color w:val="auto"/>
              </w:rPr>
              <w:t>Executive Stock Option Agreement</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960" w:type="dxa"/>
            <w:vAlign w:val="bottom"/>
          </w:tcPr>
          <w:p>
            <w:pPr>
              <w:jc w:val="center"/>
              <w:spacing w:after="0"/>
              <w:rPr>
                <w:sz w:val="20"/>
                <w:szCs w:val="20"/>
                <w:color w:val="auto"/>
              </w:rPr>
            </w:pPr>
            <w:r>
              <w:rPr>
                <w:rFonts w:ascii="Arial" w:cs="Arial" w:eastAsia="Arial" w:hAnsi="Arial"/>
                <w:sz w:val="16"/>
                <w:szCs w:val="16"/>
                <w:color w:val="auto"/>
              </w:rPr>
              <w:t>12/31/97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3/16/98</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10(m)(v)</w:t>
            </w:r>
          </w:p>
        </w:tc>
        <w:tc>
          <w:tcPr>
            <w:tcW w:w="460" w:type="dxa"/>
            <w:vAlign w:val="bottom"/>
          </w:tcPr>
          <w:p>
            <w:pPr>
              <w:ind w:left="80"/>
              <w:spacing w:after="0"/>
              <w:rPr>
                <w:sz w:val="20"/>
                <w:szCs w:val="20"/>
                <w:color w:val="auto"/>
              </w:rPr>
            </w:pPr>
            <w:r>
              <w:rPr>
                <w:rFonts w:ascii="Arial" w:cs="Arial" w:eastAsia="Arial" w:hAnsi="Arial"/>
                <w:sz w:val="16"/>
                <w:szCs w:val="16"/>
                <w:color w:val="auto"/>
              </w:rPr>
              <w:t>1998</w:t>
            </w:r>
          </w:p>
        </w:tc>
        <w:tc>
          <w:tcPr>
            <w:tcW w:w="5580" w:type="dxa"/>
            <w:vAlign w:val="bottom"/>
          </w:tcPr>
          <w:p>
            <w:pPr>
              <w:ind w:left="20"/>
              <w:spacing w:after="0"/>
              <w:rPr>
                <w:sz w:val="20"/>
                <w:szCs w:val="20"/>
                <w:color w:val="auto"/>
              </w:rPr>
            </w:pPr>
            <w:r>
              <w:rPr>
                <w:rFonts w:ascii="Arial" w:cs="Arial" w:eastAsia="Arial" w:hAnsi="Arial"/>
                <w:sz w:val="16"/>
                <w:szCs w:val="16"/>
                <w:color w:val="auto"/>
              </w:rPr>
              <w:t>Stock Option Plan</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960" w:type="dxa"/>
            <w:vAlign w:val="bottom"/>
          </w:tcPr>
          <w:p>
            <w:pPr>
              <w:jc w:val="center"/>
              <w:spacing w:after="0"/>
              <w:rPr>
                <w:sz w:val="20"/>
                <w:szCs w:val="20"/>
                <w:color w:val="auto"/>
              </w:rPr>
            </w:pPr>
            <w:r>
              <w:rPr>
                <w:rFonts w:ascii="Arial" w:cs="Arial" w:eastAsia="Arial" w:hAnsi="Arial"/>
                <w:sz w:val="16"/>
                <w:szCs w:val="16"/>
                <w:color w:val="auto"/>
              </w:rPr>
              <w:t>6/30/98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8/10/98</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10(m)(vi)</w:t>
            </w:r>
          </w:p>
        </w:tc>
        <w:tc>
          <w:tcPr>
            <w:tcW w:w="460" w:type="dxa"/>
            <w:vAlign w:val="bottom"/>
          </w:tcPr>
          <w:p>
            <w:pPr>
              <w:ind w:left="80"/>
              <w:spacing w:after="0"/>
              <w:rPr>
                <w:sz w:val="20"/>
                <w:szCs w:val="20"/>
                <w:color w:val="auto"/>
              </w:rPr>
            </w:pPr>
            <w:r>
              <w:rPr>
                <w:rFonts w:ascii="Arial" w:cs="Arial" w:eastAsia="Arial" w:hAnsi="Arial"/>
                <w:sz w:val="16"/>
                <w:szCs w:val="16"/>
                <w:color w:val="auto"/>
              </w:rPr>
              <w:t>1998</w:t>
            </w:r>
          </w:p>
        </w:tc>
        <w:tc>
          <w:tcPr>
            <w:tcW w:w="5580" w:type="dxa"/>
            <w:vAlign w:val="bottom"/>
          </w:tcPr>
          <w:p>
            <w:pPr>
              <w:ind w:left="20"/>
              <w:spacing w:after="0"/>
              <w:rPr>
                <w:sz w:val="20"/>
                <w:szCs w:val="20"/>
                <w:color w:val="auto"/>
              </w:rPr>
            </w:pPr>
            <w:r>
              <w:rPr>
                <w:rFonts w:ascii="Arial" w:cs="Arial" w:eastAsia="Arial" w:hAnsi="Arial"/>
                <w:sz w:val="16"/>
                <w:szCs w:val="16"/>
                <w:color w:val="auto"/>
              </w:rPr>
              <w:t>Stock Option Plan, as amended and restated as of August 7, 2003</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12/23/09</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10(m)(vii)</w:t>
            </w:r>
          </w:p>
        </w:tc>
        <w:tc>
          <w:tcPr>
            <w:tcW w:w="460" w:type="dxa"/>
            <w:vAlign w:val="bottom"/>
          </w:tcPr>
          <w:p>
            <w:pPr>
              <w:ind w:left="80"/>
              <w:spacing w:after="0"/>
              <w:rPr>
                <w:sz w:val="20"/>
                <w:szCs w:val="20"/>
                <w:color w:val="auto"/>
              </w:rPr>
            </w:pPr>
            <w:r>
              <w:rPr>
                <w:rFonts w:ascii="Arial" w:cs="Arial" w:eastAsia="Arial" w:hAnsi="Arial"/>
                <w:sz w:val="16"/>
                <w:szCs w:val="16"/>
                <w:color w:val="auto"/>
              </w:rPr>
              <w:t>2005</w:t>
            </w:r>
          </w:p>
        </w:tc>
        <w:tc>
          <w:tcPr>
            <w:tcW w:w="5580" w:type="dxa"/>
            <w:vAlign w:val="bottom"/>
          </w:tcPr>
          <w:p>
            <w:pPr>
              <w:ind w:left="20"/>
              <w:spacing w:after="0"/>
              <w:rPr>
                <w:sz w:val="20"/>
                <w:szCs w:val="20"/>
                <w:color w:val="auto"/>
              </w:rPr>
            </w:pPr>
            <w:r>
              <w:rPr>
                <w:rFonts w:ascii="Arial" w:cs="Arial" w:eastAsia="Arial" w:hAnsi="Arial"/>
                <w:sz w:val="16"/>
                <w:szCs w:val="16"/>
                <w:color w:val="auto"/>
              </w:rPr>
              <w:t>Incentive Plan</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5/18/05</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10(m)(viii)</w:t>
            </w:r>
          </w:p>
        </w:tc>
        <w:tc>
          <w:tcPr>
            <w:tcW w:w="460" w:type="dxa"/>
            <w:vAlign w:val="bottom"/>
          </w:tcPr>
          <w:p>
            <w:pPr>
              <w:ind w:left="80"/>
              <w:spacing w:after="0"/>
              <w:rPr>
                <w:sz w:val="20"/>
                <w:szCs w:val="20"/>
                <w:color w:val="auto"/>
              </w:rPr>
            </w:pPr>
            <w:r>
              <w:rPr>
                <w:rFonts w:ascii="Arial" w:cs="Arial" w:eastAsia="Arial" w:hAnsi="Arial"/>
                <w:sz w:val="16"/>
                <w:szCs w:val="16"/>
                <w:color w:val="auto"/>
              </w:rPr>
              <w:t>2011</w:t>
            </w:r>
          </w:p>
        </w:tc>
        <w:tc>
          <w:tcPr>
            <w:tcW w:w="5580" w:type="dxa"/>
            <w:vAlign w:val="bottom"/>
          </w:tcPr>
          <w:p>
            <w:pPr>
              <w:ind w:left="20"/>
              <w:spacing w:after="0"/>
              <w:rPr>
                <w:sz w:val="20"/>
                <w:szCs w:val="20"/>
                <w:color w:val="auto"/>
              </w:rPr>
            </w:pPr>
            <w:r>
              <w:rPr>
                <w:rFonts w:ascii="Arial" w:cs="Arial" w:eastAsia="Arial" w:hAnsi="Arial"/>
                <w:sz w:val="16"/>
                <w:szCs w:val="16"/>
                <w:color w:val="auto"/>
              </w:rPr>
              <w:t>Incentive Plan</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6/1/11</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10(m)(ix)</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Amendment No. 1, dated as of December 5, 2007, to the Albany International</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12/5/07</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spacing w:after="0"/>
              <w:rPr>
                <w:sz w:val="16"/>
                <w:szCs w:val="16"/>
                <w:color w:val="auto"/>
              </w:rPr>
            </w:pP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Corp. 2005 Incentive Plan</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10(m)(x)</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2008 Performance Bonus Agreement</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2/21/08</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10(m)(xi)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2009 Performance Bonus Agreement</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3/4/09</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10(m)(xii)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2010 Annual Performance Bonus Agreement</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3/31/10</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10(m)(xiii)</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2010 Multi-Year Performance Bonus Agreement</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3/31/10</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10(m)(xiv)</w:t>
            </w:r>
          </w:p>
        </w:tc>
        <w:tc>
          <w:tcPr>
            <w:tcW w:w="6040" w:type="dxa"/>
            <w:vAlign w:val="bottom"/>
            <w:gridSpan w:val="2"/>
          </w:tcPr>
          <w:p>
            <w:pPr>
              <w:ind w:left="80"/>
              <w:spacing w:after="0"/>
              <w:rPr>
                <w:sz w:val="20"/>
                <w:szCs w:val="20"/>
                <w:color w:val="auto"/>
              </w:rPr>
            </w:pPr>
            <w:r>
              <w:rPr>
                <w:rFonts w:ascii="Arial" w:cs="Arial" w:eastAsia="Arial" w:hAnsi="Arial"/>
                <w:sz w:val="16"/>
                <w:szCs w:val="16"/>
                <w:color w:val="auto"/>
              </w:rPr>
              <w:t>Form of 2011 Annual Performance Bonus Agreement</w:t>
            </w: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3/29/11</w:t>
            </w:r>
          </w:p>
        </w:tc>
        <w:tc>
          <w:tcPr>
            <w:tcW w:w="0" w:type="dxa"/>
            <w:vAlign w:val="bottom"/>
          </w:tcPr>
          <w:p>
            <w:pPr>
              <w:spacing w:after="0"/>
              <w:rPr>
                <w:sz w:val="1"/>
                <w:szCs w:val="1"/>
                <w:color w:val="auto"/>
              </w:rPr>
            </w:pPr>
          </w:p>
        </w:tc>
      </w:tr>
      <w:tr>
        <w:trPr>
          <w:trHeight w:val="187"/>
        </w:trPr>
        <w:tc>
          <w:tcPr>
            <w:tcW w:w="1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10(m)(xv)</w:t>
            </w:r>
          </w:p>
        </w:tc>
        <w:tc>
          <w:tcPr>
            <w:tcW w:w="60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Form of 2011 Multi-Year Performance Bonus Agreement</w:t>
            </w: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3/29/11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07"/>
        </w:trPr>
        <w:tc>
          <w:tcPr>
            <w:tcW w:w="10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Exhibit</w:t>
            </w:r>
          </w:p>
        </w:tc>
        <w:tc>
          <w:tcPr>
            <w:tcW w:w="626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4"/>
        </w:trPr>
        <w:tc>
          <w:tcPr>
            <w:tcW w:w="1080" w:type="dxa"/>
            <w:vAlign w:val="bottom"/>
            <w:vMerge w:val="continue"/>
          </w:tcPr>
          <w:p>
            <w:pPr>
              <w:spacing w:after="0"/>
              <w:rPr>
                <w:sz w:val="14"/>
                <w:szCs w:val="14"/>
                <w:color w:val="auto"/>
              </w:rPr>
            </w:pPr>
          </w:p>
        </w:tc>
        <w:tc>
          <w:tcPr>
            <w:tcW w:w="6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Period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62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Exhibit 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Form</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Ending</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83"/>
        </w:trPr>
        <w:tc>
          <w:tcPr>
            <w:tcW w:w="7340" w:type="dxa"/>
            <w:vAlign w:val="bottom"/>
            <w:tcBorders>
              <w:left w:val="single" w:sz="8" w:color="auto"/>
              <w:bottom w:val="single" w:sz="8" w:color="auto"/>
            </w:tcBorders>
            <w:gridSpan w:val="2"/>
          </w:tcPr>
          <w:p>
            <w:pPr>
              <w:ind w:left="120"/>
              <w:spacing w:after="0" w:line="183" w:lineRule="exact"/>
              <w:rPr>
                <w:sz w:val="20"/>
                <w:szCs w:val="20"/>
                <w:color w:val="auto"/>
              </w:rPr>
            </w:pPr>
            <w:r>
              <w:rPr>
                <w:rFonts w:ascii="Arial" w:cs="Arial" w:eastAsia="Arial" w:hAnsi="Arial"/>
                <w:sz w:val="16"/>
                <w:szCs w:val="16"/>
                <w:b w:val="1"/>
                <w:bCs w:val="1"/>
                <w:color w:val="auto"/>
              </w:rPr>
              <w:t>Executive Compensation</w:t>
            </w:r>
          </w:p>
        </w:tc>
        <w:tc>
          <w:tcPr>
            <w:tcW w:w="1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10(n)(i)</w:t>
            </w:r>
          </w:p>
        </w:tc>
        <w:tc>
          <w:tcPr>
            <w:tcW w:w="6260" w:type="dxa"/>
            <w:vAlign w:val="bottom"/>
          </w:tcPr>
          <w:p>
            <w:pPr>
              <w:ind w:left="280"/>
              <w:spacing w:after="0"/>
              <w:rPr>
                <w:sz w:val="20"/>
                <w:szCs w:val="20"/>
                <w:color w:val="auto"/>
              </w:rPr>
            </w:pPr>
            <w:r>
              <w:rPr>
                <w:rFonts w:ascii="Arial" w:cs="Arial" w:eastAsia="Arial" w:hAnsi="Arial"/>
                <w:sz w:val="16"/>
                <w:szCs w:val="16"/>
                <w:color w:val="auto"/>
              </w:rPr>
              <w:t>Pension Equalization Plan adopted April 16, 1986, naming two current executive</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S-1, No.</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9/30/87</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officers and one former executive officer of Company as "Participants" thereunder</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33-16254</w:t>
            </w: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10(n)(ii)</w:t>
            </w:r>
          </w:p>
        </w:tc>
        <w:tc>
          <w:tcPr>
            <w:tcW w:w="6260" w:type="dxa"/>
            <w:vAlign w:val="bottom"/>
          </w:tcPr>
          <w:p>
            <w:pPr>
              <w:ind w:left="280"/>
              <w:spacing w:after="0"/>
              <w:rPr>
                <w:sz w:val="20"/>
                <w:szCs w:val="20"/>
                <w:color w:val="auto"/>
              </w:rPr>
            </w:pPr>
            <w:r>
              <w:rPr>
                <w:rFonts w:ascii="Arial" w:cs="Arial" w:eastAsia="Arial" w:hAnsi="Arial"/>
                <w:sz w:val="16"/>
                <w:szCs w:val="16"/>
                <w:color w:val="auto"/>
              </w:rPr>
              <w:t>Supplemental Executive Retirement Plan, adopted as of January 1, 1994, as</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amended and restated as of January 1, 2008</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10(n)(iii)</w:t>
            </w:r>
          </w:p>
        </w:tc>
        <w:tc>
          <w:tcPr>
            <w:tcW w:w="6260" w:type="dxa"/>
            <w:vAlign w:val="bottom"/>
          </w:tcPr>
          <w:p>
            <w:pPr>
              <w:ind w:left="280"/>
              <w:spacing w:after="0"/>
              <w:rPr>
                <w:sz w:val="20"/>
                <w:szCs w:val="20"/>
                <w:color w:val="auto"/>
              </w:rPr>
            </w:pPr>
            <w:r>
              <w:rPr>
                <w:rFonts w:ascii="Arial" w:cs="Arial" w:eastAsia="Arial" w:hAnsi="Arial"/>
                <w:sz w:val="16"/>
                <w:szCs w:val="16"/>
                <w:color w:val="auto"/>
              </w:rPr>
              <w:t>Annual Bonus Program</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S-1, No.</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9/30/87</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33-16254</w:t>
            </w: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10(o)(i)</w:t>
            </w:r>
          </w:p>
        </w:tc>
        <w:tc>
          <w:tcPr>
            <w:tcW w:w="6260" w:type="dxa"/>
            <w:vAlign w:val="bottom"/>
          </w:tcPr>
          <w:p>
            <w:pPr>
              <w:ind w:left="280"/>
              <w:spacing w:after="0"/>
              <w:rPr>
                <w:sz w:val="20"/>
                <w:szCs w:val="20"/>
                <w:color w:val="auto"/>
              </w:rPr>
            </w:pPr>
            <w:r>
              <w:rPr>
                <w:rFonts w:ascii="Arial" w:cs="Arial" w:eastAsia="Arial" w:hAnsi="Arial"/>
                <w:sz w:val="16"/>
                <w:szCs w:val="16"/>
                <w:color w:val="auto"/>
              </w:rPr>
              <w:t>Form of Executive Deferred Compensation Plan adopted September 1, 1985, as</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960" w:type="dxa"/>
            <w:vAlign w:val="bottom"/>
          </w:tcPr>
          <w:p>
            <w:pPr>
              <w:jc w:val="center"/>
              <w:spacing w:after="0"/>
              <w:rPr>
                <w:sz w:val="20"/>
                <w:szCs w:val="20"/>
                <w:color w:val="auto"/>
              </w:rPr>
            </w:pPr>
            <w:r>
              <w:rPr>
                <w:rFonts w:ascii="Arial" w:cs="Arial" w:eastAsia="Arial" w:hAnsi="Arial"/>
                <w:sz w:val="16"/>
                <w:szCs w:val="16"/>
                <w:color w:val="auto"/>
              </w:rPr>
              <w:t>9/30/01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11/12/01</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amended and restated as of August 8, 2001</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10(o)(ii)</w:t>
            </w:r>
          </w:p>
        </w:tc>
        <w:tc>
          <w:tcPr>
            <w:tcW w:w="6260" w:type="dxa"/>
            <w:vAlign w:val="bottom"/>
          </w:tcPr>
          <w:p>
            <w:pPr>
              <w:ind w:left="280"/>
              <w:spacing w:after="0"/>
              <w:rPr>
                <w:sz w:val="20"/>
                <w:szCs w:val="20"/>
                <w:color w:val="auto"/>
              </w:rPr>
            </w:pPr>
            <w:r>
              <w:rPr>
                <w:rFonts w:ascii="Arial" w:cs="Arial" w:eastAsia="Arial" w:hAnsi="Arial"/>
                <w:sz w:val="16"/>
                <w:szCs w:val="16"/>
                <w:color w:val="auto"/>
              </w:rPr>
              <w:t>Form of Directors’ Deferred Compensation Plan adopted September 1, 1985, as</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960" w:type="dxa"/>
            <w:vAlign w:val="bottom"/>
          </w:tcPr>
          <w:p>
            <w:pPr>
              <w:jc w:val="center"/>
              <w:spacing w:after="0"/>
              <w:rPr>
                <w:sz w:val="20"/>
                <w:szCs w:val="20"/>
                <w:color w:val="auto"/>
              </w:rPr>
            </w:pPr>
            <w:r>
              <w:rPr>
                <w:rFonts w:ascii="Arial" w:cs="Arial" w:eastAsia="Arial" w:hAnsi="Arial"/>
                <w:sz w:val="16"/>
                <w:szCs w:val="16"/>
                <w:color w:val="auto"/>
              </w:rPr>
              <w:t>9/30/01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11/12/01</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amended and restated as of August 8, 2001</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10(o)(iii)</w:t>
            </w:r>
          </w:p>
        </w:tc>
        <w:tc>
          <w:tcPr>
            <w:tcW w:w="6260" w:type="dxa"/>
            <w:vAlign w:val="bottom"/>
          </w:tcPr>
          <w:p>
            <w:pPr>
              <w:ind w:left="280"/>
              <w:spacing w:after="0"/>
              <w:rPr>
                <w:sz w:val="20"/>
                <w:szCs w:val="20"/>
                <w:color w:val="auto"/>
              </w:rPr>
            </w:pPr>
            <w:r>
              <w:rPr>
                <w:rFonts w:ascii="Arial" w:cs="Arial" w:eastAsia="Arial" w:hAnsi="Arial"/>
                <w:sz w:val="16"/>
                <w:szCs w:val="16"/>
                <w:color w:val="auto"/>
              </w:rPr>
              <w:t>Deferred Compensation Plan of Albany International Corp., as amended and</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10-K</w:t>
            </w:r>
          </w:p>
        </w:tc>
        <w:tc>
          <w:tcPr>
            <w:tcW w:w="960" w:type="dxa"/>
            <w:vAlign w:val="bottom"/>
          </w:tcPr>
          <w:p>
            <w:pPr>
              <w:jc w:val="center"/>
              <w:spacing w:after="0"/>
              <w:rPr>
                <w:sz w:val="20"/>
                <w:szCs w:val="20"/>
                <w:color w:val="auto"/>
              </w:rPr>
            </w:pPr>
            <w:r>
              <w:rPr>
                <w:rFonts w:ascii="Arial" w:cs="Arial" w:eastAsia="Arial" w:hAnsi="Arial"/>
                <w:sz w:val="16"/>
                <w:szCs w:val="16"/>
                <w:color w:val="auto"/>
              </w:rPr>
              <w:t>12/31/02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3/21/03</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restated as of August 8, 2001</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10(o)(iv)</w:t>
            </w:r>
          </w:p>
        </w:tc>
        <w:tc>
          <w:tcPr>
            <w:tcW w:w="6260" w:type="dxa"/>
            <w:vAlign w:val="bottom"/>
          </w:tcPr>
          <w:p>
            <w:pPr>
              <w:ind w:left="280"/>
              <w:spacing w:after="0"/>
              <w:rPr>
                <w:sz w:val="20"/>
                <w:szCs w:val="20"/>
                <w:color w:val="auto"/>
              </w:rPr>
            </w:pPr>
            <w:r>
              <w:rPr>
                <w:rFonts w:ascii="Arial" w:cs="Arial" w:eastAsia="Arial" w:hAnsi="Arial"/>
                <w:sz w:val="16"/>
                <w:szCs w:val="16"/>
                <w:color w:val="auto"/>
              </w:rPr>
              <w:t>Centennial Deferred Compensation Plan, as amended and restated as of August</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960" w:type="dxa"/>
            <w:vAlign w:val="bottom"/>
          </w:tcPr>
          <w:p>
            <w:pPr>
              <w:jc w:val="center"/>
              <w:spacing w:after="0"/>
              <w:rPr>
                <w:sz w:val="20"/>
                <w:szCs w:val="20"/>
                <w:color w:val="auto"/>
              </w:rPr>
            </w:pPr>
            <w:r>
              <w:rPr>
                <w:rFonts w:ascii="Arial" w:cs="Arial" w:eastAsia="Arial" w:hAnsi="Arial"/>
                <w:sz w:val="16"/>
                <w:szCs w:val="16"/>
                <w:color w:val="auto"/>
              </w:rPr>
              <w:t>9/30/01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11/12/01</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8, 2001</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10(o)(v)</w:t>
            </w:r>
          </w:p>
        </w:tc>
        <w:tc>
          <w:tcPr>
            <w:tcW w:w="6260" w:type="dxa"/>
            <w:vAlign w:val="bottom"/>
          </w:tcPr>
          <w:p>
            <w:pPr>
              <w:ind w:left="280"/>
              <w:spacing w:after="0"/>
              <w:rPr>
                <w:sz w:val="20"/>
                <w:szCs w:val="20"/>
                <w:color w:val="auto"/>
              </w:rPr>
            </w:pPr>
            <w:r>
              <w:rPr>
                <w:rFonts w:ascii="Arial" w:cs="Arial" w:eastAsia="Arial" w:hAnsi="Arial"/>
                <w:sz w:val="16"/>
                <w:szCs w:val="16"/>
                <w:color w:val="auto"/>
              </w:rPr>
              <w:t>Directors’ Annual Retainer Plan, as amended and restated as of December 8,</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12/23/09</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2009</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10(o)(vi)</w:t>
            </w:r>
          </w:p>
        </w:tc>
        <w:tc>
          <w:tcPr>
            <w:tcW w:w="6260" w:type="dxa"/>
            <w:vAlign w:val="bottom"/>
          </w:tcPr>
          <w:p>
            <w:pPr>
              <w:ind w:left="280"/>
              <w:spacing w:after="0"/>
              <w:rPr>
                <w:sz w:val="20"/>
                <w:szCs w:val="20"/>
                <w:color w:val="auto"/>
              </w:rPr>
            </w:pPr>
            <w:r>
              <w:rPr>
                <w:rFonts w:ascii="Arial" w:cs="Arial" w:eastAsia="Arial" w:hAnsi="Arial"/>
                <w:sz w:val="16"/>
                <w:szCs w:val="16"/>
                <w:color w:val="auto"/>
              </w:rPr>
              <w:t>Excerpt from the Company’s Corporate Governance Guidelines describing</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960" w:type="dxa"/>
            <w:vAlign w:val="bottom"/>
          </w:tcPr>
          <w:p>
            <w:pPr>
              <w:jc w:val="center"/>
              <w:spacing w:after="0"/>
              <w:rPr>
                <w:sz w:val="20"/>
                <w:szCs w:val="20"/>
                <w:color w:val="auto"/>
              </w:rPr>
            </w:pPr>
            <w:r>
              <w:rPr>
                <w:rFonts w:ascii="Arial" w:cs="Arial" w:eastAsia="Arial" w:hAnsi="Arial"/>
                <w:sz w:val="16"/>
                <w:szCs w:val="16"/>
                <w:color w:val="auto"/>
              </w:rPr>
              <w:t>3/31/11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5/6/11</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director compensation</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10(o)(vii)</w:t>
            </w:r>
          </w:p>
        </w:tc>
        <w:tc>
          <w:tcPr>
            <w:tcW w:w="6260" w:type="dxa"/>
            <w:vAlign w:val="bottom"/>
          </w:tcPr>
          <w:p>
            <w:pPr>
              <w:ind w:left="280"/>
              <w:spacing w:after="0"/>
              <w:rPr>
                <w:sz w:val="20"/>
                <w:szCs w:val="20"/>
                <w:color w:val="auto"/>
              </w:rPr>
            </w:pPr>
            <w:r>
              <w:rPr>
                <w:rFonts w:ascii="Arial" w:cs="Arial" w:eastAsia="Arial" w:hAnsi="Arial"/>
                <w:sz w:val="16"/>
                <w:szCs w:val="16"/>
                <w:color w:val="auto"/>
              </w:rPr>
              <w:t>Excerpt from the Company’s Corporate Governance Guidelines describing</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5/15/08</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director compensation</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10(o)(viii)</w:t>
            </w:r>
          </w:p>
        </w:tc>
        <w:tc>
          <w:tcPr>
            <w:tcW w:w="6260" w:type="dxa"/>
            <w:vAlign w:val="bottom"/>
          </w:tcPr>
          <w:p>
            <w:pPr>
              <w:ind w:left="280"/>
              <w:spacing w:after="0"/>
              <w:rPr>
                <w:sz w:val="20"/>
                <w:szCs w:val="20"/>
                <w:color w:val="auto"/>
              </w:rPr>
            </w:pPr>
            <w:r>
              <w:rPr>
                <w:rFonts w:ascii="Arial" w:cs="Arial" w:eastAsia="Arial" w:hAnsi="Arial"/>
                <w:sz w:val="16"/>
                <w:szCs w:val="16"/>
                <w:color w:val="auto"/>
              </w:rPr>
              <w:t>Severance Agreement between Albany International Corp. and Michael Burke</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7/2/09</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10(o)(ix)</w:t>
            </w:r>
          </w:p>
        </w:tc>
        <w:tc>
          <w:tcPr>
            <w:tcW w:w="6260" w:type="dxa"/>
            <w:vAlign w:val="bottom"/>
          </w:tcPr>
          <w:p>
            <w:pPr>
              <w:ind w:left="280"/>
              <w:spacing w:after="0"/>
              <w:rPr>
                <w:sz w:val="20"/>
                <w:szCs w:val="20"/>
                <w:color w:val="auto"/>
              </w:rPr>
            </w:pPr>
            <w:r>
              <w:rPr>
                <w:rFonts w:ascii="Arial" w:cs="Arial" w:eastAsia="Arial" w:hAnsi="Arial"/>
                <w:sz w:val="16"/>
                <w:szCs w:val="16"/>
                <w:color w:val="auto"/>
              </w:rPr>
              <w:t>Executive Separation Agreement between Albany International Corp. and</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10-Q</w:t>
            </w:r>
          </w:p>
        </w:tc>
        <w:tc>
          <w:tcPr>
            <w:tcW w:w="960" w:type="dxa"/>
            <w:vAlign w:val="bottom"/>
          </w:tcPr>
          <w:p>
            <w:pPr>
              <w:jc w:val="center"/>
              <w:spacing w:after="0"/>
              <w:rPr>
                <w:sz w:val="20"/>
                <w:szCs w:val="20"/>
                <w:color w:val="auto"/>
              </w:rPr>
            </w:pPr>
            <w:r>
              <w:rPr>
                <w:rFonts w:ascii="Arial" w:cs="Arial" w:eastAsia="Arial" w:hAnsi="Arial"/>
                <w:sz w:val="16"/>
                <w:szCs w:val="16"/>
                <w:color w:val="auto"/>
              </w:rPr>
              <w:t>6/30/09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8/7/09</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Michael C. Nahl</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10(o)(x)</w:t>
            </w:r>
          </w:p>
        </w:tc>
        <w:tc>
          <w:tcPr>
            <w:tcW w:w="6260" w:type="dxa"/>
            <w:vAlign w:val="bottom"/>
          </w:tcPr>
          <w:p>
            <w:pPr>
              <w:ind w:left="280"/>
              <w:spacing w:after="0"/>
              <w:rPr>
                <w:sz w:val="20"/>
                <w:szCs w:val="20"/>
                <w:color w:val="auto"/>
              </w:rPr>
            </w:pPr>
            <w:r>
              <w:rPr>
                <w:rFonts w:ascii="Arial" w:cs="Arial" w:eastAsia="Arial" w:hAnsi="Arial"/>
                <w:sz w:val="16"/>
                <w:szCs w:val="16"/>
                <w:color w:val="auto"/>
              </w:rPr>
              <w:t>Executive Separation Agreement between Albany International Corp. and</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11/1/11</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spacing w:after="0"/>
              <w:rPr>
                <w:sz w:val="16"/>
                <w:szCs w:val="16"/>
                <w:color w:val="auto"/>
              </w:rPr>
            </w:pPr>
          </w:p>
        </w:tc>
        <w:tc>
          <w:tcPr>
            <w:tcW w:w="6260" w:type="dxa"/>
            <w:vAlign w:val="bottom"/>
          </w:tcPr>
          <w:p>
            <w:pPr>
              <w:ind w:left="280"/>
              <w:spacing w:after="0"/>
              <w:rPr>
                <w:sz w:val="20"/>
                <w:szCs w:val="20"/>
                <w:color w:val="auto"/>
              </w:rPr>
            </w:pPr>
            <w:r>
              <w:rPr>
                <w:rFonts w:ascii="Arial" w:cs="Arial" w:eastAsia="Arial" w:hAnsi="Arial"/>
                <w:sz w:val="16"/>
                <w:szCs w:val="16"/>
                <w:color w:val="auto"/>
              </w:rPr>
              <w:t>Michael J. Joyce</w:t>
            </w: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10(o)(xi)</w:t>
            </w:r>
          </w:p>
        </w:tc>
        <w:tc>
          <w:tcPr>
            <w:tcW w:w="6260" w:type="dxa"/>
            <w:vAlign w:val="bottom"/>
          </w:tcPr>
          <w:p>
            <w:pPr>
              <w:ind w:left="280"/>
              <w:spacing w:after="0"/>
              <w:rPr>
                <w:sz w:val="20"/>
                <w:szCs w:val="20"/>
                <w:color w:val="auto"/>
              </w:rPr>
            </w:pPr>
            <w:r>
              <w:rPr>
                <w:rFonts w:ascii="Arial" w:cs="Arial" w:eastAsia="Arial" w:hAnsi="Arial"/>
                <w:sz w:val="16"/>
                <w:szCs w:val="16"/>
                <w:color w:val="auto"/>
              </w:rPr>
              <w:t>Form of Severance Agreement between Albany International Corp. and certain</w:t>
            </w:r>
          </w:p>
        </w:tc>
        <w:tc>
          <w:tcPr>
            <w:tcW w:w="10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8-K</w:t>
            </w:r>
          </w:p>
        </w:tc>
        <w:tc>
          <w:tcPr>
            <w:tcW w:w="960" w:type="dxa"/>
            <w:vAlign w:val="bottom"/>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bottom w:val="single" w:sz="8" w:color="auto"/>
            </w:tcBorders>
          </w:tcPr>
          <w:p>
            <w:pPr>
              <w:spacing w:after="0"/>
              <w:rPr>
                <w:sz w:val="16"/>
                <w:szCs w:val="16"/>
                <w:color w:val="auto"/>
              </w:rPr>
            </w:pPr>
          </w:p>
        </w:tc>
        <w:tc>
          <w:tcPr>
            <w:tcW w:w="62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corporate officers or key executives</w:t>
            </w: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621" w:right="21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207"/>
        </w:trPr>
        <w:tc>
          <w:tcPr>
            <w:tcW w:w="13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Exhibit</w:t>
            </w:r>
          </w:p>
        </w:tc>
        <w:tc>
          <w:tcPr>
            <w:tcW w:w="60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4"/>
        </w:trPr>
        <w:tc>
          <w:tcPr>
            <w:tcW w:w="1300" w:type="dxa"/>
            <w:vAlign w:val="bottom"/>
            <w:vMerge w:val="continue"/>
          </w:tcPr>
          <w:p>
            <w:pPr>
              <w:spacing w:after="0"/>
              <w:rPr>
                <w:sz w:val="14"/>
                <w:szCs w:val="14"/>
                <w:color w:val="auto"/>
              </w:rPr>
            </w:pPr>
          </w:p>
        </w:tc>
        <w:tc>
          <w:tcPr>
            <w:tcW w:w="60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center"/>
              <w:ind w:left="19"/>
              <w:spacing w:after="0" w:line="165" w:lineRule="exact"/>
              <w:rPr>
                <w:sz w:val="20"/>
                <w:szCs w:val="20"/>
                <w:color w:val="auto"/>
              </w:rPr>
            </w:pPr>
            <w:r>
              <w:rPr>
                <w:rFonts w:ascii="Arial" w:cs="Arial" w:eastAsia="Arial" w:hAnsi="Arial"/>
                <w:sz w:val="16"/>
                <w:szCs w:val="16"/>
                <w:b w:val="1"/>
                <w:bCs w:val="1"/>
                <w:color w:val="auto"/>
              </w:rPr>
              <w:t>Period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9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Ending</w:t>
            </w: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83"/>
        </w:trPr>
        <w:tc>
          <w:tcPr>
            <w:tcW w:w="1300" w:type="dxa"/>
            <w:vAlign w:val="bottom"/>
            <w:tcBorders>
              <w:left w:val="single" w:sz="8" w:color="auto"/>
              <w:bottom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Other Exhibits</w:t>
            </w:r>
          </w:p>
        </w:tc>
        <w:tc>
          <w:tcPr>
            <w:tcW w:w="60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10(p)</w:t>
            </w:r>
          </w:p>
        </w:tc>
        <w:tc>
          <w:tcPr>
            <w:tcW w:w="6040" w:type="dxa"/>
            <w:vAlign w:val="bottom"/>
          </w:tcPr>
          <w:p>
            <w:pPr>
              <w:ind w:left="60"/>
              <w:spacing w:after="0"/>
              <w:rPr>
                <w:sz w:val="20"/>
                <w:szCs w:val="20"/>
                <w:color w:val="auto"/>
              </w:rPr>
            </w:pPr>
            <w:r>
              <w:rPr>
                <w:rFonts w:ascii="Arial" w:cs="Arial" w:eastAsia="Arial" w:hAnsi="Arial"/>
                <w:sz w:val="16"/>
                <w:szCs w:val="16"/>
                <w:color w:val="auto"/>
              </w:rPr>
              <w:t>Code of Ethics</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10(q)</w:t>
            </w:r>
          </w:p>
        </w:tc>
        <w:tc>
          <w:tcPr>
            <w:tcW w:w="6040" w:type="dxa"/>
            <w:vAlign w:val="bottom"/>
          </w:tcPr>
          <w:p>
            <w:pPr>
              <w:ind w:left="60"/>
              <w:spacing w:after="0"/>
              <w:rPr>
                <w:sz w:val="20"/>
                <w:szCs w:val="20"/>
                <w:color w:val="auto"/>
              </w:rPr>
            </w:pPr>
            <w:r>
              <w:rPr>
                <w:rFonts w:ascii="Arial" w:cs="Arial" w:eastAsia="Arial" w:hAnsi="Arial"/>
                <w:sz w:val="16"/>
                <w:szCs w:val="16"/>
                <w:color w:val="auto"/>
              </w:rPr>
              <w:t>Directors Pension Plan, amendment dated as of January 12, 2005</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1/13/05</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10(r)</w:t>
            </w:r>
          </w:p>
        </w:tc>
        <w:tc>
          <w:tcPr>
            <w:tcW w:w="6040" w:type="dxa"/>
            <w:vAlign w:val="bottom"/>
          </w:tcPr>
          <w:p>
            <w:pPr>
              <w:ind w:left="60"/>
              <w:spacing w:after="0"/>
              <w:rPr>
                <w:sz w:val="20"/>
                <w:szCs w:val="20"/>
                <w:color w:val="auto"/>
              </w:rPr>
            </w:pPr>
            <w:r>
              <w:rPr>
                <w:rFonts w:ascii="Arial" w:cs="Arial" w:eastAsia="Arial" w:hAnsi="Arial"/>
                <w:sz w:val="16"/>
                <w:szCs w:val="16"/>
                <w:color w:val="auto"/>
              </w:rPr>
              <w:t>Employment agreement, dated May 12, 2005, between the Company and Joseph</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5/18/05</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G. Morone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10(s)</w:t>
            </w:r>
          </w:p>
        </w:tc>
        <w:tc>
          <w:tcPr>
            <w:tcW w:w="6040" w:type="dxa"/>
            <w:vAlign w:val="bottom"/>
          </w:tcPr>
          <w:p>
            <w:pPr>
              <w:ind w:left="60"/>
              <w:spacing w:after="0"/>
              <w:rPr>
                <w:sz w:val="20"/>
                <w:szCs w:val="20"/>
                <w:color w:val="auto"/>
              </w:rPr>
            </w:pPr>
            <w:r>
              <w:rPr>
                <w:rFonts w:ascii="Arial" w:cs="Arial" w:eastAsia="Arial" w:hAnsi="Arial"/>
                <w:sz w:val="16"/>
                <w:szCs w:val="16"/>
                <w:color w:val="auto"/>
              </w:rPr>
              <w:t>Form of Indemnification Agreement</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2/23/11</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10.1</w:t>
            </w:r>
          </w:p>
        </w:tc>
        <w:tc>
          <w:tcPr>
            <w:tcW w:w="6040" w:type="dxa"/>
            <w:vAlign w:val="bottom"/>
          </w:tcPr>
          <w:p>
            <w:pPr>
              <w:ind w:left="60"/>
              <w:spacing w:after="0"/>
              <w:rPr>
                <w:sz w:val="20"/>
                <w:szCs w:val="20"/>
                <w:color w:val="auto"/>
              </w:rPr>
            </w:pPr>
            <w:r>
              <w:rPr>
                <w:rFonts w:ascii="Arial" w:cs="Arial" w:eastAsia="Arial" w:hAnsi="Arial"/>
                <w:sz w:val="16"/>
                <w:szCs w:val="16"/>
                <w:color w:val="auto"/>
              </w:rPr>
              <w:t>Convertible note hedge transaction confirmations, dated as of March 7, 2006, by</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3/15/06</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and between JPMorgan Chase Bank, N.A., Bank of America, N.A., and the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Company</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10.2</w:t>
            </w:r>
          </w:p>
        </w:tc>
        <w:tc>
          <w:tcPr>
            <w:tcW w:w="6040" w:type="dxa"/>
            <w:vAlign w:val="bottom"/>
          </w:tcPr>
          <w:p>
            <w:pPr>
              <w:ind w:left="60"/>
              <w:spacing w:after="0"/>
              <w:rPr>
                <w:sz w:val="20"/>
                <w:szCs w:val="20"/>
                <w:color w:val="auto"/>
              </w:rPr>
            </w:pPr>
            <w:r>
              <w:rPr>
                <w:rFonts w:ascii="Arial" w:cs="Arial" w:eastAsia="Arial" w:hAnsi="Arial"/>
                <w:sz w:val="16"/>
                <w:szCs w:val="16"/>
                <w:color w:val="auto"/>
              </w:rPr>
              <w:t>Amendments, dated March 23, 2006, to convertible note hedge transaction</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3/29/06</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confirmations, dated as of March 7, 2006, by and between JPMorgan Chase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Bank, N.A., Bank of America, N.A., and the Company</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10.3</w:t>
            </w:r>
          </w:p>
        </w:tc>
        <w:tc>
          <w:tcPr>
            <w:tcW w:w="6040" w:type="dxa"/>
            <w:vAlign w:val="bottom"/>
          </w:tcPr>
          <w:p>
            <w:pPr>
              <w:ind w:left="60"/>
              <w:spacing w:after="0"/>
              <w:rPr>
                <w:sz w:val="20"/>
                <w:szCs w:val="20"/>
                <w:color w:val="auto"/>
              </w:rPr>
            </w:pPr>
            <w:r>
              <w:rPr>
                <w:rFonts w:ascii="Arial" w:cs="Arial" w:eastAsia="Arial" w:hAnsi="Arial"/>
                <w:sz w:val="16"/>
                <w:szCs w:val="16"/>
                <w:color w:val="auto"/>
              </w:rPr>
              <w:t>Warrant transaction confirmations, dated as of March 7, 2006, by and between</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3/15/06</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JPMorgan Chase Bank, N.A., Bank of America, N.A., and the Company</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10.4</w:t>
            </w:r>
          </w:p>
        </w:tc>
        <w:tc>
          <w:tcPr>
            <w:tcW w:w="6040" w:type="dxa"/>
            <w:vAlign w:val="bottom"/>
          </w:tcPr>
          <w:p>
            <w:pPr>
              <w:ind w:left="60"/>
              <w:spacing w:after="0"/>
              <w:rPr>
                <w:sz w:val="20"/>
                <w:szCs w:val="20"/>
                <w:color w:val="auto"/>
              </w:rPr>
            </w:pPr>
            <w:r>
              <w:rPr>
                <w:rFonts w:ascii="Arial" w:cs="Arial" w:eastAsia="Arial" w:hAnsi="Arial"/>
                <w:sz w:val="16"/>
                <w:szCs w:val="16"/>
                <w:color w:val="auto"/>
              </w:rPr>
              <w:t>Amendments, dated March 23, 2006, to warrant transaction confirmations, dated</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3/29/06</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as of March 7, 2006, by and between JPMorgan Chase Bank, N.A., Bank of</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America, N.A., and the Company</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10.5</w:t>
            </w:r>
          </w:p>
        </w:tc>
        <w:tc>
          <w:tcPr>
            <w:tcW w:w="6040" w:type="dxa"/>
            <w:vAlign w:val="bottom"/>
          </w:tcPr>
          <w:p>
            <w:pPr>
              <w:ind w:left="60"/>
              <w:spacing w:after="0"/>
              <w:rPr>
                <w:sz w:val="20"/>
                <w:szCs w:val="20"/>
                <w:color w:val="auto"/>
              </w:rPr>
            </w:pPr>
            <w:r>
              <w:rPr>
                <w:rFonts w:ascii="Arial" w:cs="Arial" w:eastAsia="Arial" w:hAnsi="Arial"/>
                <w:sz w:val="16"/>
                <w:szCs w:val="16"/>
                <w:color w:val="auto"/>
              </w:rPr>
              <w:t>Securities Purchase Agreement between Albany International Corp. and J.P.</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3/31/09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Morgan Securities Inc., dated April 3, 2009</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10.6</w:t>
            </w:r>
          </w:p>
        </w:tc>
        <w:tc>
          <w:tcPr>
            <w:tcW w:w="6040" w:type="dxa"/>
            <w:vAlign w:val="bottom"/>
          </w:tcPr>
          <w:p>
            <w:pPr>
              <w:ind w:left="60"/>
              <w:spacing w:after="0"/>
              <w:rPr>
                <w:sz w:val="20"/>
                <w:szCs w:val="20"/>
                <w:color w:val="auto"/>
              </w:rPr>
            </w:pPr>
            <w:r>
              <w:rPr>
                <w:rFonts w:ascii="Arial" w:cs="Arial" w:eastAsia="Arial" w:hAnsi="Arial"/>
                <w:sz w:val="16"/>
                <w:szCs w:val="16"/>
                <w:color w:val="auto"/>
              </w:rPr>
              <w:t>Securities Exchange Agreement between Albany International Corp. and J.P.</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3/31/09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Morgan Securities Inc., dated April 3, 2009</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10.7</w:t>
            </w:r>
          </w:p>
        </w:tc>
        <w:tc>
          <w:tcPr>
            <w:tcW w:w="6040" w:type="dxa"/>
            <w:vAlign w:val="bottom"/>
          </w:tcPr>
          <w:p>
            <w:pPr>
              <w:ind w:left="60"/>
              <w:spacing w:after="0"/>
              <w:rPr>
                <w:sz w:val="20"/>
                <w:szCs w:val="20"/>
                <w:color w:val="auto"/>
              </w:rPr>
            </w:pPr>
            <w:r>
              <w:rPr>
                <w:rFonts w:ascii="Arial" w:cs="Arial" w:eastAsia="Arial" w:hAnsi="Arial"/>
                <w:sz w:val="16"/>
                <w:szCs w:val="16"/>
                <w:color w:val="auto"/>
              </w:rPr>
              <w:t>Amendment to Securities Purchase Agreement between J.P. Morgan Securities</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3/31/09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Inc. and Albany International Corp., dated April 6, 2009</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10.8</w:t>
            </w:r>
          </w:p>
        </w:tc>
        <w:tc>
          <w:tcPr>
            <w:tcW w:w="6040" w:type="dxa"/>
            <w:vAlign w:val="bottom"/>
          </w:tcPr>
          <w:p>
            <w:pPr>
              <w:ind w:left="60"/>
              <w:spacing w:after="0"/>
              <w:rPr>
                <w:sz w:val="20"/>
                <w:szCs w:val="20"/>
                <w:color w:val="auto"/>
              </w:rPr>
            </w:pPr>
            <w:r>
              <w:rPr>
                <w:rFonts w:ascii="Arial" w:cs="Arial" w:eastAsia="Arial" w:hAnsi="Arial"/>
                <w:sz w:val="16"/>
                <w:szCs w:val="16"/>
                <w:color w:val="auto"/>
              </w:rPr>
              <w:t>Amendment to Securities Exchange Agreement by and between J.P. Morgan</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3/31/09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Securities Inc. and Albany International Corp., dated April 6, 2009</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10.9</w:t>
            </w:r>
          </w:p>
        </w:tc>
        <w:tc>
          <w:tcPr>
            <w:tcW w:w="6040" w:type="dxa"/>
            <w:vAlign w:val="bottom"/>
          </w:tcPr>
          <w:p>
            <w:pPr>
              <w:ind w:left="60"/>
              <w:spacing w:after="0"/>
              <w:rPr>
                <w:sz w:val="20"/>
                <w:szCs w:val="20"/>
                <w:color w:val="auto"/>
              </w:rPr>
            </w:pPr>
            <w:r>
              <w:rPr>
                <w:rFonts w:ascii="Arial" w:cs="Arial" w:eastAsia="Arial" w:hAnsi="Arial"/>
                <w:sz w:val="16"/>
                <w:szCs w:val="16"/>
                <w:color w:val="auto"/>
              </w:rPr>
              <w:t>Second Amendment to Securities Purchase Agreement by and between J.P.</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3/31/09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Morgan Securities Inc. and Albany International Corp., dated April 6, 2009 (the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“Second Amendment”), under the Securities Purchase Agreement, dated April 3,</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2009 (the “Purchase Agreement”), as amended by the Amendment Agreement,</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dated April 6, 2009 (the “Amended Purchase Agreement”)</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10.10</w:t>
            </w:r>
          </w:p>
        </w:tc>
        <w:tc>
          <w:tcPr>
            <w:tcW w:w="6040" w:type="dxa"/>
            <w:vAlign w:val="bottom"/>
          </w:tcPr>
          <w:p>
            <w:pPr>
              <w:ind w:left="60"/>
              <w:spacing w:after="0"/>
              <w:rPr>
                <w:sz w:val="20"/>
                <w:szCs w:val="20"/>
                <w:color w:val="auto"/>
              </w:rPr>
            </w:pPr>
            <w:r>
              <w:rPr>
                <w:rFonts w:ascii="Arial" w:cs="Arial" w:eastAsia="Arial" w:hAnsi="Arial"/>
                <w:sz w:val="16"/>
                <w:szCs w:val="16"/>
                <w:color w:val="auto"/>
              </w:rPr>
              <w:t>Second Amendment to Securities Exchange Agreement by and between J.P.</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3/31/09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5/8/09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Morgan Securities Inc. and Albany International Corp., dated April 6, 2009 (the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“Second Amendment”), under the Exchange Agreement, dated April 3, 2009 (the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“Exchange Agreement”), as amended by the Amendment Agreement, dated April</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6, 2009 (the “Amended Exchange Agreement”)</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10.11</w:t>
            </w:r>
          </w:p>
        </w:tc>
        <w:tc>
          <w:tcPr>
            <w:tcW w:w="6040" w:type="dxa"/>
            <w:vAlign w:val="bottom"/>
          </w:tcPr>
          <w:p>
            <w:pPr>
              <w:ind w:left="60"/>
              <w:spacing w:after="0"/>
              <w:rPr>
                <w:sz w:val="20"/>
                <w:szCs w:val="20"/>
                <w:color w:val="auto"/>
              </w:rPr>
            </w:pPr>
            <w:r>
              <w:rPr>
                <w:rFonts w:ascii="Arial" w:cs="Arial" w:eastAsia="Arial" w:hAnsi="Arial"/>
                <w:sz w:val="16"/>
                <w:szCs w:val="16"/>
                <w:color w:val="auto"/>
              </w:rPr>
              <w:t>Securities Purchase Agreement between Albany International Corp. and Citadel</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6/30/09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8/7/09</w:t>
            </w: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6040" w:type="dxa"/>
            <w:vAlign w:val="bottom"/>
          </w:tcPr>
          <w:p>
            <w:pPr>
              <w:ind w:left="60"/>
              <w:spacing w:after="0"/>
              <w:rPr>
                <w:sz w:val="20"/>
                <w:szCs w:val="20"/>
                <w:color w:val="auto"/>
              </w:rPr>
            </w:pPr>
            <w:r>
              <w:rPr>
                <w:rFonts w:ascii="Arial" w:cs="Arial" w:eastAsia="Arial" w:hAnsi="Arial"/>
                <w:sz w:val="16"/>
                <w:szCs w:val="16"/>
                <w:color w:val="auto"/>
              </w:rPr>
              <w:t>Equity Fund Ltd., dated May 21, 2009</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6"/>
                <w:szCs w:val="16"/>
                <w:color w:val="auto"/>
              </w:rPr>
              <w:t>10.12</w:t>
            </w:r>
          </w:p>
        </w:tc>
        <w:tc>
          <w:tcPr>
            <w:tcW w:w="6040" w:type="dxa"/>
            <w:vAlign w:val="bottom"/>
          </w:tcPr>
          <w:p>
            <w:pPr>
              <w:ind w:left="60"/>
              <w:spacing w:after="0"/>
              <w:rPr>
                <w:sz w:val="20"/>
                <w:szCs w:val="20"/>
                <w:color w:val="auto"/>
              </w:rPr>
            </w:pPr>
            <w:r>
              <w:rPr>
                <w:rFonts w:ascii="Arial" w:cs="Arial" w:eastAsia="Arial" w:hAnsi="Arial"/>
                <w:sz w:val="16"/>
                <w:szCs w:val="16"/>
                <w:color w:val="auto"/>
              </w:rPr>
              <w:t>Securities Exchange Agreement between Albany International Corp. and Citadel</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10-Q</w:t>
            </w:r>
          </w:p>
        </w:tc>
        <w:tc>
          <w:tcPr>
            <w:tcW w:w="980" w:type="dxa"/>
            <w:vAlign w:val="bottom"/>
          </w:tcPr>
          <w:p>
            <w:pPr>
              <w:jc w:val="center"/>
              <w:ind w:left="39"/>
              <w:spacing w:after="0"/>
              <w:rPr>
                <w:sz w:val="20"/>
                <w:szCs w:val="20"/>
                <w:color w:val="auto"/>
              </w:rPr>
            </w:pPr>
            <w:r>
              <w:rPr>
                <w:rFonts w:ascii="Arial" w:cs="Arial" w:eastAsia="Arial" w:hAnsi="Arial"/>
                <w:sz w:val="16"/>
                <w:szCs w:val="16"/>
                <w:color w:val="auto"/>
              </w:rPr>
              <w:t>6/30/09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8/7/09</w:t>
            </w:r>
          </w:p>
        </w:tc>
        <w:tc>
          <w:tcPr>
            <w:tcW w:w="0" w:type="dxa"/>
            <w:vAlign w:val="bottom"/>
          </w:tcPr>
          <w:p>
            <w:pPr>
              <w:spacing w:after="0"/>
              <w:rPr>
                <w:sz w:val="1"/>
                <w:szCs w:val="1"/>
                <w:color w:val="auto"/>
              </w:rPr>
            </w:pPr>
          </w:p>
        </w:tc>
      </w:tr>
      <w:tr>
        <w:trPr>
          <w:trHeight w:val="187"/>
        </w:trPr>
        <w:tc>
          <w:tcPr>
            <w:tcW w:w="1300" w:type="dxa"/>
            <w:vAlign w:val="bottom"/>
            <w:tcBorders>
              <w:left w:val="single" w:sz="8" w:color="auto"/>
              <w:bottom w:val="single" w:sz="8" w:color="auto"/>
            </w:tcBorders>
          </w:tcPr>
          <w:p>
            <w:pPr>
              <w:spacing w:after="0"/>
              <w:rPr>
                <w:sz w:val="16"/>
                <w:szCs w:val="16"/>
                <w:color w:val="auto"/>
              </w:rPr>
            </w:pPr>
          </w:p>
        </w:tc>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Equity Fund Ltd., dated May 21, 2009</w:t>
            </w: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621"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0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Exhibit</w:t>
            </w:r>
          </w:p>
        </w:tc>
        <w:tc>
          <w:tcPr>
            <w:tcW w:w="630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31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64"/>
        </w:trPr>
        <w:tc>
          <w:tcPr>
            <w:tcW w:w="1040" w:type="dxa"/>
            <w:vAlign w:val="bottom"/>
            <w:vMerge w:val="continue"/>
          </w:tcPr>
          <w:p>
            <w:pPr>
              <w:spacing w:after="0"/>
              <w:rPr>
                <w:sz w:val="14"/>
                <w:szCs w:val="14"/>
                <w:color w:val="auto"/>
              </w:rPr>
            </w:pPr>
          </w:p>
        </w:tc>
        <w:tc>
          <w:tcPr>
            <w:tcW w:w="6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ind w:left="19"/>
              <w:spacing w:after="0" w:line="165" w:lineRule="exact"/>
              <w:rPr>
                <w:sz w:val="20"/>
                <w:szCs w:val="20"/>
                <w:color w:val="auto"/>
              </w:rPr>
            </w:pPr>
            <w:r>
              <w:rPr>
                <w:rFonts w:ascii="Arial" w:cs="Arial" w:eastAsia="Arial" w:hAnsi="Arial"/>
                <w:sz w:val="16"/>
                <w:szCs w:val="16"/>
                <w:b w:val="1"/>
                <w:bCs w:val="1"/>
                <w:color w:val="auto"/>
              </w:rPr>
              <w:t>Period</w:t>
            </w: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Number</w:t>
            </w:r>
          </w:p>
        </w:tc>
        <w:tc>
          <w:tcPr>
            <w:tcW w:w="63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Exhibit Description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9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Ending</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84"/>
        </w:trPr>
        <w:tc>
          <w:tcPr>
            <w:tcW w:w="1040" w:type="dxa"/>
            <w:vAlign w:val="bottom"/>
          </w:tcPr>
          <w:p>
            <w:pPr>
              <w:ind w:left="120"/>
              <w:spacing w:after="0"/>
              <w:rPr>
                <w:sz w:val="20"/>
                <w:szCs w:val="20"/>
                <w:color w:val="auto"/>
              </w:rPr>
            </w:pPr>
            <w:r>
              <w:rPr>
                <w:rFonts w:ascii="Arial" w:cs="Arial" w:eastAsia="Arial" w:hAnsi="Arial"/>
                <w:sz w:val="16"/>
                <w:szCs w:val="16"/>
                <w:color w:val="auto"/>
              </w:rPr>
              <w:t>10.13</w:t>
            </w:r>
          </w:p>
        </w:tc>
        <w:tc>
          <w:tcPr>
            <w:tcW w:w="6300" w:type="dxa"/>
            <w:vAlign w:val="bottom"/>
          </w:tcPr>
          <w:p>
            <w:pPr>
              <w:ind w:left="320"/>
              <w:spacing w:after="0"/>
              <w:rPr>
                <w:sz w:val="20"/>
                <w:szCs w:val="20"/>
                <w:color w:val="auto"/>
              </w:rPr>
            </w:pPr>
            <w:r>
              <w:rPr>
                <w:rFonts w:ascii="Arial" w:cs="Arial" w:eastAsia="Arial" w:hAnsi="Arial"/>
                <w:sz w:val="16"/>
                <w:szCs w:val="16"/>
                <w:color w:val="auto"/>
              </w:rPr>
              <w:t>Stock and Asset Purchase Agreement by and between Albany International Corp.</w:t>
            </w:r>
          </w:p>
        </w:tc>
        <w:tc>
          <w:tcPr>
            <w:tcW w:w="1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8-K</w:t>
            </w:r>
          </w:p>
        </w:tc>
        <w:tc>
          <w:tcPr>
            <w:tcW w:w="980" w:type="dxa"/>
            <w:vAlign w:val="bottom"/>
          </w:tcPr>
          <w:p>
            <w:pPr>
              <w:spacing w:after="0"/>
              <w:rPr>
                <w:sz w:val="16"/>
                <w:szCs w:val="16"/>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11/1/11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300" w:type="dxa"/>
            <w:vAlign w:val="bottom"/>
          </w:tcPr>
          <w:p>
            <w:pPr>
              <w:ind w:left="320"/>
              <w:spacing w:after="0"/>
              <w:rPr>
                <w:sz w:val="20"/>
                <w:szCs w:val="20"/>
                <w:color w:val="auto"/>
              </w:rPr>
            </w:pPr>
            <w:r>
              <w:rPr>
                <w:rFonts w:ascii="Arial" w:cs="Arial" w:eastAsia="Arial" w:hAnsi="Arial"/>
                <w:sz w:val="16"/>
                <w:szCs w:val="16"/>
                <w:color w:val="auto"/>
              </w:rPr>
              <w:t>and ASSA ABLOY AB, dated as of October 27, 2011</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11</w:t>
            </w:r>
          </w:p>
        </w:tc>
        <w:tc>
          <w:tcPr>
            <w:tcW w:w="6300" w:type="dxa"/>
            <w:vAlign w:val="bottom"/>
          </w:tcPr>
          <w:p>
            <w:pPr>
              <w:ind w:left="320"/>
              <w:spacing w:after="0"/>
              <w:rPr>
                <w:sz w:val="20"/>
                <w:szCs w:val="20"/>
                <w:color w:val="auto"/>
              </w:rPr>
            </w:pPr>
            <w:r>
              <w:rPr>
                <w:rFonts w:ascii="Arial" w:cs="Arial" w:eastAsia="Arial" w:hAnsi="Arial"/>
                <w:sz w:val="16"/>
                <w:szCs w:val="16"/>
                <w:color w:val="auto"/>
              </w:rPr>
              <w:t>Statement of Computation of Earnings per share (provided in Footnote 8 to the</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30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13</w:t>
            </w:r>
          </w:p>
        </w:tc>
        <w:tc>
          <w:tcPr>
            <w:tcW w:w="6300" w:type="dxa"/>
            <w:vAlign w:val="bottom"/>
          </w:tcPr>
          <w:p>
            <w:pPr>
              <w:ind w:left="320"/>
              <w:spacing w:after="0"/>
              <w:rPr>
                <w:sz w:val="20"/>
                <w:szCs w:val="20"/>
                <w:color w:val="auto"/>
              </w:rPr>
            </w:pPr>
            <w:r>
              <w:rPr>
                <w:rFonts w:ascii="Arial" w:cs="Arial" w:eastAsia="Arial" w:hAnsi="Arial"/>
                <w:sz w:val="16"/>
                <w:szCs w:val="16"/>
                <w:color w:val="auto"/>
              </w:rPr>
              <w:t>Annual Report to Security Holders for the year ended December 31, 2012</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21</w:t>
            </w:r>
          </w:p>
        </w:tc>
        <w:tc>
          <w:tcPr>
            <w:tcW w:w="6300" w:type="dxa"/>
            <w:vAlign w:val="bottom"/>
          </w:tcPr>
          <w:p>
            <w:pPr>
              <w:ind w:left="320"/>
              <w:spacing w:after="0"/>
              <w:rPr>
                <w:sz w:val="20"/>
                <w:szCs w:val="20"/>
                <w:color w:val="auto"/>
              </w:rPr>
            </w:pPr>
            <w:r>
              <w:rPr>
                <w:rFonts w:ascii="Arial" w:cs="Arial" w:eastAsia="Arial" w:hAnsi="Arial"/>
                <w:sz w:val="16"/>
                <w:szCs w:val="16"/>
                <w:color w:val="auto"/>
              </w:rPr>
              <w:t>Subsidiaries of Company</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23</w:t>
            </w:r>
          </w:p>
        </w:tc>
        <w:tc>
          <w:tcPr>
            <w:tcW w:w="6300" w:type="dxa"/>
            <w:vAlign w:val="bottom"/>
          </w:tcPr>
          <w:p>
            <w:pPr>
              <w:ind w:left="320"/>
              <w:spacing w:after="0"/>
              <w:rPr>
                <w:sz w:val="20"/>
                <w:szCs w:val="20"/>
                <w:color w:val="auto"/>
              </w:rPr>
            </w:pPr>
            <w:r>
              <w:rPr>
                <w:rFonts w:ascii="Arial" w:cs="Arial" w:eastAsia="Arial" w:hAnsi="Arial"/>
                <w:sz w:val="16"/>
                <w:szCs w:val="16"/>
                <w:color w:val="auto"/>
              </w:rPr>
              <w:t>Consent of PricewaterhouseCoopers LLP</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24</w:t>
            </w:r>
          </w:p>
        </w:tc>
        <w:tc>
          <w:tcPr>
            <w:tcW w:w="6300" w:type="dxa"/>
            <w:vAlign w:val="bottom"/>
          </w:tcPr>
          <w:p>
            <w:pPr>
              <w:ind w:left="320"/>
              <w:spacing w:after="0"/>
              <w:rPr>
                <w:sz w:val="20"/>
                <w:szCs w:val="20"/>
                <w:color w:val="auto"/>
              </w:rPr>
            </w:pPr>
            <w:r>
              <w:rPr>
                <w:rFonts w:ascii="Arial" w:cs="Arial" w:eastAsia="Arial" w:hAnsi="Arial"/>
                <w:sz w:val="16"/>
                <w:szCs w:val="16"/>
                <w:color w:val="auto"/>
              </w:rPr>
              <w:t>Powers of Attorney</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31(a)</w:t>
            </w:r>
          </w:p>
        </w:tc>
        <w:tc>
          <w:tcPr>
            <w:tcW w:w="6300" w:type="dxa"/>
            <w:vAlign w:val="bottom"/>
          </w:tcPr>
          <w:p>
            <w:pPr>
              <w:ind w:left="320"/>
              <w:spacing w:after="0"/>
              <w:rPr>
                <w:sz w:val="20"/>
                <w:szCs w:val="20"/>
                <w:color w:val="auto"/>
              </w:rPr>
            </w:pPr>
            <w:r>
              <w:rPr>
                <w:rFonts w:ascii="Arial" w:cs="Arial" w:eastAsia="Arial" w:hAnsi="Arial"/>
                <w:sz w:val="16"/>
                <w:szCs w:val="16"/>
                <w:color w:val="auto"/>
              </w:rPr>
              <w:t>Certification of Joseph G. Morone required pursuant to Rule 13a-14(a) or Rule</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300" w:type="dxa"/>
            <w:vAlign w:val="bottom"/>
          </w:tcPr>
          <w:p>
            <w:pPr>
              <w:ind w:left="320"/>
              <w:spacing w:after="0"/>
              <w:rPr>
                <w:sz w:val="20"/>
                <w:szCs w:val="20"/>
                <w:color w:val="auto"/>
              </w:rPr>
            </w:pPr>
            <w:r>
              <w:rPr>
                <w:rFonts w:ascii="Arial" w:cs="Arial" w:eastAsia="Arial" w:hAnsi="Arial"/>
                <w:sz w:val="16"/>
                <w:szCs w:val="16"/>
                <w:color w:val="auto"/>
              </w:rPr>
              <w:t>15d-14(a)</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31(b)</w:t>
            </w:r>
          </w:p>
        </w:tc>
        <w:tc>
          <w:tcPr>
            <w:tcW w:w="6300" w:type="dxa"/>
            <w:vAlign w:val="bottom"/>
          </w:tcPr>
          <w:p>
            <w:pPr>
              <w:ind w:left="320"/>
              <w:spacing w:after="0"/>
              <w:rPr>
                <w:sz w:val="20"/>
                <w:szCs w:val="20"/>
                <w:color w:val="auto"/>
              </w:rPr>
            </w:pPr>
            <w:r>
              <w:rPr>
                <w:rFonts w:ascii="Arial" w:cs="Arial" w:eastAsia="Arial" w:hAnsi="Arial"/>
                <w:sz w:val="16"/>
                <w:szCs w:val="16"/>
                <w:color w:val="auto"/>
              </w:rPr>
              <w:t>Certification of John B. Cozzolino required pursuant to Rule 13a-14(a) or Rule</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300" w:type="dxa"/>
            <w:vAlign w:val="bottom"/>
          </w:tcPr>
          <w:p>
            <w:pPr>
              <w:ind w:left="320"/>
              <w:spacing w:after="0"/>
              <w:rPr>
                <w:sz w:val="20"/>
                <w:szCs w:val="20"/>
                <w:color w:val="auto"/>
              </w:rPr>
            </w:pPr>
            <w:r>
              <w:rPr>
                <w:rFonts w:ascii="Arial" w:cs="Arial" w:eastAsia="Arial" w:hAnsi="Arial"/>
                <w:sz w:val="16"/>
                <w:szCs w:val="16"/>
                <w:color w:val="auto"/>
              </w:rPr>
              <w:t>15d-14(a)</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120"/>
              <w:spacing w:after="0"/>
              <w:rPr>
                <w:sz w:val="20"/>
                <w:szCs w:val="20"/>
                <w:color w:val="auto"/>
              </w:rPr>
            </w:pPr>
            <w:r>
              <w:rPr>
                <w:rFonts w:ascii="Arial" w:cs="Arial" w:eastAsia="Arial" w:hAnsi="Arial"/>
                <w:sz w:val="16"/>
                <w:szCs w:val="16"/>
                <w:color w:val="auto"/>
              </w:rPr>
              <w:t>32(a)</w:t>
            </w:r>
          </w:p>
        </w:tc>
        <w:tc>
          <w:tcPr>
            <w:tcW w:w="6300" w:type="dxa"/>
            <w:vAlign w:val="bottom"/>
          </w:tcPr>
          <w:p>
            <w:pPr>
              <w:ind w:left="320"/>
              <w:spacing w:after="0"/>
              <w:rPr>
                <w:sz w:val="20"/>
                <w:szCs w:val="20"/>
                <w:color w:val="auto"/>
              </w:rPr>
            </w:pPr>
            <w:r>
              <w:rPr>
                <w:rFonts w:ascii="Arial" w:cs="Arial" w:eastAsia="Arial" w:hAnsi="Arial"/>
                <w:sz w:val="16"/>
                <w:szCs w:val="16"/>
                <w:color w:val="auto"/>
              </w:rPr>
              <w:t>Certification of Joseph G. Morone and John B. Cozzolino required pursuant to</w:t>
            </w: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300" w:type="dxa"/>
            <w:vAlign w:val="bottom"/>
          </w:tcPr>
          <w:p>
            <w:pPr>
              <w:ind w:left="320"/>
              <w:spacing w:after="0"/>
              <w:rPr>
                <w:sz w:val="20"/>
                <w:szCs w:val="20"/>
                <w:color w:val="auto"/>
              </w:rPr>
            </w:pPr>
            <w:r>
              <w:rPr>
                <w:rFonts w:ascii="Arial" w:cs="Arial" w:eastAsia="Arial" w:hAnsi="Arial"/>
                <w:sz w:val="16"/>
                <w:szCs w:val="16"/>
                <w:color w:val="auto"/>
              </w:rPr>
              <w:t>Rule 13a-14(b) or Rule 15d-14(b) and Section 1350 of Chapter 63 of Title 18 of</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6300" w:type="dxa"/>
            <w:vAlign w:val="bottom"/>
          </w:tcPr>
          <w:p>
            <w:pPr>
              <w:ind w:left="320"/>
              <w:spacing w:after="0"/>
              <w:rPr>
                <w:sz w:val="20"/>
                <w:szCs w:val="20"/>
                <w:color w:val="auto"/>
              </w:rPr>
            </w:pPr>
            <w:r>
              <w:rPr>
                <w:rFonts w:ascii="Arial" w:cs="Arial" w:eastAsia="Arial" w:hAnsi="Arial"/>
                <w:sz w:val="16"/>
                <w:szCs w:val="16"/>
                <w:color w:val="auto"/>
              </w:rPr>
              <w:t>the United States Code</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-1813560</wp:posOffset>
            </wp:positionV>
            <wp:extent cx="7254875" cy="32759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32759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The following information from the Registrant’s Annual Report on Form 10-K for the year ended December 31, 2012, formatted in eXtensible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Business Reporting Language (XBRL), filed herewith:</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101(i)</w:t>
            </w:r>
          </w:p>
        </w:tc>
        <w:tc>
          <w:tcPr>
            <w:tcW w:w="6500" w:type="dxa"/>
            <w:vAlign w:val="bottom"/>
          </w:tcPr>
          <w:p>
            <w:pPr>
              <w:ind w:left="380"/>
              <w:spacing w:after="0"/>
              <w:rPr>
                <w:sz w:val="20"/>
                <w:szCs w:val="20"/>
                <w:color w:val="auto"/>
              </w:rPr>
            </w:pPr>
            <w:r>
              <w:rPr>
                <w:rFonts w:ascii="Arial" w:cs="Arial" w:eastAsia="Arial" w:hAnsi="Arial"/>
                <w:sz w:val="16"/>
                <w:szCs w:val="16"/>
                <w:color w:val="auto"/>
              </w:rPr>
              <w:t>Consolidated Statements of Income and Retained Earnings for the years ended</w:t>
            </w:r>
          </w:p>
        </w:tc>
        <w:tc>
          <w:tcPr>
            <w:tcW w:w="400" w:type="dxa"/>
            <w:vAlign w:val="bottom"/>
          </w:tcPr>
          <w:p>
            <w:pPr>
              <w:ind w:left="300"/>
              <w:spacing w:after="0"/>
              <w:rPr>
                <w:sz w:val="20"/>
                <w:szCs w:val="20"/>
                <w:color w:val="auto"/>
              </w:rPr>
            </w:pPr>
            <w:r>
              <w:rPr>
                <w:rFonts w:ascii="Arial" w:cs="Arial" w:eastAsia="Arial" w:hAnsi="Arial"/>
                <w:sz w:val="16"/>
                <w:szCs w:val="16"/>
                <w:color w:val="auto"/>
                <w:w w:val="74"/>
              </w:rPr>
              <w:t>X</w:t>
            </w:r>
          </w:p>
        </w:tc>
      </w:tr>
      <w:tr>
        <w:trPr>
          <w:trHeight w:val="189"/>
        </w:trPr>
        <w:tc>
          <w:tcPr>
            <w:tcW w:w="860" w:type="dxa"/>
            <w:vAlign w:val="bottom"/>
          </w:tcPr>
          <w:p>
            <w:pPr>
              <w:spacing w:after="0"/>
              <w:rPr>
                <w:sz w:val="16"/>
                <w:szCs w:val="16"/>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December 31, 2012, 2011 and 2010</w:t>
            </w:r>
          </w:p>
        </w:tc>
        <w:tc>
          <w:tcPr>
            <w:tcW w:w="400" w:type="dxa"/>
            <w:vAlign w:val="bottom"/>
          </w:tcPr>
          <w:p>
            <w:pPr>
              <w:spacing w:after="0"/>
              <w:rPr>
                <w:sz w:val="16"/>
                <w:szCs w:val="16"/>
                <w:color w:val="auto"/>
              </w:rPr>
            </w:pPr>
          </w:p>
        </w:tc>
      </w:t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101(ii)</w:t>
            </w:r>
          </w:p>
        </w:tc>
        <w:tc>
          <w:tcPr>
            <w:tcW w:w="6500" w:type="dxa"/>
            <w:vAlign w:val="bottom"/>
          </w:tcPr>
          <w:p>
            <w:pPr>
              <w:ind w:left="380"/>
              <w:spacing w:after="0"/>
              <w:rPr>
                <w:sz w:val="20"/>
                <w:szCs w:val="20"/>
                <w:color w:val="auto"/>
              </w:rPr>
            </w:pPr>
            <w:r>
              <w:rPr>
                <w:rFonts w:ascii="Arial" w:cs="Arial" w:eastAsia="Arial" w:hAnsi="Arial"/>
                <w:sz w:val="16"/>
                <w:szCs w:val="16"/>
                <w:color w:val="auto"/>
              </w:rPr>
              <w:t>Consolidated Statements of Comprehensive Income for years ended December</w:t>
            </w:r>
          </w:p>
        </w:tc>
        <w:tc>
          <w:tcPr>
            <w:tcW w:w="400" w:type="dxa"/>
            <w:vAlign w:val="bottom"/>
          </w:tcPr>
          <w:p>
            <w:pPr>
              <w:ind w:left="300"/>
              <w:spacing w:after="0"/>
              <w:rPr>
                <w:sz w:val="20"/>
                <w:szCs w:val="20"/>
                <w:color w:val="auto"/>
              </w:rPr>
            </w:pPr>
            <w:r>
              <w:rPr>
                <w:rFonts w:ascii="Arial" w:cs="Arial" w:eastAsia="Arial" w:hAnsi="Arial"/>
                <w:sz w:val="16"/>
                <w:szCs w:val="16"/>
                <w:color w:val="auto"/>
                <w:w w:val="74"/>
              </w:rPr>
              <w:t>X</w:t>
            </w:r>
          </w:p>
        </w:tc>
      </w:tr>
      <w:tr>
        <w:trPr>
          <w:trHeight w:val="189"/>
        </w:trPr>
        <w:tc>
          <w:tcPr>
            <w:tcW w:w="860" w:type="dxa"/>
            <w:vAlign w:val="bottom"/>
          </w:tcPr>
          <w:p>
            <w:pPr>
              <w:spacing w:after="0"/>
              <w:rPr>
                <w:sz w:val="16"/>
                <w:szCs w:val="16"/>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31, 2012, 2011, and 2010</w:t>
            </w:r>
          </w:p>
        </w:tc>
        <w:tc>
          <w:tcPr>
            <w:tcW w:w="400" w:type="dxa"/>
            <w:vAlign w:val="bottom"/>
          </w:tcPr>
          <w:p>
            <w:pPr>
              <w:spacing w:after="0"/>
              <w:rPr>
                <w:sz w:val="16"/>
                <w:szCs w:val="16"/>
                <w:color w:val="auto"/>
              </w:rPr>
            </w:pPr>
          </w:p>
        </w:tc>
      </w:t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101(iii)</w:t>
            </w:r>
          </w:p>
        </w:tc>
        <w:tc>
          <w:tcPr>
            <w:tcW w:w="6500" w:type="dxa"/>
            <w:vAlign w:val="bottom"/>
          </w:tcPr>
          <w:p>
            <w:pPr>
              <w:ind w:left="380"/>
              <w:spacing w:after="0"/>
              <w:rPr>
                <w:sz w:val="20"/>
                <w:szCs w:val="20"/>
                <w:color w:val="auto"/>
              </w:rPr>
            </w:pPr>
            <w:r>
              <w:rPr>
                <w:rFonts w:ascii="Arial" w:cs="Arial" w:eastAsia="Arial" w:hAnsi="Arial"/>
                <w:sz w:val="16"/>
                <w:szCs w:val="16"/>
                <w:color w:val="auto"/>
              </w:rPr>
              <w:t>Consolidated Balance Sheets as of December 31, 2012 and 2011</w:t>
            </w:r>
          </w:p>
        </w:tc>
        <w:tc>
          <w:tcPr>
            <w:tcW w:w="400" w:type="dxa"/>
            <w:vAlign w:val="bottom"/>
          </w:tcPr>
          <w:p>
            <w:pPr>
              <w:ind w:left="300"/>
              <w:spacing w:after="0"/>
              <w:rPr>
                <w:sz w:val="20"/>
                <w:szCs w:val="20"/>
                <w:color w:val="auto"/>
              </w:rPr>
            </w:pPr>
            <w:r>
              <w:rPr>
                <w:rFonts w:ascii="Arial" w:cs="Arial" w:eastAsia="Arial" w:hAnsi="Arial"/>
                <w:sz w:val="16"/>
                <w:szCs w:val="16"/>
                <w:color w:val="auto"/>
                <w:w w:val="74"/>
              </w:rPr>
              <w:t>X</w:t>
            </w:r>
          </w:p>
        </w:tc>
      </w:t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101(iv)</w:t>
            </w:r>
          </w:p>
        </w:tc>
        <w:tc>
          <w:tcPr>
            <w:tcW w:w="6500" w:type="dxa"/>
            <w:vAlign w:val="bottom"/>
          </w:tcPr>
          <w:p>
            <w:pPr>
              <w:ind w:left="380"/>
              <w:spacing w:after="0"/>
              <w:rPr>
                <w:sz w:val="20"/>
                <w:szCs w:val="20"/>
                <w:color w:val="auto"/>
              </w:rPr>
            </w:pPr>
            <w:r>
              <w:rPr>
                <w:rFonts w:ascii="Arial" w:cs="Arial" w:eastAsia="Arial" w:hAnsi="Arial"/>
                <w:sz w:val="16"/>
                <w:szCs w:val="16"/>
                <w:color w:val="auto"/>
              </w:rPr>
              <w:t>Consolidated Statements of Cash Flows for the years ended December 31, 2012,</w:t>
            </w:r>
          </w:p>
        </w:tc>
        <w:tc>
          <w:tcPr>
            <w:tcW w:w="400" w:type="dxa"/>
            <w:vAlign w:val="bottom"/>
          </w:tcPr>
          <w:p>
            <w:pPr>
              <w:ind w:left="300"/>
              <w:spacing w:after="0"/>
              <w:rPr>
                <w:sz w:val="20"/>
                <w:szCs w:val="20"/>
                <w:color w:val="auto"/>
              </w:rPr>
            </w:pPr>
            <w:r>
              <w:rPr>
                <w:rFonts w:ascii="Arial" w:cs="Arial" w:eastAsia="Arial" w:hAnsi="Arial"/>
                <w:sz w:val="16"/>
                <w:szCs w:val="16"/>
                <w:color w:val="auto"/>
                <w:w w:val="74"/>
              </w:rPr>
              <w:t>X</w:t>
            </w:r>
          </w:p>
        </w:tc>
      </w:tr>
      <w:tr>
        <w:trPr>
          <w:trHeight w:val="189"/>
        </w:trPr>
        <w:tc>
          <w:tcPr>
            <w:tcW w:w="860" w:type="dxa"/>
            <w:vAlign w:val="bottom"/>
          </w:tcPr>
          <w:p>
            <w:pPr>
              <w:spacing w:after="0"/>
              <w:rPr>
                <w:sz w:val="16"/>
                <w:szCs w:val="16"/>
                <w:color w:val="auto"/>
              </w:rPr>
            </w:pPr>
          </w:p>
        </w:tc>
        <w:tc>
          <w:tcPr>
            <w:tcW w:w="6500" w:type="dxa"/>
            <w:vAlign w:val="bottom"/>
          </w:tcPr>
          <w:p>
            <w:pPr>
              <w:ind w:left="380"/>
              <w:spacing w:after="0"/>
              <w:rPr>
                <w:sz w:val="20"/>
                <w:szCs w:val="20"/>
                <w:color w:val="auto"/>
              </w:rPr>
            </w:pPr>
            <w:r>
              <w:rPr>
                <w:rFonts w:ascii="Arial" w:cs="Arial" w:eastAsia="Arial" w:hAnsi="Arial"/>
                <w:sz w:val="16"/>
                <w:szCs w:val="16"/>
                <w:color w:val="auto"/>
              </w:rPr>
              <w:t>2011, and 2010</w:t>
            </w:r>
          </w:p>
        </w:tc>
        <w:tc>
          <w:tcPr>
            <w:tcW w:w="400" w:type="dxa"/>
            <w:vAlign w:val="bottom"/>
          </w:tcPr>
          <w:p>
            <w:pPr>
              <w:spacing w:after="0"/>
              <w:rPr>
                <w:sz w:val="16"/>
                <w:szCs w:val="16"/>
                <w:color w:val="auto"/>
              </w:rPr>
            </w:pPr>
          </w:p>
        </w:tc>
      </w:t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101(v)</w:t>
            </w:r>
          </w:p>
        </w:tc>
        <w:tc>
          <w:tcPr>
            <w:tcW w:w="6500" w:type="dxa"/>
            <w:vAlign w:val="bottom"/>
          </w:tcPr>
          <w:p>
            <w:pPr>
              <w:ind w:left="380"/>
              <w:spacing w:after="0"/>
              <w:rPr>
                <w:sz w:val="20"/>
                <w:szCs w:val="20"/>
                <w:color w:val="auto"/>
              </w:rPr>
            </w:pPr>
            <w:r>
              <w:rPr>
                <w:rFonts w:ascii="Arial" w:cs="Arial" w:eastAsia="Arial" w:hAnsi="Arial"/>
                <w:sz w:val="16"/>
                <w:szCs w:val="16"/>
                <w:color w:val="auto"/>
              </w:rPr>
              <w:t>Notes to Consolidated Financial Statements</w:t>
            </w:r>
          </w:p>
        </w:tc>
        <w:tc>
          <w:tcPr>
            <w:tcW w:w="400" w:type="dxa"/>
            <w:vAlign w:val="bottom"/>
          </w:tcPr>
          <w:p>
            <w:pPr>
              <w:ind w:left="300"/>
              <w:spacing w:after="0"/>
              <w:rPr>
                <w:sz w:val="20"/>
                <w:szCs w:val="20"/>
                <w:color w:val="auto"/>
              </w:rPr>
            </w:pPr>
            <w:r>
              <w:rPr>
                <w:rFonts w:ascii="Arial" w:cs="Arial" w:eastAsia="Arial" w:hAnsi="Arial"/>
                <w:sz w:val="16"/>
                <w:szCs w:val="16"/>
                <w:color w:val="auto"/>
                <w:w w:val="74"/>
              </w:rPr>
              <w:t>X</w:t>
            </w:r>
          </w:p>
        </w:tc>
      </w:tr>
    </w:tbl>
    <w:p>
      <w:pPr>
        <w:ind w:left="120" w:right="600"/>
        <w:spacing w:after="0" w:line="260" w:lineRule="auto"/>
        <w:rPr>
          <w:sz w:val="20"/>
          <w:szCs w:val="20"/>
          <w:color w:val="auto"/>
        </w:rPr>
      </w:pPr>
      <w:r>
        <w:rPr>
          <w:rFonts w:ascii="Arial" w:cs="Arial" w:eastAsia="Arial" w:hAnsi="Arial"/>
          <w:sz w:val="16"/>
          <w:szCs w:val="16"/>
          <w:color w:val="auto"/>
        </w:rPr>
        <w:t>* 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013" w:right="21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5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the 1st day of March, 2013.</w:t>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ALBANY INTERNATIONAL CORP.</w:t>
      </w:r>
    </w:p>
    <w:p>
      <w:pPr>
        <w:spacing w:after="0" w:line="16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John B. Cozzolino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-15875</wp:posOffset>
            </wp:positionV>
            <wp:extent cx="13277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ind w:left="7440"/>
        <w:spacing w:after="0" w:line="234" w:lineRule="auto"/>
        <w:rPr>
          <w:sz w:val="20"/>
          <w:szCs w:val="20"/>
          <w:color w:val="auto"/>
        </w:rPr>
      </w:pPr>
      <w:r>
        <w:rPr>
          <w:rFonts w:ascii="Arial" w:cs="Arial" w:eastAsia="Arial" w:hAnsi="Arial"/>
          <w:sz w:val="18"/>
          <w:szCs w:val="18"/>
          <w:color w:val="auto"/>
        </w:rPr>
        <w:t>John B. Cozzolino</w:t>
      </w:r>
    </w:p>
    <w:p>
      <w:pPr>
        <w:ind w:left="744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w:t>
      </w:r>
    </w:p>
    <w:p>
      <w:pPr>
        <w:spacing w:after="0" w:line="11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Company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98"/>
              </w:rPr>
              <w:t>Signature</w:t>
            </w: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97"/>
              </w:rPr>
              <w:t>Title</w:t>
            </w:r>
          </w:p>
        </w:tc>
        <w:tc>
          <w:tcPr>
            <w:tcW w:w="556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2"/>
        </w:trPr>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 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Joseph G. Morone</w:t>
            </w:r>
          </w:p>
        </w:tc>
        <w:tc>
          <w:tcPr>
            <w:tcW w:w="34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 Cozzolino</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John B. Cozzolino</w:t>
            </w:r>
          </w:p>
        </w:tc>
        <w:tc>
          <w:tcPr>
            <w:tcW w:w="34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30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President–Controller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David M. Pawlick</w:t>
            </w:r>
          </w:p>
        </w:tc>
        <w:tc>
          <w:tcPr>
            <w:tcW w:w="34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30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Erland E. Kailbourne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30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Chairman of the Board and 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John C. Standish</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30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John F. Cassidy, Jr.</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30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Paula H.J. Cholmondeley</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30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Edgar G. Hotard</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91"/>
        </w:trPr>
        <w:tc>
          <w:tcPr>
            <w:tcW w:w="308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rPr>
                <w:sz w:val="20"/>
                <w:szCs w:val="20"/>
                <w:color w:val="auto"/>
              </w:rPr>
            </w:pPr>
            <w:r>
              <w:rPr>
                <w:rFonts w:ascii="Arial" w:cs="Arial" w:eastAsia="Arial" w:hAnsi="Arial"/>
                <w:sz w:val="18"/>
                <w:szCs w:val="18"/>
                <w:color w:val="auto"/>
              </w:rPr>
              <w:t>February 21, 2013</w:t>
            </w:r>
          </w:p>
        </w:tc>
      </w:tr>
      <w:tr>
        <w:trPr>
          <w:trHeight w:val="195"/>
        </w:trPr>
        <w:tc>
          <w:tcPr>
            <w:tcW w:w="100" w:type="dxa"/>
            <w:vAlign w:val="bottom"/>
          </w:tcPr>
          <w:p>
            <w:pPr>
              <w:spacing w:after="0"/>
              <w:rPr>
                <w:sz w:val="16"/>
                <w:szCs w:val="16"/>
                <w:color w:val="auto"/>
              </w:rPr>
            </w:pPr>
          </w:p>
        </w:tc>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rPr>
              <w:t>John R. Scannell</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3080" w:type="dxa"/>
            <w:vAlign w:val="bottom"/>
            <w:tcBorders>
              <w:bottom w:val="single" w:sz="8" w:color="auto"/>
            </w:tcBorders>
            <w:gridSpan w:val="3"/>
          </w:tcPr>
          <w:p>
            <w:pPr>
              <w:jc w:val="right"/>
              <w:ind w:right="141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2060" w:type="dxa"/>
            <w:vAlign w:val="bottom"/>
            <w:gridSpan w:val="2"/>
          </w:tcPr>
          <w:p>
            <w:pPr>
              <w:spacing w:after="0" w:line="203" w:lineRule="exact"/>
              <w:rPr>
                <w:sz w:val="20"/>
                <w:szCs w:val="20"/>
                <w:color w:val="auto"/>
              </w:rPr>
            </w:pPr>
            <w:r>
              <w:rPr>
                <w:rFonts w:ascii="Arial" w:cs="Arial" w:eastAsia="Arial" w:hAnsi="Arial"/>
                <w:sz w:val="18"/>
                <w:szCs w:val="18"/>
                <w:color w:val="auto"/>
              </w:rPr>
              <w:t>February 21, 2013</w:t>
            </w:r>
          </w:p>
        </w:tc>
      </w:tr>
      <w:tr>
        <w:trPr>
          <w:trHeight w:val="210"/>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Christine L. Standish</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796"/>
        </w:trPr>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John B. Cozzolino</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5"/>
        </w:trPr>
        <w:tc>
          <w:tcPr>
            <w:tcW w:w="100" w:type="dxa"/>
            <w:vAlign w:val="bottom"/>
          </w:tcPr>
          <w:p>
            <w:pPr>
              <w:spacing w:after="0"/>
              <w:rPr>
                <w:sz w:val="16"/>
                <w:szCs w:val="16"/>
                <w:color w:val="auto"/>
              </w:rPr>
            </w:pPr>
          </w:p>
        </w:tc>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rPr>
              <w:t>John B. Cozzolino</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7"/>
        </w:trPr>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94"/>
        </w:trPr>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80" w:type="dxa"/>
            <w:vAlign w:val="bottom"/>
            <w:gridSpan w:val="3"/>
          </w:tcPr>
          <w:p>
            <w:pPr>
              <w:jc w:val="right"/>
              <w:ind w:right="354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6"/>
        </w:trPr>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38"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gridSpan w:val="7"/>
          </w:tcPr>
          <w:p>
            <w:pPr>
              <w:jc w:val="center"/>
              <w:ind w:right="1540"/>
              <w:spacing w:after="0"/>
              <w:rPr>
                <w:sz w:val="20"/>
                <w:szCs w:val="20"/>
                <w:color w:val="auto"/>
              </w:rPr>
            </w:pPr>
            <w:r>
              <w:rPr>
                <w:rFonts w:ascii="Arial" w:cs="Arial" w:eastAsia="Arial" w:hAnsi="Arial"/>
                <w:sz w:val="18"/>
                <w:szCs w:val="18"/>
                <w:color w:val="auto"/>
              </w:rPr>
              <w:t>SCHEDULE II</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0" w:type="dxa"/>
            <w:vAlign w:val="bottom"/>
            <w:gridSpan w:val="12"/>
          </w:tcPr>
          <w:p>
            <w:pPr>
              <w:jc w:val="center"/>
              <w:ind w:right="20"/>
              <w:spacing w:after="0"/>
              <w:rPr>
                <w:sz w:val="20"/>
                <w:szCs w:val="20"/>
                <w:color w:val="auto"/>
              </w:rPr>
            </w:pPr>
            <w:r>
              <w:rPr>
                <w:rFonts w:ascii="Arial" w:cs="Arial" w:eastAsia="Arial" w:hAnsi="Arial"/>
                <w:sz w:val="18"/>
                <w:szCs w:val="18"/>
                <w:color w:val="auto"/>
                <w:w w:val="98"/>
              </w:rPr>
              <w:t>ALBANY INTERNATIONAL CORP. AND SUBSIDIARIES</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11"/>
          </w:tcPr>
          <w:p>
            <w:pPr>
              <w:jc w:val="center"/>
              <w:ind w:right="260"/>
              <w:spacing w:after="0"/>
              <w:rPr>
                <w:sz w:val="20"/>
                <w:szCs w:val="20"/>
                <w:color w:val="auto"/>
              </w:rPr>
            </w:pPr>
            <w:r>
              <w:rPr>
                <w:rFonts w:ascii="Arial" w:cs="Arial" w:eastAsia="Arial" w:hAnsi="Arial"/>
                <w:sz w:val="18"/>
                <w:szCs w:val="18"/>
                <w:color w:val="auto"/>
                <w:w w:val="99"/>
              </w:rPr>
              <w:t>VALUATION AND QUALIFYING ACCOUNTS</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00" w:type="dxa"/>
            <w:vAlign w:val="bottom"/>
            <w:gridSpan w:val="8"/>
          </w:tcPr>
          <w:p>
            <w:pPr>
              <w:jc w:val="center"/>
              <w:ind w:right="1520"/>
              <w:spacing w:after="0"/>
              <w:rPr>
                <w:sz w:val="20"/>
                <w:szCs w:val="20"/>
                <w:color w:val="auto"/>
              </w:rPr>
            </w:pPr>
            <w:r>
              <w:rPr>
                <w:rFonts w:ascii="Arial" w:cs="Arial" w:eastAsia="Arial" w:hAnsi="Arial"/>
                <w:sz w:val="18"/>
                <w:szCs w:val="18"/>
                <w:color w:val="auto"/>
                <w:w w:val="99"/>
              </w:rPr>
              <w:t>(Dollars in thousands)</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b w:val="1"/>
                <w:bCs w:val="1"/>
                <w:color w:val="auto"/>
                <w:w w:val="98"/>
              </w:rPr>
              <w:t>Column A</w:t>
            </w:r>
          </w:p>
        </w:tc>
        <w:tc>
          <w:tcPr>
            <w:tcW w:w="24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rPr>
              <w:t>Column B</w:t>
            </w:r>
          </w:p>
        </w:tc>
        <w:tc>
          <w:tcPr>
            <w:tcW w:w="6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rPr>
              <w:t>Column C</w:t>
            </w:r>
          </w:p>
        </w:tc>
        <w:tc>
          <w:tcPr>
            <w:tcW w:w="122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Column 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Column E</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Description</w:t>
            </w:r>
          </w:p>
        </w:tc>
        <w:tc>
          <w:tcPr>
            <w:tcW w:w="23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9"/>
              </w:rPr>
              <w:t>Balance at</w:t>
            </w:r>
          </w:p>
        </w:tc>
        <w:tc>
          <w:tcPr>
            <w:tcW w:w="2680" w:type="dxa"/>
            <w:vAlign w:val="bottom"/>
            <w:gridSpan w:val="5"/>
            <w:vMerge w:val="restart"/>
          </w:tcPr>
          <w:p>
            <w:pPr>
              <w:jc w:val="center"/>
              <w:ind w:right="620"/>
              <w:spacing w:after="0"/>
              <w:rPr>
                <w:sz w:val="20"/>
                <w:szCs w:val="20"/>
                <w:color w:val="auto"/>
              </w:rPr>
            </w:pPr>
            <w:r>
              <w:rPr>
                <w:rFonts w:ascii="Arial" w:cs="Arial" w:eastAsia="Arial" w:hAnsi="Arial"/>
                <w:sz w:val="18"/>
                <w:szCs w:val="18"/>
                <w:b w:val="1"/>
                <w:bCs w:val="1"/>
                <w:color w:val="auto"/>
              </w:rPr>
              <w:t>Charge to expense</w:t>
            </w: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w w:val="97"/>
              </w:rPr>
              <w:t>Other (A)</w:t>
            </w:r>
          </w:p>
        </w:tc>
        <w:tc>
          <w:tcPr>
            <w:tcW w:w="176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rPr>
              <w:t>Balance at end of</w:t>
            </w:r>
          </w:p>
        </w:tc>
        <w:tc>
          <w:tcPr>
            <w:tcW w:w="0" w:type="dxa"/>
            <w:vAlign w:val="bottom"/>
          </w:tcPr>
          <w:p>
            <w:pPr>
              <w:spacing w:after="0"/>
              <w:rPr>
                <w:sz w:val="1"/>
                <w:szCs w:val="1"/>
                <w:color w:val="auto"/>
              </w:rPr>
            </w:pPr>
          </w:p>
        </w:tc>
      </w:tr>
      <w:tr>
        <w:trPr>
          <w:trHeight w:val="20"/>
        </w:trPr>
        <w:tc>
          <w:tcPr>
            <w:tcW w:w="1000" w:type="dxa"/>
            <w:vAlign w:val="bottom"/>
            <w:gridSpan w:val="2"/>
            <w:vMerge w:val="continue"/>
          </w:tcPr>
          <w:p>
            <w:pPr>
              <w:spacing w:after="0" w:line="20" w:lineRule="exact"/>
              <w:rPr>
                <w:sz w:val="1"/>
                <w:szCs w:val="1"/>
                <w:color w:val="auto"/>
              </w:rPr>
            </w:pPr>
          </w:p>
        </w:tc>
        <w:tc>
          <w:tcPr>
            <w:tcW w:w="23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5"/>
            <w:vMerge w:val="continue"/>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gridSpan w:val="2"/>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2120" w:type="dxa"/>
            <w:vAlign w:val="bottom"/>
            <w:gridSpan w:val="7"/>
          </w:tcPr>
          <w:p>
            <w:pPr>
              <w:jc w:val="center"/>
              <w:spacing w:after="0" w:line="182" w:lineRule="exact"/>
              <w:rPr>
                <w:sz w:val="20"/>
                <w:szCs w:val="20"/>
                <w:color w:val="auto"/>
              </w:rPr>
            </w:pPr>
            <w:r>
              <w:rPr>
                <w:rFonts w:ascii="Arial" w:cs="Arial" w:eastAsia="Arial" w:hAnsi="Arial"/>
                <w:sz w:val="18"/>
                <w:szCs w:val="18"/>
                <w:b w:val="1"/>
                <w:bCs w:val="1"/>
                <w:color w:val="auto"/>
                <w:w w:val="99"/>
              </w:rPr>
              <w:t>beginning of period</w:t>
            </w:r>
          </w:p>
        </w:tc>
        <w:tc>
          <w:tcPr>
            <w:tcW w:w="2680" w:type="dxa"/>
            <w:vAlign w:val="bottom"/>
            <w:gridSpan w:val="5"/>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5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8"/>
              </w:rPr>
              <w:t>the period</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spacing w:after="0" w:line="202" w:lineRule="exact"/>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2012</w:t>
            </w:r>
          </w:p>
        </w:tc>
        <w:tc>
          <w:tcPr>
            <w:tcW w:w="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$10,729</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$1,411</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($278)</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$11,862</w:t>
            </w:r>
          </w:p>
        </w:tc>
        <w:tc>
          <w:tcPr>
            <w:tcW w:w="0" w:type="dxa"/>
            <w:vAlign w:val="bottom"/>
          </w:tcPr>
          <w:p>
            <w:pPr>
              <w:spacing w:after="0"/>
              <w:rPr>
                <w:sz w:val="1"/>
                <w:szCs w:val="1"/>
                <w:color w:val="auto"/>
              </w:rPr>
            </w:pPr>
          </w:p>
        </w:tc>
      </w:tr>
      <w:tr>
        <w:trPr>
          <w:trHeight w:val="203"/>
        </w:trPr>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2011</w:t>
            </w:r>
          </w:p>
        </w:tc>
        <w:tc>
          <w:tcPr>
            <w:tcW w:w="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12,331</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3,081</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(4,683)</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217"/>
        </w:trPr>
        <w:tc>
          <w:tcPr>
            <w:tcW w:w="860" w:type="dxa"/>
            <w:vAlign w:val="bottom"/>
          </w:tcPr>
          <w:p>
            <w:pPr>
              <w:jc w:val="right"/>
              <w:ind w:right="1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20" w:type="dxa"/>
            <w:vAlign w:val="bottom"/>
            <w:gridSpan w:val="7"/>
          </w:tcPr>
          <w:p>
            <w:pPr>
              <w:jc w:val="right"/>
              <w:ind w:right="200"/>
              <w:spacing w:after="0"/>
              <w:rPr>
                <w:sz w:val="20"/>
                <w:szCs w:val="20"/>
                <w:color w:val="auto"/>
              </w:rPr>
            </w:pPr>
            <w:r>
              <w:rPr>
                <w:rFonts w:ascii="Arial" w:cs="Arial" w:eastAsia="Arial" w:hAnsi="Arial"/>
                <w:sz w:val="18"/>
                <w:szCs w:val="18"/>
                <w:color w:val="auto"/>
              </w:rPr>
              <w:t>10,794</w:t>
            </w:r>
          </w:p>
        </w:tc>
        <w:tc>
          <w:tcPr>
            <w:tcW w:w="2680" w:type="dxa"/>
            <w:vAlign w:val="bottom"/>
            <w:gridSpan w:val="5"/>
          </w:tcPr>
          <w:p>
            <w:pPr>
              <w:jc w:val="right"/>
              <w:ind w:right="800"/>
              <w:spacing w:after="0"/>
              <w:rPr>
                <w:sz w:val="20"/>
                <w:szCs w:val="20"/>
                <w:color w:val="auto"/>
              </w:rPr>
            </w:pPr>
            <w:r>
              <w:rPr>
                <w:rFonts w:ascii="Arial" w:cs="Arial" w:eastAsia="Arial" w:hAnsi="Arial"/>
                <w:sz w:val="18"/>
                <w:szCs w:val="18"/>
                <w:color w:val="auto"/>
              </w:rPr>
              <w:t>1,842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391"/>
        </w:trPr>
        <w:tc>
          <w:tcPr>
            <w:tcW w:w="3320" w:type="dxa"/>
            <w:vAlign w:val="bottom"/>
            <w:gridSpan w:val="3"/>
          </w:tcPr>
          <w:p>
            <w:pPr>
              <w:spacing w:after="0"/>
              <w:rPr>
                <w:sz w:val="20"/>
                <w:szCs w:val="20"/>
                <w:color w:val="auto"/>
              </w:rPr>
            </w:pPr>
            <w:r>
              <w:rPr>
                <w:rFonts w:ascii="Arial" w:cs="Arial" w:eastAsia="Arial" w:hAnsi="Arial"/>
                <w:sz w:val="18"/>
                <w:szCs w:val="18"/>
                <w:color w:val="auto"/>
              </w:rPr>
              <w:t>Allowance for sales returns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spacing w:after="0" w:line="202" w:lineRule="exact"/>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2012</w:t>
            </w:r>
          </w:p>
        </w:tc>
        <w:tc>
          <w:tcPr>
            <w:tcW w:w="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$15,609</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$19,911</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($15,984)</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$19,536</w:t>
            </w:r>
          </w:p>
        </w:tc>
        <w:tc>
          <w:tcPr>
            <w:tcW w:w="0" w:type="dxa"/>
            <w:vAlign w:val="bottom"/>
          </w:tcPr>
          <w:p>
            <w:pPr>
              <w:spacing w:after="0"/>
              <w:rPr>
                <w:sz w:val="1"/>
                <w:szCs w:val="1"/>
                <w:color w:val="auto"/>
              </w:rPr>
            </w:pPr>
          </w:p>
        </w:tc>
      </w:tr>
      <w:tr>
        <w:trPr>
          <w:trHeight w:val="203"/>
        </w:trPr>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2011</w:t>
            </w:r>
          </w:p>
        </w:tc>
        <w:tc>
          <w:tcPr>
            <w:tcW w:w="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14,208</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18,942</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(17,541)</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15,609</w:t>
            </w:r>
          </w:p>
        </w:tc>
        <w:tc>
          <w:tcPr>
            <w:tcW w:w="0" w:type="dxa"/>
            <w:vAlign w:val="bottom"/>
          </w:tcPr>
          <w:p>
            <w:pPr>
              <w:spacing w:after="0"/>
              <w:rPr>
                <w:sz w:val="1"/>
                <w:szCs w:val="1"/>
                <w:color w:val="auto"/>
              </w:rPr>
            </w:pPr>
          </w:p>
        </w:tc>
      </w:tr>
      <w:tr>
        <w:trPr>
          <w:trHeight w:val="217"/>
        </w:trPr>
        <w:tc>
          <w:tcPr>
            <w:tcW w:w="860" w:type="dxa"/>
            <w:vAlign w:val="bottom"/>
          </w:tcPr>
          <w:p>
            <w:pPr>
              <w:jc w:val="right"/>
              <w:ind w:right="1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20" w:type="dxa"/>
            <w:vAlign w:val="bottom"/>
            <w:gridSpan w:val="7"/>
          </w:tcPr>
          <w:p>
            <w:pPr>
              <w:jc w:val="right"/>
              <w:ind w:right="200"/>
              <w:spacing w:after="0"/>
              <w:rPr>
                <w:sz w:val="20"/>
                <w:szCs w:val="20"/>
                <w:color w:val="auto"/>
              </w:rPr>
            </w:pPr>
            <w:r>
              <w:rPr>
                <w:rFonts w:ascii="Arial" w:cs="Arial" w:eastAsia="Arial" w:hAnsi="Arial"/>
                <w:sz w:val="18"/>
                <w:szCs w:val="18"/>
                <w:color w:val="auto"/>
              </w:rPr>
              <w:t>13,959</w:t>
            </w:r>
          </w:p>
        </w:tc>
        <w:tc>
          <w:tcPr>
            <w:tcW w:w="2680" w:type="dxa"/>
            <w:vAlign w:val="bottom"/>
            <w:gridSpan w:val="5"/>
          </w:tcPr>
          <w:p>
            <w:pPr>
              <w:jc w:val="right"/>
              <w:ind w:right="800"/>
              <w:spacing w:after="0"/>
              <w:rPr>
                <w:sz w:val="20"/>
                <w:szCs w:val="20"/>
                <w:color w:val="auto"/>
              </w:rPr>
            </w:pPr>
            <w:r>
              <w:rPr>
                <w:rFonts w:ascii="Arial" w:cs="Arial" w:eastAsia="Arial" w:hAnsi="Arial"/>
                <w:sz w:val="18"/>
                <w:szCs w:val="18"/>
                <w:color w:val="auto"/>
              </w:rPr>
              <w:t>16,447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(16,198)</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391"/>
        </w:trPr>
        <w:tc>
          <w:tcPr>
            <w:tcW w:w="3320" w:type="dxa"/>
            <w:vAlign w:val="bottom"/>
            <w:gridSpan w:val="3"/>
          </w:tcPr>
          <w:p>
            <w:pPr>
              <w:spacing w:after="0"/>
              <w:rPr>
                <w:sz w:val="20"/>
                <w:szCs w:val="20"/>
                <w:color w:val="auto"/>
              </w:rPr>
            </w:pPr>
            <w:r>
              <w:rPr>
                <w:rFonts w:ascii="Arial" w:cs="Arial" w:eastAsia="Arial" w:hAnsi="Arial"/>
                <w:sz w:val="18"/>
                <w:szCs w:val="18"/>
                <w:color w:val="auto"/>
              </w:rPr>
              <w:t>Valuation allowance deferred tax assets</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20" w:type="dxa"/>
            <w:vAlign w:val="bottom"/>
            <w:gridSpan w:val="3"/>
          </w:tcPr>
          <w:p>
            <w:pPr>
              <w:spacing w:after="0" w:line="202" w:lineRule="exact"/>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2012</w:t>
            </w:r>
          </w:p>
        </w:tc>
        <w:tc>
          <w:tcPr>
            <w:tcW w:w="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63,413</w:t>
            </w:r>
          </w:p>
        </w:tc>
        <w:tc>
          <w:tcPr>
            <w:tcW w:w="2680" w:type="dxa"/>
            <w:vAlign w:val="bottom"/>
            <w:gridSpan w:val="5"/>
          </w:tcPr>
          <w:p>
            <w:pPr>
              <w:jc w:val="right"/>
              <w:ind w:right="740"/>
              <w:spacing w:after="0" w:line="202" w:lineRule="exact"/>
              <w:rPr>
                <w:sz w:val="20"/>
                <w:szCs w:val="20"/>
                <w:color w:val="auto"/>
              </w:rPr>
            </w:pPr>
            <w:r>
              <w:rPr>
                <w:rFonts w:ascii="Arial" w:cs="Arial" w:eastAsia="Arial" w:hAnsi="Arial"/>
                <w:sz w:val="18"/>
                <w:szCs w:val="18"/>
                <w:color w:val="auto"/>
              </w:rPr>
              <w:t>($4,131)</w:t>
            </w: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$1,066</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203"/>
        </w:trPr>
        <w:tc>
          <w:tcPr>
            <w:tcW w:w="8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2011</w:t>
            </w:r>
          </w:p>
        </w:tc>
        <w:tc>
          <w:tcPr>
            <w:tcW w:w="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20" w:type="dxa"/>
            <w:vAlign w:val="bottom"/>
            <w:gridSpan w:val="7"/>
          </w:tcPr>
          <w:p>
            <w:pPr>
              <w:jc w:val="right"/>
              <w:ind w:right="200"/>
              <w:spacing w:after="0" w:line="202" w:lineRule="exact"/>
              <w:rPr>
                <w:sz w:val="20"/>
                <w:szCs w:val="20"/>
                <w:color w:val="auto"/>
              </w:rPr>
            </w:pPr>
            <w:r>
              <w:rPr>
                <w:rFonts w:ascii="Arial" w:cs="Arial" w:eastAsia="Arial" w:hAnsi="Arial"/>
                <w:sz w:val="18"/>
                <w:szCs w:val="18"/>
                <w:color w:val="auto"/>
              </w:rPr>
              <w:t>42,140</w:t>
            </w:r>
          </w:p>
        </w:tc>
        <w:tc>
          <w:tcPr>
            <w:tcW w:w="2680" w:type="dxa"/>
            <w:vAlign w:val="bottom"/>
            <w:gridSpan w:val="5"/>
          </w:tcPr>
          <w:p>
            <w:pPr>
              <w:jc w:val="right"/>
              <w:ind w:right="800"/>
              <w:spacing w:after="0" w:line="202" w:lineRule="exact"/>
              <w:rPr>
                <w:sz w:val="20"/>
                <w:szCs w:val="20"/>
                <w:color w:val="auto"/>
              </w:rPr>
            </w:pPr>
            <w:r>
              <w:rPr>
                <w:rFonts w:ascii="Arial" w:cs="Arial" w:eastAsia="Arial" w:hAnsi="Arial"/>
                <w:sz w:val="18"/>
                <w:szCs w:val="18"/>
                <w:color w:val="auto"/>
              </w:rPr>
              <w:t>18,529</w:t>
            </w: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2,744</w:t>
            </w:r>
          </w:p>
        </w:tc>
        <w:tc>
          <w:tcPr>
            <w:tcW w:w="17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63,413</w:t>
            </w:r>
          </w:p>
        </w:tc>
        <w:tc>
          <w:tcPr>
            <w:tcW w:w="0" w:type="dxa"/>
            <w:vAlign w:val="bottom"/>
          </w:tcPr>
          <w:p>
            <w:pPr>
              <w:spacing w:after="0"/>
              <w:rPr>
                <w:sz w:val="1"/>
                <w:szCs w:val="1"/>
                <w:color w:val="auto"/>
              </w:rPr>
            </w:pPr>
          </w:p>
        </w:tc>
      </w:tr>
      <w:tr>
        <w:trPr>
          <w:trHeight w:val="217"/>
        </w:trPr>
        <w:tc>
          <w:tcPr>
            <w:tcW w:w="860" w:type="dxa"/>
            <w:vAlign w:val="bottom"/>
          </w:tcPr>
          <w:p>
            <w:pPr>
              <w:jc w:val="right"/>
              <w:ind w:right="19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20" w:type="dxa"/>
            <w:vAlign w:val="bottom"/>
            <w:gridSpan w:val="7"/>
          </w:tcPr>
          <w:p>
            <w:pPr>
              <w:jc w:val="right"/>
              <w:ind w:right="200"/>
              <w:spacing w:after="0"/>
              <w:rPr>
                <w:sz w:val="20"/>
                <w:szCs w:val="20"/>
                <w:color w:val="auto"/>
              </w:rPr>
            </w:pPr>
            <w:r>
              <w:rPr>
                <w:rFonts w:ascii="Arial" w:cs="Arial" w:eastAsia="Arial" w:hAnsi="Arial"/>
                <w:sz w:val="18"/>
                <w:szCs w:val="18"/>
                <w:color w:val="auto"/>
              </w:rPr>
              <w:t>32,438</w:t>
            </w:r>
          </w:p>
        </w:tc>
        <w:tc>
          <w:tcPr>
            <w:tcW w:w="2680" w:type="dxa"/>
            <w:vAlign w:val="bottom"/>
            <w:gridSpan w:val="5"/>
          </w:tcPr>
          <w:p>
            <w:pPr>
              <w:jc w:val="right"/>
              <w:ind w:right="800"/>
              <w:spacing w:after="0"/>
              <w:rPr>
                <w:sz w:val="20"/>
                <w:szCs w:val="20"/>
                <w:color w:val="auto"/>
              </w:rPr>
            </w:pPr>
            <w:r>
              <w:rPr>
                <w:rFonts w:ascii="Arial" w:cs="Arial" w:eastAsia="Arial" w:hAnsi="Arial"/>
                <w:sz w:val="18"/>
                <w:szCs w:val="18"/>
                <w:color w:val="auto"/>
              </w:rPr>
              <w:t>6,892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2,810</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42,140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sold, written off, or recovered, and the effect of changes in currency translation rates, are included in Column 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63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CORPORATE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Investor Relations Department may be contacted at:</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Investor Relations Department</w:t>
      </w:r>
    </w:p>
    <w:p>
      <w:pPr>
        <w:ind w:left="360"/>
        <w:spacing w:after="0" w:line="234" w:lineRule="auto"/>
        <w:rPr>
          <w:sz w:val="20"/>
          <w:szCs w:val="20"/>
          <w:color w:val="auto"/>
        </w:rPr>
      </w:pPr>
      <w:r>
        <w:rPr>
          <w:rFonts w:ascii="Arial" w:cs="Arial" w:eastAsia="Arial" w:hAnsi="Arial"/>
          <w:sz w:val="18"/>
          <w:szCs w:val="18"/>
          <w:color w:val="auto"/>
        </w:rPr>
        <w:t>Albany International Corp.</w:t>
      </w:r>
    </w:p>
    <w:p>
      <w:pPr>
        <w:ind w:left="360"/>
        <w:spacing w:after="0" w:line="235" w:lineRule="auto"/>
        <w:rPr>
          <w:sz w:val="20"/>
          <w:szCs w:val="20"/>
          <w:color w:val="auto"/>
        </w:rPr>
      </w:pPr>
      <w:r>
        <w:rPr>
          <w:rFonts w:ascii="Arial" w:cs="Arial" w:eastAsia="Arial" w:hAnsi="Arial"/>
          <w:sz w:val="18"/>
          <w:szCs w:val="18"/>
          <w:color w:val="auto"/>
        </w:rPr>
        <w:t>216 Airport Drive</w:t>
      </w:r>
    </w:p>
    <w:p>
      <w:pPr>
        <w:ind w:left="360"/>
        <w:spacing w:after="0" w:line="235" w:lineRule="auto"/>
        <w:rPr>
          <w:sz w:val="20"/>
          <w:szCs w:val="20"/>
          <w:color w:val="auto"/>
        </w:rPr>
      </w:pPr>
      <w:r>
        <w:rPr>
          <w:rFonts w:ascii="Arial" w:cs="Arial" w:eastAsia="Arial" w:hAnsi="Arial"/>
          <w:sz w:val="18"/>
          <w:szCs w:val="18"/>
          <w:color w:val="auto"/>
        </w:rPr>
        <w:t>Rochester, NH 03867</w:t>
      </w:r>
    </w:p>
    <w:p>
      <w:pPr>
        <w:ind w:left="360"/>
        <w:spacing w:after="0" w:line="235" w:lineRule="auto"/>
        <w:rPr>
          <w:sz w:val="20"/>
          <w:szCs w:val="20"/>
          <w:color w:val="auto"/>
        </w:rPr>
      </w:pPr>
      <w:r>
        <w:rPr>
          <w:rFonts w:ascii="Arial" w:cs="Arial" w:eastAsia="Arial" w:hAnsi="Arial"/>
          <w:sz w:val="18"/>
          <w:szCs w:val="18"/>
          <w:color w:val="auto"/>
        </w:rPr>
        <w:t>Telephone: (603) 330-5850</w:t>
      </w:r>
    </w:p>
    <w:p>
      <w:pPr>
        <w:ind w:left="360"/>
        <w:spacing w:after="0" w:line="235" w:lineRule="auto"/>
        <w:rPr>
          <w:sz w:val="20"/>
          <w:szCs w:val="20"/>
          <w:color w:val="auto"/>
        </w:rPr>
      </w:pPr>
      <w:r>
        <w:rPr>
          <w:rFonts w:ascii="Arial" w:cs="Arial" w:eastAsia="Arial" w:hAnsi="Arial"/>
          <w:sz w:val="18"/>
          <w:szCs w:val="18"/>
          <w:color w:val="auto"/>
        </w:rPr>
        <w:t>Fax: (603) 994-3974</w:t>
      </w:r>
    </w:p>
    <w:p>
      <w:pPr>
        <w:ind w:left="360"/>
        <w:spacing w:after="0"/>
        <w:rPr>
          <w:sz w:val="20"/>
          <w:szCs w:val="20"/>
          <w:color w:val="auto"/>
        </w:rPr>
      </w:pPr>
      <w:r>
        <w:rPr>
          <w:rFonts w:ascii="Arial" w:cs="Arial" w:eastAsia="Arial" w:hAnsi="Arial"/>
          <w:sz w:val="18"/>
          <w:szCs w:val="18"/>
          <w:color w:val="auto"/>
        </w:rPr>
        <w:t>E-mail: investor.relations@albint.com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Computershare</w:t>
      </w:r>
    </w:p>
    <w:p>
      <w:pPr>
        <w:ind w:left="360"/>
        <w:spacing w:after="0" w:line="234" w:lineRule="auto"/>
        <w:rPr>
          <w:sz w:val="20"/>
          <w:szCs w:val="20"/>
          <w:color w:val="auto"/>
        </w:rPr>
      </w:pPr>
      <w:r>
        <w:rPr>
          <w:rFonts w:ascii="Arial" w:cs="Arial" w:eastAsia="Arial" w:hAnsi="Arial"/>
          <w:sz w:val="18"/>
          <w:szCs w:val="18"/>
          <w:color w:val="auto"/>
        </w:rPr>
        <w:t>P.O. Box 43006</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Providence, RI 02940-3006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Telephone (toll-free): 1-877-277-9931</w:t>
      </w:r>
    </w:p>
    <w:p>
      <w:pPr>
        <w:ind w:left="360"/>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1F497D"/>
        </w:rPr>
        <w:t>www.computershare.com/investor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Services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an Albany International shareholder, you are invited to take advantage of our convenient shareholder services.</w:t>
      </w:r>
    </w:p>
    <w:p>
      <w:pPr>
        <w:spacing w:after="0" w:line="158"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Computershare maintains the records for our registered shareholders and can help you with a variety of shareholder-related services at no charge, including:</w:t>
      </w:r>
    </w:p>
    <w:p>
      <w:pPr>
        <w:spacing w:after="0" w:line="143" w:lineRule="exact"/>
        <w:rPr>
          <w:sz w:val="20"/>
          <w:szCs w:val="20"/>
          <w:color w:val="auto"/>
        </w:rPr>
      </w:pPr>
    </w:p>
    <w:p>
      <w:pPr>
        <w:ind w:left="360" w:hanging="113"/>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of name and/or address</w:t>
      </w:r>
    </w:p>
    <w:p>
      <w:pPr>
        <w:spacing w:after="0" w:line="171" w:lineRule="exact"/>
        <w:rPr>
          <w:rFonts w:ascii="Arial" w:cs="Arial" w:eastAsia="Arial" w:hAnsi="Arial"/>
          <w:sz w:val="18"/>
          <w:szCs w:val="18"/>
          <w:color w:val="auto"/>
        </w:rPr>
      </w:pPr>
    </w:p>
    <w:p>
      <w:pPr>
        <w:ind w:left="360" w:hanging="113"/>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Consolidation of accounts</w:t>
      </w:r>
    </w:p>
    <w:p>
      <w:pPr>
        <w:spacing w:after="0" w:line="171" w:lineRule="exact"/>
        <w:rPr>
          <w:rFonts w:ascii="Arial" w:cs="Arial" w:eastAsia="Arial" w:hAnsi="Arial"/>
          <w:sz w:val="18"/>
          <w:szCs w:val="18"/>
          <w:color w:val="auto"/>
        </w:rPr>
      </w:pPr>
    </w:p>
    <w:p>
      <w:pPr>
        <w:ind w:left="360" w:hanging="113"/>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Duplicate mailings</w:t>
      </w:r>
    </w:p>
    <w:p>
      <w:pPr>
        <w:spacing w:after="0" w:line="171" w:lineRule="exact"/>
        <w:rPr>
          <w:rFonts w:ascii="Arial" w:cs="Arial" w:eastAsia="Arial" w:hAnsi="Arial"/>
          <w:sz w:val="18"/>
          <w:szCs w:val="18"/>
          <w:color w:val="auto"/>
        </w:rPr>
      </w:pPr>
    </w:p>
    <w:p>
      <w:pPr>
        <w:ind w:left="360" w:hanging="113"/>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Dividend reinvestment enrollment</w:t>
      </w:r>
    </w:p>
    <w:p>
      <w:pPr>
        <w:spacing w:after="0" w:line="171" w:lineRule="exact"/>
        <w:rPr>
          <w:rFonts w:ascii="Arial" w:cs="Arial" w:eastAsia="Arial" w:hAnsi="Arial"/>
          <w:sz w:val="18"/>
          <w:szCs w:val="18"/>
          <w:color w:val="auto"/>
        </w:rPr>
      </w:pPr>
    </w:p>
    <w:p>
      <w:pPr>
        <w:ind w:left="360" w:hanging="113"/>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Lost stock certificates</w:t>
      </w:r>
    </w:p>
    <w:p>
      <w:pPr>
        <w:spacing w:after="0" w:line="171" w:lineRule="exact"/>
        <w:rPr>
          <w:rFonts w:ascii="Arial" w:cs="Arial" w:eastAsia="Arial" w:hAnsi="Arial"/>
          <w:sz w:val="18"/>
          <w:szCs w:val="18"/>
          <w:color w:val="auto"/>
        </w:rPr>
      </w:pPr>
    </w:p>
    <w:p>
      <w:pPr>
        <w:ind w:left="360" w:hanging="113"/>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 of stock to another person</w:t>
      </w:r>
    </w:p>
    <w:p>
      <w:pPr>
        <w:spacing w:after="0" w:line="171" w:lineRule="exact"/>
        <w:rPr>
          <w:rFonts w:ascii="Arial" w:cs="Arial" w:eastAsia="Arial" w:hAnsi="Arial"/>
          <w:sz w:val="18"/>
          <w:szCs w:val="18"/>
          <w:color w:val="auto"/>
        </w:rPr>
      </w:pPr>
    </w:p>
    <w:p>
      <w:pPr>
        <w:ind w:left="360" w:hanging="113"/>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administrative services</w:t>
      </w:r>
    </w:p>
    <w:p>
      <w:pPr>
        <w:spacing w:after="0" w:line="155" w:lineRule="exact"/>
        <w:rPr>
          <w:sz w:val="20"/>
          <w:szCs w:val="20"/>
          <w:color w:val="auto"/>
        </w:rPr>
      </w:pPr>
    </w:p>
    <w:p>
      <w:pPr>
        <w:ind w:right="2380"/>
        <w:spacing w:after="0" w:line="206" w:lineRule="auto"/>
        <w:rPr>
          <w:sz w:val="20"/>
          <w:szCs w:val="20"/>
          <w:color w:val="auto"/>
        </w:rPr>
      </w:pPr>
      <w:r>
        <w:rPr>
          <w:rFonts w:ascii="Arial" w:cs="Arial" w:eastAsia="Arial" w:hAnsi="Arial"/>
          <w:sz w:val="18"/>
          <w:szCs w:val="18"/>
          <w:i w:val="1"/>
          <w:iCs w:val="1"/>
          <w:color w:val="auto"/>
        </w:rPr>
        <w:t>Access your investor statements online 24 hours a day, 7 days a week with MLink</w:t>
      </w:r>
      <w:r>
        <w:rPr>
          <w:rFonts w:ascii="Arial" w:cs="Arial" w:eastAsia="Arial" w:hAnsi="Arial"/>
          <w:sz w:val="30"/>
          <w:szCs w:val="30"/>
          <w:i w:val="1"/>
          <w:iCs w:val="1"/>
          <w:color w:val="auto"/>
          <w:vertAlign w:val="superscript"/>
        </w:rPr>
        <w:t>SM</w:t>
      </w:r>
      <w:r>
        <w:rPr>
          <w:rFonts w:ascii="Arial" w:cs="Arial" w:eastAsia="Arial" w:hAnsi="Arial"/>
          <w:sz w:val="18"/>
          <w:szCs w:val="18"/>
          <w:i w:val="1"/>
          <w:iCs w:val="1"/>
          <w:color w:val="auto"/>
        </w:rPr>
        <w:t xml:space="preserve">. For more information, go to </w:t>
      </w:r>
      <w:r>
        <w:rPr>
          <w:rFonts w:ascii="Arial" w:cs="Arial" w:eastAsia="Arial" w:hAnsi="Arial"/>
          <w:sz w:val="18"/>
          <w:szCs w:val="18"/>
          <w:u w:val="single" w:color="auto"/>
          <w:color w:val="1F497D"/>
        </w:rPr>
        <w:t>www.computershare.com/investor</w:t>
      </w:r>
      <w:r>
        <w:rPr>
          <w:rFonts w:ascii="Arial" w:cs="Arial" w:eastAsia="Arial" w:hAnsi="Arial"/>
          <w:sz w:val="18"/>
          <w:szCs w:val="18"/>
          <w:color w:val="1F497D"/>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w:t>
      </w:r>
    </w:p>
    <w:p>
      <w:pPr>
        <w:spacing w:after="0" w:line="180" w:lineRule="exact"/>
        <w:rPr>
          <w:sz w:val="20"/>
          <w:szCs w:val="20"/>
          <w:color w:val="auto"/>
        </w:rPr>
      </w:pPr>
    </w:p>
    <w:p>
      <w:pPr>
        <w:ind w:right="120" w:firstLine="360"/>
        <w:spacing w:after="0" w:line="246" w:lineRule="auto"/>
        <w:rPr>
          <w:sz w:val="20"/>
          <w:szCs w:val="20"/>
          <w:color w:val="auto"/>
        </w:rPr>
      </w:pPr>
      <w:r>
        <w:rPr>
          <w:rFonts w:ascii="Arial" w:cs="Arial" w:eastAsia="Arial" w:hAnsi="Arial"/>
          <w:sz w:val="18"/>
          <w:szCs w:val="18"/>
          <w:color w:val="auto"/>
        </w:rPr>
        <w:t>The Annual Meeting of the Company’s shareholders will be held on Friday, May 17, 2013, at 9:00 a.m. at the Hilton Garden Inn, 100 High St., Portsmouth, New Hampshire 03801.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80" w:lineRule="exact"/>
        <w:rPr>
          <w:sz w:val="20"/>
          <w:szCs w:val="20"/>
          <w:color w:val="auto"/>
        </w:rPr>
      </w:pPr>
    </w:p>
    <w:p>
      <w:pPr>
        <w:ind w:right="320" w:firstLine="360"/>
        <w:spacing w:after="0" w:line="246" w:lineRule="auto"/>
        <w:rPr>
          <w:sz w:val="20"/>
          <w:szCs w:val="20"/>
          <w:color w:val="auto"/>
        </w:rPr>
      </w:pPr>
      <w:r>
        <w:rPr>
          <w:rFonts w:ascii="Arial" w:cs="Arial" w:eastAsia="Arial" w:hAnsi="Arial"/>
          <w:sz w:val="18"/>
          <w:szCs w:val="18"/>
          <w:color w:val="auto"/>
        </w:rPr>
        <w:t>Albany International is listed on the New York Stock Exchange (Symbol AIN). Stock tables in newspapers and financial publications list Albany International as “AlbanyInt.”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16" w:right="2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Equal Employment Opportunity</w:t>
      </w:r>
    </w:p>
    <w:p>
      <w:pPr>
        <w:spacing w:after="0" w:line="180"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Albany International, as a matter of policy, does not discriminate against any employee or applicant for employment because of race, color, religion, sex, national origin, age, physical or mental disability, or status as a disabled or Vietnam-era veteran. This policy of nondiscrimination is applicable to matters of hiring, upgrading, promotions, transfers, layoffs, terminations, rates of pay, selection for training, recruitment, and recruitment advertising. The Company maintains affirmative action programs to implement its EEO policy.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r>
              <w:rPr>
                <w:rFonts w:ascii="Arial" w:cs="Arial" w:eastAsia="Arial" w:hAnsi="Arial"/>
                <w:sz w:val="18"/>
                <w:szCs w:val="18"/>
                <w:b w:val="1"/>
                <w:bCs w:val="1"/>
                <w:color w:val="auto"/>
              </w:rPr>
              <w:t>Directors and Officers</w:t>
            </w:r>
          </w:p>
        </w:tc>
        <w:tc>
          <w:tcPr>
            <w:tcW w:w="6560" w:type="dxa"/>
            <w:vAlign w:val="bottom"/>
          </w:tcPr>
          <w:p>
            <w:pPr>
              <w:spacing w:after="0"/>
              <w:rPr>
                <w:sz w:val="20"/>
                <w:szCs w:val="20"/>
                <w:color w:val="auto"/>
              </w:rPr>
            </w:pPr>
          </w:p>
        </w:tc>
      </w:tr>
      <w:tr>
        <w:trPr>
          <w:trHeight w:val="391"/>
        </w:trPr>
        <w:tc>
          <w:tcPr>
            <w:tcW w:w="486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6560" w:type="dxa"/>
            <w:vAlign w:val="bottom"/>
          </w:tcPr>
          <w:p>
            <w:pPr>
              <w:spacing w:after="0"/>
              <w:rPr>
                <w:sz w:val="24"/>
                <w:szCs w:val="24"/>
                <w:color w:val="auto"/>
              </w:rPr>
            </w:pPr>
          </w:p>
        </w:tc>
      </w:tr>
      <w:tr>
        <w:trPr>
          <w:trHeight w:val="243"/>
        </w:trPr>
        <w:tc>
          <w:tcPr>
            <w:tcW w:w="4860" w:type="dxa"/>
            <w:vAlign w:val="bottom"/>
          </w:tcPr>
          <w:p>
            <w:pPr>
              <w:spacing w:after="0" w:line="243" w:lineRule="exact"/>
              <w:rPr>
                <w:sz w:val="20"/>
                <w:szCs w:val="20"/>
                <w:color w:val="auto"/>
              </w:rPr>
            </w:pPr>
            <w:r>
              <w:rPr>
                <w:rFonts w:ascii="Arial" w:cs="Arial" w:eastAsia="Arial" w:hAnsi="Arial"/>
                <w:sz w:val="17"/>
                <w:szCs w:val="17"/>
                <w:color w:val="auto"/>
              </w:rPr>
              <w:t>Erland E. Kailbourne, Chairman</w:t>
            </w:r>
            <w:r>
              <w:rPr>
                <w:rFonts w:ascii="Arial" w:cs="Arial" w:eastAsia="Arial" w:hAnsi="Arial"/>
                <w:sz w:val="28"/>
                <w:szCs w:val="28"/>
                <w:color w:val="auto"/>
                <w:vertAlign w:val="superscript"/>
              </w:rPr>
              <w:t>1</w:t>
            </w:r>
          </w:p>
        </w:tc>
        <w:tc>
          <w:tcPr>
            <w:tcW w:w="6560" w:type="dxa"/>
            <w:vAlign w:val="bottom"/>
          </w:tcPr>
          <w:p>
            <w:pPr>
              <w:ind w:left="760"/>
              <w:spacing w:after="0" w:line="243" w:lineRule="exact"/>
              <w:rPr>
                <w:sz w:val="20"/>
                <w:szCs w:val="20"/>
                <w:color w:val="auto"/>
              </w:rPr>
            </w:pPr>
            <w:r>
              <w:rPr>
                <w:rFonts w:ascii="Arial" w:cs="Arial" w:eastAsia="Arial" w:hAnsi="Arial"/>
                <w:sz w:val="17"/>
                <w:szCs w:val="17"/>
                <w:color w:val="auto"/>
              </w:rPr>
              <w:t>Edgar G. Hotard</w:t>
            </w:r>
            <w:r>
              <w:rPr>
                <w:rFonts w:ascii="Arial" w:cs="Arial" w:eastAsia="Arial" w:hAnsi="Arial"/>
                <w:sz w:val="28"/>
                <w:szCs w:val="28"/>
                <w:color w:val="auto"/>
                <w:vertAlign w:val="superscript"/>
              </w:rPr>
              <w:t>1,3</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Retired – Chairman and Chief Executive Officer,</w:t>
            </w:r>
          </w:p>
        </w:tc>
        <w:tc>
          <w:tcPr>
            <w:tcW w:w="6560" w:type="dxa"/>
            <w:vAlign w:val="bottom"/>
          </w:tcPr>
          <w:p>
            <w:pPr>
              <w:ind w:left="760"/>
              <w:spacing w:after="0" w:line="202" w:lineRule="exact"/>
              <w:rPr>
                <w:sz w:val="20"/>
                <w:szCs w:val="20"/>
                <w:color w:val="auto"/>
              </w:rPr>
            </w:pPr>
            <w:r>
              <w:rPr>
                <w:rFonts w:ascii="Arial" w:cs="Arial" w:eastAsia="Arial" w:hAnsi="Arial"/>
                <w:sz w:val="18"/>
                <w:szCs w:val="18"/>
                <w:color w:val="auto"/>
              </w:rPr>
              <w:t>Operating Partner - HAO Capital</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Fleet National Bank (New York Region)</w:t>
            </w:r>
          </w:p>
        </w:tc>
        <w:tc>
          <w:tcPr>
            <w:tcW w:w="6560" w:type="dxa"/>
            <w:vAlign w:val="bottom"/>
          </w:tcPr>
          <w:p>
            <w:pPr>
              <w:spacing w:after="0"/>
              <w:rPr>
                <w:sz w:val="18"/>
                <w:szCs w:val="18"/>
                <w:color w:val="auto"/>
              </w:rPr>
            </w:pPr>
          </w:p>
        </w:tc>
      </w:tr>
      <w:tr>
        <w:trPr>
          <w:trHeight w:val="431"/>
        </w:trPr>
        <w:tc>
          <w:tcPr>
            <w:tcW w:w="4860" w:type="dxa"/>
            <w:vAlign w:val="bottom"/>
          </w:tcPr>
          <w:p>
            <w:pPr>
              <w:spacing w:after="0"/>
              <w:rPr>
                <w:sz w:val="20"/>
                <w:szCs w:val="20"/>
                <w:color w:val="auto"/>
              </w:rPr>
            </w:pPr>
            <w:r>
              <w:rPr>
                <w:rFonts w:ascii="Arial" w:cs="Arial" w:eastAsia="Arial" w:hAnsi="Arial"/>
                <w:sz w:val="18"/>
                <w:szCs w:val="18"/>
                <w:color w:val="auto"/>
              </w:rPr>
              <w:t>John C. Standish,</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Vice Chairman</w:t>
            </w:r>
          </w:p>
        </w:tc>
        <w:tc>
          <w:tcPr>
            <w:tcW w:w="6560" w:type="dxa"/>
            <w:vAlign w:val="bottom"/>
          </w:tcPr>
          <w:p>
            <w:pPr>
              <w:ind w:left="760"/>
              <w:spacing w:after="0"/>
              <w:rPr>
                <w:sz w:val="20"/>
                <w:szCs w:val="20"/>
                <w:color w:val="auto"/>
              </w:rPr>
            </w:pPr>
            <w:r>
              <w:rPr>
                <w:rFonts w:ascii="Arial" w:cs="Arial" w:eastAsia="Arial" w:hAnsi="Arial"/>
                <w:sz w:val="18"/>
                <w:szCs w:val="18"/>
                <w:color w:val="auto"/>
              </w:rPr>
              <w:t>Joseph G. Morone</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President, J.S. Standish Company</w:t>
            </w:r>
          </w:p>
        </w:tc>
        <w:tc>
          <w:tcPr>
            <w:tcW w:w="6560" w:type="dxa"/>
            <w:vAlign w:val="bottom"/>
          </w:tcPr>
          <w:p>
            <w:pPr>
              <w:ind w:left="760"/>
              <w:spacing w:after="0"/>
              <w:rPr>
                <w:sz w:val="20"/>
                <w:szCs w:val="20"/>
                <w:color w:val="auto"/>
              </w:rPr>
            </w:pPr>
            <w:r>
              <w:rPr>
                <w:rFonts w:ascii="Arial" w:cs="Arial" w:eastAsia="Arial" w:hAnsi="Arial"/>
                <w:sz w:val="18"/>
                <w:szCs w:val="18"/>
                <w:color w:val="auto"/>
              </w:rPr>
              <w:t>President and Chief Executive Officer</w:t>
            </w:r>
          </w:p>
        </w:tc>
      </w:tr>
      <w:tr>
        <w:trPr>
          <w:trHeight w:val="431"/>
        </w:trPr>
        <w:tc>
          <w:tcPr>
            <w:tcW w:w="4860" w:type="dxa"/>
            <w:vAlign w:val="bottom"/>
          </w:tcPr>
          <w:p>
            <w:pPr>
              <w:spacing w:after="0"/>
              <w:rPr>
                <w:sz w:val="20"/>
                <w:szCs w:val="20"/>
                <w:color w:val="auto"/>
              </w:rPr>
            </w:pPr>
            <w:r>
              <w:rPr>
                <w:rFonts w:ascii="Arial" w:cs="Arial" w:eastAsia="Arial" w:hAnsi="Arial"/>
                <w:sz w:val="18"/>
                <w:szCs w:val="18"/>
                <w:color w:val="auto"/>
              </w:rPr>
              <w:t>John F. Cassidy, Jr.</w:t>
            </w:r>
            <w:r>
              <w:rPr>
                <w:rFonts w:ascii="Arial" w:cs="Arial" w:eastAsia="Arial" w:hAnsi="Arial"/>
                <w:sz w:val="30"/>
                <w:szCs w:val="30"/>
                <w:color w:val="auto"/>
                <w:vertAlign w:val="superscript"/>
              </w:rPr>
              <w:t>2</w:t>
            </w:r>
          </w:p>
        </w:tc>
        <w:tc>
          <w:tcPr>
            <w:tcW w:w="6560" w:type="dxa"/>
            <w:vAlign w:val="bottom"/>
          </w:tcPr>
          <w:p>
            <w:pPr>
              <w:ind w:left="760"/>
              <w:spacing w:after="0"/>
              <w:rPr>
                <w:sz w:val="20"/>
                <w:szCs w:val="20"/>
                <w:color w:val="auto"/>
              </w:rPr>
            </w:pPr>
            <w:r>
              <w:rPr>
                <w:rFonts w:ascii="Arial" w:cs="Arial" w:eastAsia="Arial" w:hAnsi="Arial"/>
                <w:sz w:val="18"/>
                <w:szCs w:val="18"/>
                <w:color w:val="auto"/>
              </w:rPr>
              <w:t>Christine L. Standish</w:t>
            </w:r>
            <w:r>
              <w:rPr>
                <w:rFonts w:ascii="Arial" w:cs="Arial" w:eastAsia="Arial" w:hAnsi="Arial"/>
                <w:sz w:val="30"/>
                <w:szCs w:val="30"/>
                <w:color w:val="auto"/>
                <w:vertAlign w:val="superscript"/>
              </w:rPr>
              <w:t>3</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Retired – Senior Vice President,</w:t>
            </w:r>
          </w:p>
        </w:tc>
        <w:tc>
          <w:tcPr>
            <w:tcW w:w="6560" w:type="dxa"/>
            <w:vAlign w:val="bottom"/>
          </w:tcPr>
          <w:p>
            <w:pPr>
              <w:ind w:left="760"/>
              <w:spacing w:after="0" w:line="202" w:lineRule="exact"/>
              <w:rPr>
                <w:sz w:val="20"/>
                <w:szCs w:val="20"/>
                <w:color w:val="auto"/>
              </w:rPr>
            </w:pPr>
            <w:r>
              <w:rPr>
                <w:rFonts w:ascii="Arial" w:cs="Arial" w:eastAsia="Arial" w:hAnsi="Arial"/>
                <w:sz w:val="18"/>
                <w:szCs w:val="18"/>
                <w:color w:val="auto"/>
              </w:rPr>
              <w:t>Chairperson, J.S. Standish Company</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Science and Technology, United Technologies Corp.</w:t>
            </w:r>
          </w:p>
        </w:tc>
        <w:tc>
          <w:tcPr>
            <w:tcW w:w="6560" w:type="dxa"/>
            <w:vAlign w:val="bottom"/>
          </w:tcPr>
          <w:p>
            <w:pPr>
              <w:spacing w:after="0"/>
              <w:rPr>
                <w:sz w:val="18"/>
                <w:szCs w:val="18"/>
                <w:color w:val="auto"/>
              </w:rPr>
            </w:pPr>
          </w:p>
        </w:tc>
      </w:tr>
      <w:tr>
        <w:trPr>
          <w:trHeight w:val="431"/>
        </w:trPr>
        <w:tc>
          <w:tcPr>
            <w:tcW w:w="4860" w:type="dxa"/>
            <w:vAlign w:val="bottom"/>
          </w:tcPr>
          <w:p>
            <w:pPr>
              <w:spacing w:after="0"/>
              <w:rPr>
                <w:sz w:val="20"/>
                <w:szCs w:val="20"/>
                <w:color w:val="auto"/>
              </w:rPr>
            </w:pPr>
            <w:r>
              <w:rPr>
                <w:rFonts w:ascii="Arial" w:cs="Arial" w:eastAsia="Arial" w:hAnsi="Arial"/>
                <w:sz w:val="18"/>
                <w:szCs w:val="18"/>
                <w:color w:val="auto"/>
              </w:rPr>
              <w:t>Paula H. J. Cholmondeley</w:t>
            </w:r>
            <w:r>
              <w:rPr>
                <w:rFonts w:ascii="Arial" w:cs="Arial" w:eastAsia="Arial" w:hAnsi="Arial"/>
                <w:sz w:val="30"/>
                <w:szCs w:val="30"/>
                <w:color w:val="auto"/>
                <w:vertAlign w:val="superscript"/>
              </w:rPr>
              <w:t>1,3</w:t>
            </w:r>
          </w:p>
        </w:tc>
        <w:tc>
          <w:tcPr>
            <w:tcW w:w="6560" w:type="dxa"/>
            <w:vAlign w:val="bottom"/>
          </w:tcPr>
          <w:p>
            <w:pPr>
              <w:ind w:left="760"/>
              <w:spacing w:after="0"/>
              <w:rPr>
                <w:sz w:val="20"/>
                <w:szCs w:val="20"/>
                <w:color w:val="auto"/>
              </w:rPr>
            </w:pPr>
            <w:r>
              <w:rPr>
                <w:rFonts w:ascii="Arial" w:cs="Arial" w:eastAsia="Arial" w:hAnsi="Arial"/>
                <w:sz w:val="18"/>
                <w:szCs w:val="18"/>
                <w:color w:val="auto"/>
              </w:rPr>
              <w:t>John R. Scannell</w:t>
            </w:r>
            <w:r>
              <w:rPr>
                <w:rFonts w:ascii="Arial" w:cs="Arial" w:eastAsia="Arial" w:hAnsi="Arial"/>
                <w:sz w:val="30"/>
                <w:szCs w:val="30"/>
                <w:color w:val="auto"/>
                <w:vertAlign w:val="superscript"/>
              </w:rPr>
              <w:t>2</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Retired – Vice President and General Manager,</w:t>
            </w:r>
          </w:p>
        </w:tc>
        <w:tc>
          <w:tcPr>
            <w:tcW w:w="6560" w:type="dxa"/>
            <w:vAlign w:val="bottom"/>
          </w:tcPr>
          <w:p>
            <w:pPr>
              <w:ind w:left="760"/>
              <w:spacing w:after="0" w:line="202" w:lineRule="exact"/>
              <w:rPr>
                <w:sz w:val="20"/>
                <w:szCs w:val="20"/>
                <w:color w:val="auto"/>
              </w:rPr>
            </w:pPr>
            <w:r>
              <w:rPr>
                <w:rFonts w:ascii="Arial" w:cs="Arial" w:eastAsia="Arial" w:hAnsi="Arial"/>
                <w:sz w:val="18"/>
                <w:szCs w:val="18"/>
                <w:color w:val="auto"/>
              </w:rPr>
              <w:t>Chief Executive Officer, Moog Inc.</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Sappi Fine Papers, North America</w:t>
            </w:r>
          </w:p>
        </w:tc>
        <w:tc>
          <w:tcPr>
            <w:tcW w:w="6560" w:type="dxa"/>
            <w:vAlign w:val="bottom"/>
          </w:tcPr>
          <w:p>
            <w:pPr>
              <w:spacing w:after="0"/>
              <w:rPr>
                <w:sz w:val="18"/>
                <w:szCs w:val="18"/>
                <w:color w:val="auto"/>
              </w:rPr>
            </w:pPr>
          </w:p>
        </w:tc>
      </w:tr>
      <w:tr>
        <w:trPr>
          <w:trHeight w:val="391"/>
        </w:trPr>
        <w:tc>
          <w:tcPr>
            <w:tcW w:w="4860" w:type="dxa"/>
            <w:vAlign w:val="bottom"/>
          </w:tcPr>
          <w:p>
            <w:pPr>
              <w:spacing w:after="0"/>
              <w:rPr>
                <w:sz w:val="24"/>
                <w:szCs w:val="24"/>
                <w:color w:val="auto"/>
              </w:rPr>
            </w:pPr>
          </w:p>
        </w:tc>
        <w:tc>
          <w:tcPr>
            <w:tcW w:w="6560" w:type="dxa"/>
            <w:vAlign w:val="bottom"/>
          </w:tcPr>
          <w:p>
            <w:pPr>
              <w:ind w:left="760"/>
              <w:spacing w:after="0"/>
              <w:rPr>
                <w:sz w:val="20"/>
                <w:szCs w:val="20"/>
                <w:color w:val="auto"/>
              </w:rPr>
            </w:pPr>
            <w:r>
              <w:rPr>
                <w:rFonts w:ascii="Arial" w:cs="Arial" w:eastAsia="Arial" w:hAnsi="Arial"/>
                <w:sz w:val="18"/>
                <w:szCs w:val="18"/>
                <w:color w:val="auto"/>
              </w:rPr>
              <w:t>¹ Member, Audit Committee</w:t>
            </w:r>
          </w:p>
        </w:tc>
      </w:tr>
      <w:tr>
        <w:trPr>
          <w:trHeight w:val="203"/>
        </w:trPr>
        <w:tc>
          <w:tcPr>
            <w:tcW w:w="4860" w:type="dxa"/>
            <w:vAlign w:val="bottom"/>
          </w:tcPr>
          <w:p>
            <w:pPr>
              <w:spacing w:after="0"/>
              <w:rPr>
                <w:sz w:val="17"/>
                <w:szCs w:val="17"/>
                <w:color w:val="auto"/>
              </w:rPr>
            </w:pPr>
          </w:p>
        </w:tc>
        <w:tc>
          <w:tcPr>
            <w:tcW w:w="6560" w:type="dxa"/>
            <w:vAlign w:val="bottom"/>
          </w:tcPr>
          <w:p>
            <w:pPr>
              <w:ind w:left="760"/>
              <w:spacing w:after="0" w:line="202" w:lineRule="exact"/>
              <w:rPr>
                <w:sz w:val="20"/>
                <w:szCs w:val="20"/>
                <w:color w:val="auto"/>
              </w:rPr>
            </w:pPr>
            <w:r>
              <w:rPr>
                <w:rFonts w:ascii="Arial" w:cs="Arial" w:eastAsia="Arial" w:hAnsi="Arial"/>
                <w:sz w:val="18"/>
                <w:szCs w:val="18"/>
                <w:color w:val="auto"/>
              </w:rPr>
              <w:t>² Member, Compensation Committee</w:t>
            </w:r>
          </w:p>
        </w:tc>
      </w:tr>
      <w:tr>
        <w:trPr>
          <w:trHeight w:val="217"/>
        </w:trPr>
        <w:tc>
          <w:tcPr>
            <w:tcW w:w="4860" w:type="dxa"/>
            <w:vAlign w:val="bottom"/>
          </w:tcPr>
          <w:p>
            <w:pPr>
              <w:spacing w:after="0"/>
              <w:rPr>
                <w:sz w:val="18"/>
                <w:szCs w:val="18"/>
                <w:color w:val="auto"/>
              </w:rPr>
            </w:pPr>
          </w:p>
        </w:tc>
        <w:tc>
          <w:tcPr>
            <w:tcW w:w="6560" w:type="dxa"/>
            <w:vAlign w:val="bottom"/>
          </w:tcPr>
          <w:p>
            <w:pPr>
              <w:ind w:left="760"/>
              <w:spacing w:after="0"/>
              <w:rPr>
                <w:sz w:val="20"/>
                <w:szCs w:val="20"/>
                <w:color w:val="auto"/>
              </w:rPr>
            </w:pPr>
            <w:r>
              <w:rPr>
                <w:rFonts w:ascii="Arial" w:cs="Arial" w:eastAsia="Arial" w:hAnsi="Arial"/>
                <w:sz w:val="18"/>
                <w:szCs w:val="18"/>
                <w:color w:val="auto"/>
              </w:rPr>
              <w:t>³ Member, Governance Committee</w:t>
            </w:r>
          </w:p>
        </w:tc>
      </w:tr>
      <w:tr>
        <w:trPr>
          <w:trHeight w:val="391"/>
        </w:trPr>
        <w:tc>
          <w:tcPr>
            <w:tcW w:w="4860" w:type="dxa"/>
            <w:vAlign w:val="bottom"/>
          </w:tcPr>
          <w:p>
            <w:pPr>
              <w:spacing w:after="0"/>
              <w:rPr>
                <w:sz w:val="20"/>
                <w:szCs w:val="20"/>
                <w:color w:val="auto"/>
              </w:rPr>
            </w:pPr>
            <w:r>
              <w:rPr>
                <w:rFonts w:ascii="Arial" w:cs="Arial" w:eastAsia="Arial" w:hAnsi="Arial"/>
                <w:sz w:val="18"/>
                <w:szCs w:val="18"/>
                <w:b w:val="1"/>
                <w:bCs w:val="1"/>
                <w:color w:val="auto"/>
              </w:rPr>
              <w:t>Officers</w:t>
            </w:r>
          </w:p>
        </w:tc>
        <w:tc>
          <w:tcPr>
            <w:tcW w:w="6560" w:type="dxa"/>
            <w:vAlign w:val="bottom"/>
          </w:tcPr>
          <w:p>
            <w:pPr>
              <w:spacing w:after="0"/>
              <w:rPr>
                <w:sz w:val="24"/>
                <w:szCs w:val="24"/>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Joseph G. Morone</w:t>
            </w:r>
          </w:p>
        </w:tc>
        <w:tc>
          <w:tcPr>
            <w:tcW w:w="6560" w:type="dxa"/>
            <w:vAlign w:val="bottom"/>
          </w:tcPr>
          <w:p>
            <w:pPr>
              <w:ind w:left="760"/>
              <w:spacing w:after="0" w:line="202" w:lineRule="exact"/>
              <w:rPr>
                <w:sz w:val="20"/>
                <w:szCs w:val="20"/>
                <w:color w:val="auto"/>
              </w:rPr>
            </w:pPr>
            <w:r>
              <w:rPr>
                <w:rFonts w:ascii="Arial" w:cs="Arial" w:eastAsia="Arial" w:hAnsi="Arial"/>
                <w:sz w:val="18"/>
                <w:szCs w:val="18"/>
                <w:color w:val="auto"/>
              </w:rPr>
              <w:t>John B. Cozzolino</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560" w:type="dxa"/>
            <w:vAlign w:val="bottom"/>
          </w:tcPr>
          <w:p>
            <w:pPr>
              <w:ind w:left="760"/>
              <w:spacing w:after="0"/>
              <w:rPr>
                <w:sz w:val="20"/>
                <w:szCs w:val="20"/>
                <w:color w:val="auto"/>
              </w:rPr>
            </w:pPr>
            <w:r>
              <w:rPr>
                <w:rFonts w:ascii="Arial" w:cs="Arial" w:eastAsia="Arial" w:hAnsi="Arial"/>
                <w:sz w:val="18"/>
                <w:szCs w:val="18"/>
                <w:color w:val="auto"/>
              </w:rPr>
              <w:t>Chief Financial Officer and Treasurer</w:t>
            </w:r>
          </w:p>
        </w:tc>
      </w:tr>
      <w:tr>
        <w:trPr>
          <w:trHeight w:val="391"/>
        </w:trPr>
        <w:tc>
          <w:tcPr>
            <w:tcW w:w="4860" w:type="dxa"/>
            <w:vAlign w:val="bottom"/>
          </w:tcPr>
          <w:p>
            <w:pPr>
              <w:spacing w:after="0"/>
              <w:rPr>
                <w:sz w:val="20"/>
                <w:szCs w:val="20"/>
                <w:color w:val="auto"/>
              </w:rPr>
            </w:pPr>
            <w:r>
              <w:rPr>
                <w:rFonts w:ascii="Arial" w:cs="Arial" w:eastAsia="Arial" w:hAnsi="Arial"/>
                <w:sz w:val="18"/>
                <w:szCs w:val="18"/>
                <w:color w:val="auto"/>
              </w:rPr>
              <w:t>Ralph M. Polumbo</w:t>
            </w:r>
          </w:p>
        </w:tc>
        <w:tc>
          <w:tcPr>
            <w:tcW w:w="6560" w:type="dxa"/>
            <w:vAlign w:val="bottom"/>
          </w:tcPr>
          <w:p>
            <w:pPr>
              <w:ind w:left="760"/>
              <w:spacing w:after="0"/>
              <w:rPr>
                <w:sz w:val="20"/>
                <w:szCs w:val="20"/>
                <w:color w:val="auto"/>
              </w:rPr>
            </w:pPr>
            <w:r>
              <w:rPr>
                <w:rFonts w:ascii="Arial" w:cs="Arial" w:eastAsia="Arial" w:hAnsi="Arial"/>
                <w:sz w:val="18"/>
                <w:szCs w:val="18"/>
                <w:color w:val="auto"/>
              </w:rPr>
              <w:t>David M. Pawlick</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Senior Vice President – Chief Operating Officer,</w:t>
            </w:r>
          </w:p>
        </w:tc>
        <w:tc>
          <w:tcPr>
            <w:tcW w:w="6560" w:type="dxa"/>
            <w:vAlign w:val="bottom"/>
          </w:tcPr>
          <w:p>
            <w:pPr>
              <w:ind w:left="760"/>
              <w:spacing w:after="0" w:line="202" w:lineRule="exact"/>
              <w:rPr>
                <w:sz w:val="20"/>
                <w:szCs w:val="20"/>
                <w:color w:val="auto"/>
              </w:rPr>
            </w:pPr>
            <w:r>
              <w:rPr>
                <w:rFonts w:ascii="Arial" w:cs="Arial" w:eastAsia="Arial" w:hAnsi="Arial"/>
                <w:sz w:val="18"/>
                <w:szCs w:val="18"/>
                <w:color w:val="auto"/>
              </w:rPr>
              <w:t>Vice President – Controller</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Albany Engineered Composites</w:t>
            </w:r>
          </w:p>
        </w:tc>
        <w:tc>
          <w:tcPr>
            <w:tcW w:w="6560" w:type="dxa"/>
            <w:vAlign w:val="bottom"/>
          </w:tcPr>
          <w:p>
            <w:pPr>
              <w:spacing w:after="0"/>
              <w:rPr>
                <w:sz w:val="18"/>
                <w:szCs w:val="18"/>
                <w:color w:val="auto"/>
              </w:rPr>
            </w:pPr>
          </w:p>
        </w:tc>
      </w:tr>
      <w:tr>
        <w:trPr>
          <w:trHeight w:val="391"/>
        </w:trPr>
        <w:tc>
          <w:tcPr>
            <w:tcW w:w="4860" w:type="dxa"/>
            <w:vAlign w:val="bottom"/>
          </w:tcPr>
          <w:p>
            <w:pPr>
              <w:spacing w:after="0"/>
              <w:rPr>
                <w:sz w:val="20"/>
                <w:szCs w:val="20"/>
                <w:color w:val="auto"/>
              </w:rPr>
            </w:pPr>
            <w:r>
              <w:rPr>
                <w:rFonts w:ascii="Arial" w:cs="Arial" w:eastAsia="Arial" w:hAnsi="Arial"/>
                <w:sz w:val="18"/>
                <w:szCs w:val="18"/>
                <w:color w:val="auto"/>
              </w:rPr>
              <w:t>Daniel A. Halftermeyer</w:t>
            </w:r>
          </w:p>
        </w:tc>
        <w:tc>
          <w:tcPr>
            <w:tcW w:w="6560" w:type="dxa"/>
            <w:vAlign w:val="bottom"/>
          </w:tcPr>
          <w:p>
            <w:pPr>
              <w:ind w:left="760"/>
              <w:spacing w:after="0"/>
              <w:rPr>
                <w:sz w:val="20"/>
                <w:szCs w:val="20"/>
                <w:color w:val="auto"/>
              </w:rPr>
            </w:pPr>
            <w:r>
              <w:rPr>
                <w:rFonts w:ascii="Arial" w:cs="Arial" w:eastAsia="Arial" w:hAnsi="Arial"/>
                <w:sz w:val="18"/>
                <w:szCs w:val="18"/>
                <w:color w:val="auto"/>
              </w:rPr>
              <w:t>Charles J. Silva, Jr.</w:t>
            </w: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President – Machine Clothing</w:t>
            </w:r>
          </w:p>
        </w:tc>
        <w:tc>
          <w:tcPr>
            <w:tcW w:w="6560" w:type="dxa"/>
            <w:vAlign w:val="bottom"/>
          </w:tcPr>
          <w:p>
            <w:pPr>
              <w:ind w:left="760"/>
              <w:spacing w:after="0"/>
              <w:rPr>
                <w:sz w:val="20"/>
                <w:szCs w:val="20"/>
                <w:color w:val="auto"/>
              </w:rPr>
            </w:pPr>
            <w:r>
              <w:rPr>
                <w:rFonts w:ascii="Arial" w:cs="Arial" w:eastAsia="Arial" w:hAnsi="Arial"/>
                <w:sz w:val="18"/>
                <w:szCs w:val="18"/>
                <w:color w:val="auto"/>
              </w:rPr>
              <w:t>Vice President – General Counsel and Secretary</w:t>
            </w:r>
          </w:p>
        </w:tc>
      </w:tr>
      <w:tr>
        <w:trPr>
          <w:trHeight w:val="391"/>
        </w:trPr>
        <w:tc>
          <w:tcPr>
            <w:tcW w:w="4860" w:type="dxa"/>
            <w:vAlign w:val="bottom"/>
          </w:tcPr>
          <w:p>
            <w:pPr>
              <w:spacing w:after="0"/>
              <w:rPr>
                <w:sz w:val="20"/>
                <w:szCs w:val="20"/>
                <w:color w:val="auto"/>
              </w:rPr>
            </w:pPr>
            <w:r>
              <w:rPr>
                <w:rFonts w:ascii="Arial" w:cs="Arial" w:eastAsia="Arial" w:hAnsi="Arial"/>
                <w:sz w:val="18"/>
                <w:szCs w:val="18"/>
                <w:color w:val="auto"/>
              </w:rPr>
              <w:t>Robert A. Hansen</w:t>
            </w:r>
          </w:p>
        </w:tc>
        <w:tc>
          <w:tcPr>
            <w:tcW w:w="6560" w:type="dxa"/>
            <w:vAlign w:val="bottom"/>
          </w:tcPr>
          <w:p>
            <w:pPr>
              <w:ind w:left="760"/>
              <w:spacing w:after="0"/>
              <w:rPr>
                <w:sz w:val="20"/>
                <w:szCs w:val="20"/>
                <w:color w:val="auto"/>
              </w:rPr>
            </w:pPr>
            <w:r>
              <w:rPr>
                <w:rFonts w:ascii="Arial" w:cs="Arial" w:eastAsia="Arial" w:hAnsi="Arial"/>
                <w:sz w:val="18"/>
                <w:szCs w:val="18"/>
                <w:color w:val="auto"/>
              </w:rPr>
              <w:t>Dawne H. Wimbrow</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Senior Vice President and Chief Technology Officer</w:t>
            </w:r>
          </w:p>
        </w:tc>
        <w:tc>
          <w:tcPr>
            <w:tcW w:w="6560" w:type="dxa"/>
            <w:vAlign w:val="bottom"/>
          </w:tcPr>
          <w:p>
            <w:pPr>
              <w:ind w:left="760"/>
              <w:spacing w:after="0" w:line="202" w:lineRule="exact"/>
              <w:rPr>
                <w:sz w:val="20"/>
                <w:szCs w:val="20"/>
                <w:color w:val="auto"/>
              </w:rPr>
            </w:pPr>
            <w:r>
              <w:rPr>
                <w:rFonts w:ascii="Arial" w:cs="Arial" w:eastAsia="Arial" w:hAnsi="Arial"/>
                <w:sz w:val="18"/>
                <w:szCs w:val="18"/>
                <w:color w:val="auto"/>
              </w:rPr>
              <w:t>Vice President – Global Information Services and Chief</w:t>
            </w:r>
          </w:p>
        </w:tc>
      </w:tr>
      <w:tr>
        <w:trPr>
          <w:trHeight w:val="217"/>
        </w:trPr>
        <w:tc>
          <w:tcPr>
            <w:tcW w:w="4860" w:type="dxa"/>
            <w:vAlign w:val="bottom"/>
          </w:tcPr>
          <w:p>
            <w:pPr>
              <w:spacing w:after="0"/>
              <w:rPr>
                <w:sz w:val="18"/>
                <w:szCs w:val="18"/>
                <w:color w:val="auto"/>
              </w:rPr>
            </w:pPr>
          </w:p>
        </w:tc>
        <w:tc>
          <w:tcPr>
            <w:tcW w:w="6560" w:type="dxa"/>
            <w:vAlign w:val="bottom"/>
          </w:tcPr>
          <w:p>
            <w:pPr>
              <w:ind w:left="760"/>
              <w:spacing w:after="0"/>
              <w:rPr>
                <w:sz w:val="20"/>
                <w:szCs w:val="20"/>
                <w:color w:val="auto"/>
              </w:rPr>
            </w:pPr>
            <w:r>
              <w:rPr>
                <w:rFonts w:ascii="Arial" w:cs="Arial" w:eastAsia="Arial" w:hAnsi="Arial"/>
                <w:sz w:val="18"/>
                <w:szCs w:val="18"/>
                <w:color w:val="auto"/>
              </w:rPr>
              <w:t>Information Officer</w:t>
            </w:r>
          </w:p>
        </w:tc>
      </w:tr>
      <w:tr>
        <w:trPr>
          <w:trHeight w:val="391"/>
        </w:trPr>
        <w:tc>
          <w:tcPr>
            <w:tcW w:w="4860" w:type="dxa"/>
            <w:vAlign w:val="bottom"/>
          </w:tcPr>
          <w:p>
            <w:pPr>
              <w:spacing w:after="0"/>
              <w:rPr>
                <w:sz w:val="20"/>
                <w:szCs w:val="20"/>
                <w:color w:val="auto"/>
              </w:rPr>
            </w:pPr>
            <w:r>
              <w:rPr>
                <w:rFonts w:ascii="Arial" w:cs="Arial" w:eastAsia="Arial" w:hAnsi="Arial"/>
                <w:sz w:val="18"/>
                <w:szCs w:val="18"/>
                <w:color w:val="auto"/>
              </w:rPr>
              <w:t>Joseph M. Gaug</w:t>
            </w:r>
          </w:p>
        </w:tc>
        <w:tc>
          <w:tcPr>
            <w:tcW w:w="6560" w:type="dxa"/>
            <w:vAlign w:val="bottom"/>
          </w:tcPr>
          <w:p>
            <w:pPr>
              <w:spacing w:after="0"/>
              <w:rPr>
                <w:sz w:val="24"/>
                <w:szCs w:val="24"/>
                <w:color w:val="auto"/>
              </w:rPr>
            </w:pP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Associate General Counsel and Assistant Secretary</w:t>
            </w:r>
          </w:p>
        </w:tc>
        <w:tc>
          <w:tcPr>
            <w:tcW w:w="6560" w:type="dxa"/>
            <w:vAlign w:val="bottom"/>
          </w:tcPr>
          <w:p>
            <w:pPr>
              <w:spacing w:after="0"/>
              <w:rPr>
                <w:sz w:val="18"/>
                <w:szCs w:val="18"/>
                <w:color w:val="auto"/>
              </w:rPr>
            </w:pPr>
          </w:p>
        </w:tc>
      </w:tr>
      <w:tr>
        <w:trPr>
          <w:trHeight w:val="392"/>
        </w:trPr>
        <w:tc>
          <w:tcPr>
            <w:tcW w:w="4860" w:type="dxa"/>
            <w:vAlign w:val="bottom"/>
          </w:tcPr>
          <w:p>
            <w:pPr>
              <w:spacing w:after="0"/>
              <w:rPr>
                <w:sz w:val="24"/>
                <w:szCs w:val="24"/>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102</w:t>
            </w:r>
          </w:p>
        </w:tc>
      </w:tr>
      <w:tr>
        <w:trPr>
          <w:trHeight w:val="196"/>
        </w:trPr>
        <w:tc>
          <w:tcPr>
            <w:tcW w:w="486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616" w:right="2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ind w:left="100"/>
              <w:spacing w:after="0"/>
              <w:rPr>
                <w:sz w:val="20"/>
                <w:szCs w:val="20"/>
                <w:color w:val="auto"/>
              </w:rPr>
            </w:pPr>
            <w:r>
              <w:rPr>
                <w:rFonts w:ascii="Arial" w:cs="Arial" w:eastAsia="Arial" w:hAnsi="Arial"/>
                <w:sz w:val="14"/>
                <w:szCs w:val="14"/>
                <w:b w:val="1"/>
                <w:bCs w:val="1"/>
                <w:color w:val="auto"/>
              </w:rPr>
              <w:t>SUBSIDIARIES OF REGISTRANT</w:t>
            </w:r>
          </w:p>
        </w:tc>
        <w:tc>
          <w:tcPr>
            <w:tcW w:w="20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100" w:type="dxa"/>
            <w:vAlign w:val="bottom"/>
          </w:tcPr>
          <w:p>
            <w:pPr>
              <w:ind w:left="240"/>
              <w:spacing w:after="0"/>
              <w:rPr>
                <w:sz w:val="20"/>
                <w:szCs w:val="20"/>
                <w:color w:val="auto"/>
              </w:rPr>
            </w:pPr>
            <w:r>
              <w:rPr>
                <w:rFonts w:ascii="Arial" w:cs="Arial" w:eastAsia="Arial" w:hAnsi="Arial"/>
                <w:sz w:val="14"/>
                <w:szCs w:val="14"/>
                <w:b w:val="1"/>
                <w:bCs w:val="1"/>
                <w:color w:val="auto"/>
              </w:rPr>
              <w:t>Exhibit 21</w:t>
            </w:r>
          </w:p>
        </w:tc>
      </w:tr>
      <w:tr>
        <w:trPr>
          <w:trHeight w:val="525"/>
        </w:trPr>
        <w:tc>
          <w:tcPr>
            <w:tcW w:w="4960" w:type="dxa"/>
            <w:vAlign w:val="bottom"/>
          </w:tcPr>
          <w:p>
            <w:pPr>
              <w:spacing w:after="0"/>
              <w:rPr>
                <w:sz w:val="24"/>
                <w:szCs w:val="24"/>
                <w:color w:val="auto"/>
              </w:rPr>
            </w:pPr>
          </w:p>
        </w:tc>
        <w:tc>
          <w:tcPr>
            <w:tcW w:w="2020" w:type="dxa"/>
            <w:vAlign w:val="bottom"/>
          </w:tcPr>
          <w:p>
            <w:pPr>
              <w:jc w:val="center"/>
              <w:ind w:left="468"/>
              <w:spacing w:after="0"/>
              <w:rPr>
                <w:sz w:val="20"/>
                <w:szCs w:val="20"/>
                <w:color w:val="auto"/>
              </w:rPr>
            </w:pPr>
            <w:r>
              <w:rPr>
                <w:rFonts w:ascii="Arial" w:cs="Arial" w:eastAsia="Arial" w:hAnsi="Arial"/>
                <w:sz w:val="14"/>
                <w:szCs w:val="14"/>
                <w:b w:val="1"/>
                <w:bCs w:val="1"/>
                <w:color w:val="auto"/>
              </w:rPr>
              <w:t>Percent</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rPr>
              <w:t>Percent</w:t>
            </w:r>
          </w:p>
        </w:tc>
        <w:tc>
          <w:tcPr>
            <w:tcW w:w="3100" w:type="dxa"/>
            <w:vAlign w:val="bottom"/>
          </w:tcPr>
          <w:p>
            <w:pPr>
              <w:spacing w:after="0"/>
              <w:rPr>
                <w:sz w:val="24"/>
                <w:szCs w:val="24"/>
                <w:color w:val="auto"/>
              </w:rPr>
            </w:pPr>
          </w:p>
        </w:tc>
      </w:tr>
      <w:tr>
        <w:trPr>
          <w:trHeight w:val="175"/>
        </w:trPr>
        <w:tc>
          <w:tcPr>
            <w:tcW w:w="496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Affiliate</w:t>
            </w:r>
          </w:p>
        </w:tc>
        <w:tc>
          <w:tcPr>
            <w:tcW w:w="20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Ownership</w:t>
            </w:r>
          </w:p>
        </w:tc>
        <w:tc>
          <w:tcPr>
            <w:tcW w:w="13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Ownership</w:t>
            </w:r>
          </w:p>
        </w:tc>
        <w:tc>
          <w:tcPr>
            <w:tcW w:w="31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Country of Incorporation</w:t>
            </w:r>
          </w:p>
        </w:tc>
      </w:tr>
      <w:tr>
        <w:trPr>
          <w:trHeight w:val="184"/>
        </w:trPr>
        <w:tc>
          <w:tcPr>
            <w:tcW w:w="4960" w:type="dxa"/>
            <w:vAlign w:val="bottom"/>
          </w:tcPr>
          <w:p>
            <w:pPr>
              <w:spacing w:after="0"/>
              <w:rPr>
                <w:sz w:val="15"/>
                <w:szCs w:val="15"/>
                <w:color w:val="auto"/>
              </w:rPr>
            </w:pPr>
          </w:p>
        </w:tc>
        <w:tc>
          <w:tcPr>
            <w:tcW w:w="2020" w:type="dxa"/>
            <w:vAlign w:val="bottom"/>
          </w:tcPr>
          <w:p>
            <w:pPr>
              <w:jc w:val="center"/>
              <w:ind w:left="448"/>
              <w:spacing w:after="0"/>
              <w:rPr>
                <w:sz w:val="20"/>
                <w:szCs w:val="20"/>
                <w:color w:val="auto"/>
              </w:rPr>
            </w:pPr>
            <w:r>
              <w:rPr>
                <w:rFonts w:ascii="Arial" w:cs="Arial" w:eastAsia="Arial" w:hAnsi="Arial"/>
                <w:sz w:val="14"/>
                <w:szCs w:val="14"/>
                <w:b w:val="1"/>
                <w:bCs w:val="1"/>
                <w:color w:val="auto"/>
              </w:rPr>
              <w:t>Direct</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rPr>
              <w:t>Indirect</w:t>
            </w:r>
          </w:p>
        </w:tc>
        <w:tc>
          <w:tcPr>
            <w:tcW w:w="3100" w:type="dxa"/>
            <w:vAlign w:val="bottom"/>
          </w:tcPr>
          <w:p>
            <w:pPr>
              <w:spacing w:after="0"/>
              <w:rPr>
                <w:sz w:val="15"/>
                <w:szCs w:val="15"/>
                <w:color w:val="auto"/>
              </w:rPr>
            </w:pPr>
          </w:p>
        </w:tc>
      </w:tr>
      <w:tr>
        <w:trPr>
          <w:trHeight w:val="301"/>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Corp.</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Holdings Two, Inc.</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Research Co.</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Engineered Composites, Inc.</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Geschmay Corp.</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Dritek Corp.</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Felt Company</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AIC Sales Corporation</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Transamerican Manufacturing, Inc.</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Transglobal Enterprises, Inc.</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47 Albany Troy Road Corporation</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Brandon Drying Fabrics, Inc.</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Geschmay Forming Fabrics Corp.</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Geschmay Wet Felts, Inc.</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United States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Pty.,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Australia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Asia Pty.,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Australia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Tecidos Tecnicos Ltda.</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Brazil</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Canada Corp.</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Canada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(China) Co.,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China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Engineered Textiles (Hangzhou) Co.,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China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Oy</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Finland</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France, S.A.S.</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France</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Engineered Composites, S.A.S.</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France</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Germany Holding GmbH</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Germany</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GmbH</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Germany</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Wurttembergische Filztuchfabrik D. Geschmay GmbH</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Germany</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Italia S.r.l.</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Italy</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Nordiskafilt Kabushiki Kaisha</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Japan</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Korea, Inc.</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Korea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de Mexico S.A. de C.V.</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Mexico</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B.V.</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Netherlands</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Nevo-Cloth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w w:val="99"/>
              </w:rPr>
              <w:t>50%</w:t>
            </w:r>
          </w:p>
        </w:tc>
        <w:tc>
          <w:tcPr>
            <w:tcW w:w="3100" w:type="dxa"/>
            <w:vAlign w:val="bottom"/>
          </w:tcPr>
          <w:p>
            <w:pPr>
              <w:ind w:left="240"/>
              <w:spacing w:after="0"/>
              <w:rPr>
                <w:sz w:val="20"/>
                <w:szCs w:val="20"/>
                <w:color w:val="auto"/>
              </w:rPr>
            </w:pPr>
            <w:r>
              <w:rPr>
                <w:rFonts w:ascii="Arial" w:cs="Arial" w:eastAsia="Arial" w:hAnsi="Arial"/>
                <w:sz w:val="14"/>
                <w:szCs w:val="14"/>
                <w:color w:val="auto"/>
              </w:rPr>
              <w:t>Russia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S.A. Pty.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South Africa</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AB</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Sweden</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Holding AB</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Sweden</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Dewa Consulting AB</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Sweden</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Nordiska Maskinfilt Aktiebolag</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Sweden</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(Switzerland) GmbH</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Switzerland</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Holding (Switzerland) AG</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Switzerland</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Europe GmbH</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Switzerland</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Albany International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United Kingdom</w:t>
            </w:r>
          </w:p>
        </w:tc>
      </w:tr>
      <w:tr>
        <w:trPr>
          <w:trHeight w:val="162"/>
        </w:trPr>
        <w:tc>
          <w:tcPr>
            <w:tcW w:w="4960" w:type="dxa"/>
            <w:vAlign w:val="bottom"/>
          </w:tcPr>
          <w:p>
            <w:pPr>
              <w:ind w:left="100"/>
              <w:spacing w:after="0"/>
              <w:rPr>
                <w:sz w:val="20"/>
                <w:szCs w:val="20"/>
                <w:color w:val="auto"/>
              </w:rPr>
            </w:pPr>
            <w:r>
              <w:rPr>
                <w:rFonts w:ascii="Arial" w:cs="Arial" w:eastAsia="Arial" w:hAnsi="Arial"/>
                <w:sz w:val="14"/>
                <w:szCs w:val="14"/>
                <w:color w:val="auto"/>
              </w:rPr>
              <w:t>James Kenyon &amp; Sons Ltd.</w:t>
            </w:r>
          </w:p>
        </w:tc>
        <w:tc>
          <w:tcPr>
            <w:tcW w:w="2020" w:type="dxa"/>
            <w:vAlign w:val="bottom"/>
          </w:tcPr>
          <w:p>
            <w:pPr>
              <w:jc w:val="center"/>
              <w:ind w:left="468"/>
              <w:spacing w:after="0"/>
              <w:rPr>
                <w:sz w:val="20"/>
                <w:szCs w:val="20"/>
                <w:color w:val="auto"/>
              </w:rPr>
            </w:pPr>
            <w:r>
              <w:rPr>
                <w:rFonts w:ascii="Arial" w:cs="Arial" w:eastAsia="Arial" w:hAnsi="Arial"/>
                <w:sz w:val="14"/>
                <w:szCs w:val="14"/>
                <w:color w:val="auto"/>
              </w:rPr>
              <w:t>100%</w:t>
            </w:r>
          </w:p>
        </w:tc>
        <w:tc>
          <w:tcPr>
            <w:tcW w:w="1340" w:type="dxa"/>
            <w:vAlign w:val="bottom"/>
          </w:tcPr>
          <w:p>
            <w:pPr>
              <w:spacing w:after="0"/>
              <w:rPr>
                <w:sz w:val="14"/>
                <w:szCs w:val="14"/>
                <w:color w:val="auto"/>
              </w:rPr>
            </w:pPr>
          </w:p>
        </w:tc>
        <w:tc>
          <w:tcPr>
            <w:tcW w:w="3100" w:type="dxa"/>
            <w:vAlign w:val="bottom"/>
          </w:tcPr>
          <w:p>
            <w:pPr>
              <w:ind w:left="240"/>
              <w:spacing w:after="0"/>
              <w:rPr>
                <w:sz w:val="20"/>
                <w:szCs w:val="20"/>
                <w:color w:val="auto"/>
              </w:rPr>
            </w:pPr>
            <w:r>
              <w:rPr>
                <w:rFonts w:ascii="Arial" w:cs="Arial" w:eastAsia="Arial" w:hAnsi="Arial"/>
                <w:sz w:val="14"/>
                <w:szCs w:val="14"/>
                <w:color w:val="auto"/>
              </w:rPr>
              <w:t>United Kingdom</w:t>
            </w:r>
          </w:p>
        </w:tc>
      </w:tr>
      <w:tr>
        <w:trPr>
          <w:trHeight w:val="172"/>
        </w:trPr>
        <w:tc>
          <w:tcPr>
            <w:tcW w:w="4960" w:type="dxa"/>
            <w:vAlign w:val="bottom"/>
          </w:tcPr>
          <w:p>
            <w:pPr>
              <w:ind w:left="100"/>
              <w:spacing w:after="0"/>
              <w:rPr>
                <w:sz w:val="20"/>
                <w:szCs w:val="20"/>
                <w:color w:val="auto"/>
              </w:rPr>
            </w:pPr>
            <w:r>
              <w:rPr>
                <w:rFonts w:ascii="Arial" w:cs="Arial" w:eastAsia="Arial" w:hAnsi="Arial"/>
                <w:sz w:val="14"/>
                <w:szCs w:val="14"/>
                <w:color w:val="auto"/>
              </w:rPr>
              <w:t>Albany Engineered Composites, Ltd.</w:t>
            </w:r>
          </w:p>
        </w:tc>
        <w:tc>
          <w:tcPr>
            <w:tcW w:w="2020" w:type="dxa"/>
            <w:vAlign w:val="bottom"/>
          </w:tcPr>
          <w:p>
            <w:pPr>
              <w:spacing w:after="0"/>
              <w:rPr>
                <w:sz w:val="14"/>
                <w:szCs w:val="14"/>
                <w:color w:val="auto"/>
              </w:rPr>
            </w:pPr>
          </w:p>
        </w:tc>
        <w:tc>
          <w:tcPr>
            <w:tcW w:w="1340" w:type="dxa"/>
            <w:vAlign w:val="bottom"/>
          </w:tcPr>
          <w:p>
            <w:pPr>
              <w:jc w:val="center"/>
              <w:ind w:left="68"/>
              <w:spacing w:after="0"/>
              <w:rPr>
                <w:sz w:val="20"/>
                <w:szCs w:val="20"/>
                <w:color w:val="auto"/>
              </w:rPr>
            </w:pPr>
            <w:r>
              <w:rPr>
                <w:rFonts w:ascii="Arial" w:cs="Arial" w:eastAsia="Arial" w:hAnsi="Arial"/>
                <w:sz w:val="14"/>
                <w:szCs w:val="14"/>
                <w:color w:val="auto"/>
              </w:rPr>
              <w:t>100%</w:t>
            </w:r>
          </w:p>
        </w:tc>
        <w:tc>
          <w:tcPr>
            <w:tcW w:w="3100" w:type="dxa"/>
            <w:vAlign w:val="bottom"/>
          </w:tcPr>
          <w:p>
            <w:pPr>
              <w:ind w:left="240"/>
              <w:spacing w:after="0"/>
              <w:rPr>
                <w:sz w:val="20"/>
                <w:szCs w:val="20"/>
                <w:color w:val="auto"/>
              </w:rPr>
            </w:pPr>
            <w:r>
              <w:rPr>
                <w:rFonts w:ascii="Arial" w:cs="Arial" w:eastAsia="Arial" w:hAnsi="Arial"/>
                <w:sz w:val="14"/>
                <w:szCs w:val="14"/>
                <w:color w:val="auto"/>
              </w:rPr>
              <w:t>United Kingdom</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07"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23</w:t>
      </w:r>
    </w:p>
    <w:p>
      <w:pPr>
        <w:spacing w:after="0" w:line="170" w:lineRule="exact"/>
        <w:rPr>
          <w:sz w:val="20"/>
          <w:szCs w:val="20"/>
          <w:color w:val="auto"/>
        </w:rPr>
      </w:pPr>
    </w:p>
    <w:p>
      <w:pPr>
        <w:ind w:left="2940"/>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hereby consent to the incorporation by reference in the Registration Statement on Form S-8 (File Nos. 333-140995, 333-76078, 033-28028, 333-90069, 033-60767) of Albany International Corp. of our report dated March 1, 2013, relating to the financial statements, financial statement schedule, and the effectiveness of internal control over financial reporting, which appears in this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Albany,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24</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Powers of Attorney</w:t>
      </w:r>
    </w:p>
    <w:p>
      <w:pPr>
        <w:spacing w:after="0" w:line="20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KNOW ALL MEN BY THESE PRESENTS, that each of the undersigned directors and officers of Albany International Corp., a Delaware corporation (“the Registrant”), which contemplates that it will file with the Securities and Exchange Commission (“the SEC”) under, or in connection with, the provisions of the Securities Exchange Act of 1934, as amended, or rules and regulations promulgated thereunder, an Annual Report on Form 10-K for the year ended December 31, 2012 (such report, together with any amendments, supplements, and exhibits thereto, is collectively hereinafter referred to as “Form 10-K”), hereby constitutes and appoints Joseph G. Morone, David M. Pawlick, Charles J. Silva Jr., John B. Cozzolino, and Joseph M. Gaug, and each of them with full power to act without the others, his or her true and lawful attorneys-in-fact and agents, with full and several power of substitution, for him or her in his or her name, place, and stead, in any and all capacities, to sign the Form 10-K and any or all other documents relating thereto, with power where appropriate to affix the corporate seal of the Registrant thereto and to attest said seal, and to file the Form 10-K,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96"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The appointment of any attorney-in-fact and agent hereunder shall automatically terminate at such time as such attorney-in-fact and agent ceases to be an officer of the Registrant. Any of the undersigned may terminate the appointment of any of his or her attorneys-in-fact and agents hereunder by delivering written notice thereof to the Registrant.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duly executed this Power of Attorney this 15th day of February, 2013.</w:t>
      </w:r>
    </w:p>
    <w:p>
      <w:pPr>
        <w:sectPr>
          <w:pgSz w:w="11900" w:h="16838" w:orient="portrait"/>
          <w:cols w:equalWidth="0" w:num="1">
            <w:col w:w="11420"/>
          </w:cols>
          <w:pgMar w:left="240" w:top="118" w:right="23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/s/ Erland E. Kailbourne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Erland E. Kailbourne</w:t>
      </w:r>
    </w:p>
    <w:p>
      <w:pPr>
        <w:spacing w:after="0"/>
        <w:rPr>
          <w:sz w:val="20"/>
          <w:szCs w:val="20"/>
          <w:color w:val="auto"/>
        </w:rPr>
      </w:pPr>
      <w:r>
        <w:rPr>
          <w:rFonts w:ascii="Arial" w:cs="Arial" w:eastAsia="Arial" w:hAnsi="Arial"/>
          <w:sz w:val="20"/>
          <w:szCs w:val="20"/>
          <w:color w:val="auto"/>
        </w:rPr>
        <w:t>Chairman of the Board and 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 John B. Cozzolino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John B. Cozzolino</w:t>
      </w:r>
    </w:p>
    <w:p>
      <w:pPr>
        <w:spacing w:after="0" w:line="225" w:lineRule="auto"/>
        <w:rPr>
          <w:sz w:val="20"/>
          <w:szCs w:val="20"/>
          <w:color w:val="auto"/>
        </w:rPr>
      </w:pPr>
      <w:r>
        <w:rPr>
          <w:rFonts w:ascii="Arial" w:cs="Arial" w:eastAsia="Arial" w:hAnsi="Arial"/>
          <w:sz w:val="20"/>
          <w:szCs w:val="20"/>
          <w:color w:val="auto"/>
        </w:rPr>
        <w:t>Chief Financial Officer and Treasurer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(Principal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John C. Standish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John C. Standish</w:t>
      </w:r>
    </w:p>
    <w:p>
      <w:pPr>
        <w:spacing w:after="0"/>
        <w:rPr>
          <w:sz w:val="20"/>
          <w:szCs w:val="20"/>
          <w:color w:val="auto"/>
        </w:rPr>
      </w:pPr>
      <w:r>
        <w:rPr>
          <w:rFonts w:ascii="Arial" w:cs="Arial" w:eastAsia="Arial" w:hAnsi="Arial"/>
          <w:sz w:val="19"/>
          <w:szCs w:val="19"/>
          <w:color w:val="auto"/>
        </w:rPr>
        <w:t>Vice Chairman of the Board and Director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John R. Scannell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John R. Scannell</w:t>
      </w:r>
    </w:p>
    <w:p>
      <w:pPr>
        <w:spacing w:after="0"/>
        <w:rPr>
          <w:sz w:val="20"/>
          <w:szCs w:val="20"/>
          <w:color w:val="auto"/>
        </w:rPr>
      </w:pPr>
      <w:r>
        <w:rPr>
          <w:rFonts w:ascii="Arial" w:cs="Arial" w:eastAsia="Arial" w:hAnsi="Arial"/>
          <w:sz w:val="20"/>
          <w:szCs w:val="20"/>
          <w:color w:val="auto"/>
        </w:rPr>
        <w:t>Director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John F. Cassidy,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John F. Cassidy, Jr.</w:t>
      </w:r>
    </w:p>
    <w:p>
      <w:pPr>
        <w:spacing w:after="0"/>
        <w:rPr>
          <w:sz w:val="20"/>
          <w:szCs w:val="20"/>
          <w:color w:val="auto"/>
        </w:rPr>
      </w:pP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/s/ Joseph G. Morone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Joseph G. Morone</w:t>
      </w:r>
    </w:p>
    <w:p>
      <w:pPr>
        <w:spacing w:after="0" w:line="237" w:lineRule="auto"/>
        <w:rPr>
          <w:sz w:val="20"/>
          <w:szCs w:val="20"/>
          <w:color w:val="auto"/>
        </w:rPr>
      </w:pPr>
      <w:r>
        <w:rPr>
          <w:rFonts w:ascii="Arial" w:cs="Arial" w:eastAsia="Arial" w:hAnsi="Arial"/>
          <w:sz w:val="19"/>
          <w:szCs w:val="19"/>
          <w:color w:val="auto"/>
        </w:rPr>
        <w:t>President and Chief Executive</w:t>
      </w:r>
    </w:p>
    <w:p>
      <w:pPr>
        <w:spacing w:after="0" w:line="226" w:lineRule="auto"/>
        <w:rPr>
          <w:sz w:val="20"/>
          <w:szCs w:val="20"/>
          <w:color w:val="auto"/>
        </w:rPr>
      </w:pPr>
      <w:r>
        <w:rPr>
          <w:rFonts w:ascii="Arial" w:cs="Arial" w:eastAsia="Arial" w:hAnsi="Arial"/>
          <w:sz w:val="20"/>
          <w:szCs w:val="20"/>
          <w:color w:val="auto"/>
        </w:rPr>
        <w:t>Officer and Director</w:t>
      </w:r>
    </w:p>
    <w:p>
      <w:pPr>
        <w:spacing w:after="0"/>
        <w:rPr>
          <w:sz w:val="20"/>
          <w:szCs w:val="20"/>
          <w:color w:val="auto"/>
        </w:rPr>
      </w:pPr>
      <w:r>
        <w:rPr>
          <w:rFonts w:ascii="Arial" w:cs="Arial" w:eastAsia="Arial" w:hAnsi="Arial"/>
          <w:sz w:val="20"/>
          <w:szCs w:val="20"/>
          <w:color w:val="auto"/>
        </w:rPr>
        <w:t>(Principal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David M. Pawlick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David M. Pawlick</w:t>
      </w:r>
    </w:p>
    <w:p>
      <w:pPr>
        <w:spacing w:after="0" w:line="225" w:lineRule="auto"/>
        <w:rPr>
          <w:sz w:val="20"/>
          <w:szCs w:val="20"/>
          <w:color w:val="auto"/>
        </w:rPr>
      </w:pPr>
      <w:r>
        <w:rPr>
          <w:rFonts w:ascii="Arial" w:cs="Arial" w:eastAsia="Arial" w:hAnsi="Arial"/>
          <w:sz w:val="20"/>
          <w:szCs w:val="20"/>
          <w:color w:val="auto"/>
        </w:rPr>
        <w:t>Vice President - Controller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(Principal Accounting Officer)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Christine L. Standish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Christine L. Standish</w:t>
      </w:r>
    </w:p>
    <w:p>
      <w:pPr>
        <w:spacing w:after="0"/>
        <w:rPr>
          <w:sz w:val="20"/>
          <w:szCs w:val="20"/>
          <w:color w:val="auto"/>
        </w:rPr>
      </w:pPr>
      <w:r>
        <w:rPr>
          <w:rFonts w:ascii="Arial" w:cs="Arial" w:eastAsia="Arial" w:hAnsi="Arial"/>
          <w:sz w:val="20"/>
          <w:szCs w:val="20"/>
          <w:color w:val="auto"/>
        </w:rPr>
        <w:t>Director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Paula H. J. Cholmondeley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Paula H. J. Cholmondeley</w:t>
      </w:r>
    </w:p>
    <w:p>
      <w:pPr>
        <w:spacing w:after="0"/>
        <w:rPr>
          <w:sz w:val="20"/>
          <w:szCs w:val="20"/>
          <w:color w:val="auto"/>
        </w:rPr>
      </w:pPr>
      <w:r>
        <w:rPr>
          <w:rFonts w:ascii="Arial" w:cs="Arial" w:eastAsia="Arial" w:hAnsi="Arial"/>
          <w:sz w:val="20"/>
          <w:szCs w:val="20"/>
          <w:color w:val="auto"/>
        </w:rPr>
        <w:t>Director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Edgar G. Hotard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20"/>
          <w:szCs w:val="20"/>
          <w:color w:val="auto"/>
        </w:rPr>
        <w:t>Edgar G. Hotard</w:t>
      </w:r>
    </w:p>
    <w:p>
      <w:pPr>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ectPr>
          <w:pgSz w:w="11900" w:h="16838" w:orient="portrait"/>
          <w:cols w:equalWidth="0" w:num="2">
            <w:col w:w="6140" w:space="720"/>
            <w:col w:w="4560"/>
          </w:cols>
          <w:pgMar w:left="240" w:top="118" w:right="239" w:bottom="1440" w:gutter="0" w:footer="0" w:header="0"/>
          <w:type w:val="continuous"/>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170"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Certification of the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04"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03" w:lineRule="exact"/>
        <w:rPr>
          <w:rFonts w:ascii="Arial" w:cs="Arial" w:eastAsia="Arial" w:hAnsi="Arial"/>
          <w:sz w:val="18"/>
          <w:szCs w:val="18"/>
          <w:color w:val="auto"/>
        </w:rPr>
      </w:pPr>
    </w:p>
    <w:p>
      <w:pPr>
        <w:ind w:left="360" w:right="22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360" w:right="320" w:hanging="352"/>
        <w:spacing w:after="0" w:line="275" w:lineRule="auto"/>
        <w:tabs>
          <w:tab w:leader="none" w:pos="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60" w:right="20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360" w:right="280" w:firstLine="8"/>
        <w:spacing w:after="0"/>
        <w:tabs>
          <w:tab w:leader="none" w:pos="6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360" w:right="20" w:firstLine="8"/>
        <w:spacing w:after="0"/>
        <w:tabs>
          <w:tab w:leader="none" w:pos="6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360" w:right="240" w:firstLine="8"/>
        <w:spacing w:after="0"/>
        <w:tabs>
          <w:tab w:leader="none" w:pos="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360" w:right="40" w:firstLine="8"/>
        <w:spacing w:after="0"/>
        <w:tabs>
          <w:tab w:leader="none" w:pos="6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360" w:right="30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360" w:right="460" w:firstLine="8"/>
        <w:spacing w:after="0" w:line="246" w:lineRule="auto"/>
        <w:tabs>
          <w:tab w:leader="none" w:pos="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360" w:right="60" w:firstLine="8"/>
        <w:spacing w:after="0" w:line="246" w:lineRule="auto"/>
        <w:tabs>
          <w:tab w:leader="none" w:pos="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9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ind w:left="7440"/>
        <w:spacing w:after="0" w:line="234" w:lineRule="auto"/>
        <w:rPr>
          <w:sz w:val="20"/>
          <w:szCs w:val="20"/>
          <w:color w:val="auto"/>
        </w:rPr>
      </w:pPr>
      <w:r>
        <w:rPr>
          <w:rFonts w:ascii="Arial" w:cs="Arial" w:eastAsia="Arial" w:hAnsi="Arial"/>
          <w:sz w:val="18"/>
          <w:szCs w:val="18"/>
          <w:color w:val="auto"/>
        </w:rPr>
        <w:t>Joseph G. Morone</w:t>
      </w:r>
    </w:p>
    <w:p>
      <w:pPr>
        <w:ind w:left="744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18"/>
          <w:szCs w:val="18"/>
          <w:u w:val="single" w:color="auto"/>
          <w:color w:val="auto"/>
        </w:rPr>
        <w:t>Certification of the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04"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10-K of Albany International Corp.;</w:t>
      </w:r>
    </w:p>
    <w:p>
      <w:pPr>
        <w:spacing w:after="0" w:line="103" w:lineRule="exact"/>
        <w:rPr>
          <w:rFonts w:ascii="Arial" w:cs="Arial" w:eastAsia="Arial" w:hAnsi="Arial"/>
          <w:sz w:val="18"/>
          <w:szCs w:val="18"/>
          <w:color w:val="auto"/>
        </w:rPr>
      </w:pPr>
    </w:p>
    <w:p>
      <w:pPr>
        <w:ind w:left="360" w:right="22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360" w:right="320" w:hanging="352"/>
        <w:spacing w:after="0" w:line="275" w:lineRule="auto"/>
        <w:tabs>
          <w:tab w:leader="none" w:pos="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60" w:right="20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360" w:right="280" w:firstLine="8"/>
        <w:spacing w:after="0"/>
        <w:tabs>
          <w:tab w:leader="none" w:pos="6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360" w:right="20" w:firstLine="8"/>
        <w:spacing w:after="0"/>
        <w:tabs>
          <w:tab w:leader="none" w:pos="6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360" w:right="240" w:firstLine="8"/>
        <w:spacing w:after="0"/>
        <w:tabs>
          <w:tab w:leader="none" w:pos="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360" w:right="40" w:firstLine="8"/>
        <w:spacing w:after="0"/>
        <w:tabs>
          <w:tab w:leader="none" w:pos="6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360" w:right="30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360" w:right="460" w:firstLine="8"/>
        <w:spacing w:after="0" w:line="246" w:lineRule="auto"/>
        <w:tabs>
          <w:tab w:leader="none" w:pos="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360" w:right="60" w:firstLine="8"/>
        <w:spacing w:after="0" w:line="246" w:lineRule="auto"/>
        <w:tabs>
          <w:tab w:leader="none" w:pos="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2013</w:t>
      </w:r>
    </w:p>
    <w:p>
      <w:pPr>
        <w:spacing w:after="0" w:line="9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7200"/>
        <w:spacing w:after="0" w:line="234" w:lineRule="auto"/>
        <w:rPr>
          <w:sz w:val="20"/>
          <w:szCs w:val="20"/>
          <w:color w:val="auto"/>
        </w:rPr>
      </w:pPr>
      <w:r>
        <w:rPr>
          <w:rFonts w:ascii="Arial" w:cs="Arial" w:eastAsia="Arial" w:hAnsi="Arial"/>
          <w:sz w:val="18"/>
          <w:szCs w:val="18"/>
          <w:color w:val="auto"/>
        </w:rPr>
        <w:t>John B. Cozzolino</w:t>
      </w:r>
    </w:p>
    <w:p>
      <w:pPr>
        <w:ind w:left="7200"/>
        <w:spacing w:after="0" w:line="235" w:lineRule="auto"/>
        <w:rPr>
          <w:sz w:val="20"/>
          <w:szCs w:val="20"/>
          <w:color w:val="auto"/>
        </w:rPr>
      </w:pPr>
      <w:r>
        <w:rPr>
          <w:rFonts w:ascii="Arial" w:cs="Arial" w:eastAsia="Arial" w:hAnsi="Arial"/>
          <w:sz w:val="18"/>
          <w:szCs w:val="18"/>
          <w:color w:val="auto"/>
        </w:rPr>
        <w:t>Chief Financial Officer and</w:t>
      </w:r>
    </w:p>
    <w:p>
      <w:pPr>
        <w:ind w:left="7200"/>
        <w:spacing w:after="0" w:line="235" w:lineRule="auto"/>
        <w:rPr>
          <w:sz w:val="20"/>
          <w:szCs w:val="20"/>
          <w:color w:val="auto"/>
        </w:rPr>
      </w:pPr>
      <w:r>
        <w:rPr>
          <w:rFonts w:ascii="Arial" w:cs="Arial" w:eastAsia="Arial" w:hAnsi="Arial"/>
          <w:sz w:val="18"/>
          <w:szCs w:val="18"/>
          <w:color w:val="auto"/>
        </w:rPr>
        <w:t>Treasurer</w:t>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32</w:t>
      </w:r>
    </w:p>
    <w:p>
      <w:pPr>
        <w:spacing w:after="0" w:line="170"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6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Certification</w:t>
      </w:r>
    </w:p>
    <w:p>
      <w:pPr>
        <w:spacing w:after="0" w:line="1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left="660"/>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38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Joseph G. Morone, the Chief Executive Officer, and John B. Cozzolino, the Chief Financial Officer and Treasurer, of Albany International Corp., a Delaware corporation (“the Company”), do each hereby certify, to such officer’s knowledge, that the annual report on Form 10-K for the fiscal year ended December 31, 2012 (“the Form 10K”) of the Company fully complies with the requirements of Section 13(a) or 15(d) of the Securities Exchange Act of 1934 and the information contained in the Form 10-K fairly presents, in all material respects, the financial condition and results of operations of the Company for the period covered by the report.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2013</w:t>
      </w:r>
    </w:p>
    <w:p>
      <w:pPr>
        <w:spacing w:after="0" w:line="10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Joseph G. Morone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-1905</wp:posOffset>
            </wp:positionV>
            <wp:extent cx="29673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Joseph G. Morone</w:t>
      </w:r>
    </w:p>
    <w:p>
      <w:pPr>
        <w:ind w:left="67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John B. Cozzolino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-1905</wp:posOffset>
            </wp:positionV>
            <wp:extent cx="29673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John B. Cozzolino</w:t>
      </w:r>
    </w:p>
    <w:p>
      <w:pPr>
        <w:ind w:left="674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
      <w:numFmt w:val="bullet"/>
      <w:start w:val="1"/>
    </w:lvl>
    <w:lvl w:ilvl="1">
      <w:lvlJc w:val="left"/>
      <w:lvlText w:val="·"/>
      <w:numFmt w:val="bullet"/>
      <w:start w:val="1"/>
    </w:lvl>
  </w:abstractNum>
  <w:abstractNum w:abstractNumId="5">
    <w:nsid w:val="6763845E"/>
    <w:multiLevelType w:val="hybridMultilevel"/>
    <w:lvl w:ilvl="0">
      <w:lvlJc w:val="left"/>
      <w:lvlText w:val="·"/>
      <w:numFmt w:val="bullet"/>
      <w:start w:val="1"/>
    </w:lvl>
    <w:lvl w:ilvl="1">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2"/>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bullet"/>
      <w:start w:val="1"/>
    </w:lvl>
  </w:abstractNum>
  <w:abstractNum w:abstractNumId="29">
    <w:nsid w:val="440BADFC"/>
    <w:multiLevelType w:val="hybridMultilevel"/>
    <w:lvl w:ilvl="0">
      <w:lvlJc w:val="left"/>
      <w:lvlText w:val="2"/>
      <w:numFmt w:val="bullet"/>
      <w:start w:val="1"/>
    </w:lvl>
  </w:abstractNum>
  <w:abstractNum w:abstractNumId="30">
    <w:nsid w:val="5072367"/>
    <w:multiLevelType w:val="hybridMultilevel"/>
    <w:lvl w:ilvl="0">
      <w:lvlJc w:val="left"/>
      <w:lvlText w:val="%1."/>
      <w:numFmt w:val="lowerLetter"/>
      <w:start w:val="1"/>
    </w:lvl>
    <w:lvl w:ilvl="1">
      <w:lvlJc w:val="left"/>
      <w:lvlText w:val="%2."/>
      <w:numFmt w:val="decimal"/>
      <w:start w:val="1"/>
    </w:lvl>
  </w:abstractNum>
  <w:abstractNum w:abstractNumId="31">
    <w:nsid w:val="3804823E"/>
    <w:multiLevelType w:val="hybridMultilevel"/>
    <w:lvl w:ilvl="0">
      <w:lvlJc w:val="left"/>
      <w:lvlText w:val="%1."/>
      <w:numFmt w:val="decimal"/>
      <w:start w:val="3"/>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bullet"/>
      <w:start w:val="1"/>
    </w:lvl>
  </w:abstractNum>
  <w:abstractNum w:abstractNumId="34">
    <w:nsid w:val="5C482A97"/>
    <w:multiLevelType w:val="hybridMultilevel"/>
    <w:lvl w:ilvl="0">
      <w:lvlJc w:val="left"/>
      <w:lvlText w:val="2"/>
      <w:numFmt w:val="bullet"/>
      <w:start w:val="1"/>
    </w:lvl>
  </w:abstractNum>
  <w:abstractNum w:abstractNumId="35">
    <w:nsid w:val="2463B9EA"/>
    <w:multiLevelType w:val="hybridMultilevel"/>
    <w:lvl w:ilvl="0">
      <w:lvlJc w:val="left"/>
      <w:lvlText w:val="3"/>
      <w:numFmt w:val="bullet"/>
      <w:start w:val="1"/>
    </w:lvl>
  </w:abstractNum>
  <w:abstractNum w:abstractNumId="36">
    <w:nsid w:val="5E884ADC"/>
    <w:multiLevelType w:val="hybridMultilevel"/>
    <w:lvl w:ilvl="0">
      <w:lvlJc w:val="left"/>
      <w:lvlText w:val="4"/>
      <w:numFmt w:val="bullet"/>
      <w:start w:val="1"/>
    </w:lvl>
  </w:abstractNum>
  <w:abstractNum w:abstractNumId="37">
    <w:nsid w:val="51EAD36B"/>
    <w:multiLevelType w:val="hybridMultilevel"/>
    <w:lvl w:ilvl="0">
      <w:lvlJc w:val="left"/>
      <w:lvlText w:val="(%1)"/>
      <w:numFmt w:val="upperLetter"/>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2019-12-06T01:18:16Z</dcterms:created>
  <dcterms:modified xsi:type="dcterms:W3CDTF">2019-12-06T01:18:16Z</dcterms:modified>
</cp:coreProperties>
</file>