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ind w:left="3640" w:right="1920" w:hanging="3632"/>
        <w:spacing w:after="0" w:line="498" w:lineRule="auto"/>
        <w:tabs>
          <w:tab w:leader="none" w:pos="27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2013</w:t>
      </w:r>
    </w:p>
    <w:p>
      <w:pPr>
        <w:jc w:val="center"/>
        <w:spacing w:after="0"/>
        <w:rPr>
          <w:sz w:val="20"/>
          <w:szCs w:val="20"/>
          <w:color w:val="auto"/>
        </w:rPr>
      </w:pPr>
      <w:r>
        <w:rPr>
          <w:rFonts w:ascii="Arial" w:cs="Arial" w:eastAsia="Arial" w:hAnsi="Arial"/>
          <w:sz w:val="18"/>
          <w:szCs w:val="18"/>
          <w:color w:val="auto"/>
        </w:rPr>
        <w:t>OR</w:t>
      </w:r>
    </w:p>
    <w:p>
      <w:pPr>
        <w:spacing w:after="0" w:line="190" w:lineRule="exact"/>
        <w:rPr>
          <w:sz w:val="24"/>
          <w:szCs w:val="24"/>
          <w:color w:val="auto"/>
        </w:rPr>
      </w:pPr>
    </w:p>
    <w:p>
      <w:pPr>
        <w:ind w:left="3400" w:right="1920" w:hanging="3392"/>
        <w:spacing w:after="0" w:line="498"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Delaware</w:t>
            </w:r>
          </w:p>
        </w:tc>
        <w:tc>
          <w:tcPr>
            <w:tcW w:w="5360" w:type="dxa"/>
            <w:vAlign w:val="bottom"/>
          </w:tcPr>
          <w:p>
            <w:pPr>
              <w:jc w:val="right"/>
              <w:ind w:right="2090"/>
              <w:spacing w:after="0"/>
              <w:rPr>
                <w:sz w:val="20"/>
                <w:szCs w:val="20"/>
                <w:color w:val="auto"/>
              </w:rPr>
            </w:pPr>
            <w:r>
              <w:rPr>
                <w:rFonts w:ascii="Arial" w:cs="Arial" w:eastAsia="Arial" w:hAnsi="Arial"/>
                <w:sz w:val="18"/>
                <w:szCs w:val="18"/>
                <w:color w:val="auto"/>
              </w:rPr>
              <w:t>14-0462060</w:t>
            </w:r>
          </w:p>
        </w:tc>
      </w:tr>
      <w:tr>
        <w:trPr>
          <w:trHeight w:val="209"/>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(State or other jurisdiction of</w:t>
            </w:r>
          </w:p>
        </w:tc>
        <w:tc>
          <w:tcPr>
            <w:tcW w:w="340" w:type="dxa"/>
            <w:vAlign w:val="bottom"/>
          </w:tcPr>
          <w:p>
            <w:pPr>
              <w:spacing w:after="0"/>
              <w:rPr>
                <w:sz w:val="18"/>
                <w:szCs w:val="18"/>
                <w:color w:val="auto"/>
              </w:rPr>
            </w:pPr>
          </w:p>
        </w:tc>
        <w:tc>
          <w:tcPr>
            <w:tcW w:w="536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(IRS Employer Identification No.)</w:t>
            </w:r>
          </w:p>
        </w:tc>
      </w:tr>
      <w:tr>
        <w:trPr>
          <w:trHeight w:val="217"/>
        </w:trPr>
        <w:tc>
          <w:tcPr>
            <w:tcW w:w="6060" w:type="dxa"/>
            <w:vAlign w:val="bottom"/>
            <w:gridSpan w:val="2"/>
          </w:tcPr>
          <w:p>
            <w:pPr>
              <w:ind w:left="1660"/>
              <w:spacing w:after="0"/>
              <w:rPr>
                <w:sz w:val="20"/>
                <w:szCs w:val="20"/>
                <w:color w:val="auto"/>
              </w:rPr>
            </w:pPr>
            <w:r>
              <w:rPr>
                <w:rFonts w:ascii="Arial" w:cs="Arial" w:eastAsia="Arial" w:hAnsi="Arial"/>
                <w:sz w:val="18"/>
                <w:szCs w:val="18"/>
                <w:color w:val="auto"/>
              </w:rPr>
              <w:t>incorporation or organization)</w:t>
            </w:r>
          </w:p>
        </w:tc>
        <w:tc>
          <w:tcPr>
            <w:tcW w:w="5360" w:type="dxa"/>
            <w:vAlign w:val="bottom"/>
          </w:tcPr>
          <w:p>
            <w:pPr>
              <w:spacing w:after="0"/>
              <w:rPr>
                <w:sz w:val="18"/>
                <w:szCs w:val="18"/>
                <w:color w:val="auto"/>
              </w:rPr>
            </w:pPr>
          </w:p>
        </w:tc>
      </w:tr>
      <w:tr>
        <w:trPr>
          <w:trHeight w:val="419"/>
        </w:trPr>
        <w:tc>
          <w:tcPr>
            <w:tcW w:w="60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216 Airport Drive, Rochester, New Hampshire</w:t>
            </w:r>
          </w:p>
        </w:tc>
        <w:tc>
          <w:tcPr>
            <w:tcW w:w="5360" w:type="dxa"/>
            <w:vAlign w:val="bottom"/>
          </w:tcPr>
          <w:p>
            <w:pPr>
              <w:jc w:val="right"/>
              <w:ind w:right="2330"/>
              <w:spacing w:after="0"/>
              <w:rPr>
                <w:sz w:val="20"/>
                <w:szCs w:val="20"/>
                <w:color w:val="auto"/>
              </w:rPr>
            </w:pPr>
            <w:r>
              <w:rPr>
                <w:rFonts w:ascii="Arial" w:cs="Arial" w:eastAsia="Arial" w:hAnsi="Arial"/>
                <w:sz w:val="18"/>
                <w:szCs w:val="18"/>
                <w:color w:val="auto"/>
              </w:rPr>
              <w:t>03867</w:t>
            </w:r>
          </w:p>
        </w:tc>
      </w:tr>
      <w:tr>
        <w:trPr>
          <w:trHeight w:val="210"/>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340" w:type="dxa"/>
            <w:vAlign w:val="bottom"/>
          </w:tcPr>
          <w:p>
            <w:pPr>
              <w:spacing w:after="0"/>
              <w:rPr>
                <w:sz w:val="18"/>
                <w:szCs w:val="18"/>
                <w:color w:val="auto"/>
              </w:rPr>
            </w:pPr>
          </w:p>
        </w:tc>
        <w:tc>
          <w:tcPr>
            <w:tcW w:w="5360" w:type="dxa"/>
            <w:vAlign w:val="bottom"/>
            <w:tcBorders>
              <w:top w:val="single" w:sz="8" w:color="auto"/>
            </w:tcBorders>
          </w:tcPr>
          <w:p>
            <w:pPr>
              <w:ind w:left="2220"/>
              <w:spacing w:after="0"/>
              <w:rPr>
                <w:sz w:val="20"/>
                <w:szCs w:val="20"/>
                <w:color w:val="auto"/>
              </w:rPr>
            </w:pPr>
            <w:r>
              <w:rPr>
                <w:rFonts w:ascii="Arial" w:cs="Arial" w:eastAsia="Arial" w:hAnsi="Arial"/>
                <w:sz w:val="18"/>
                <w:szCs w:val="18"/>
                <w:color w:val="auto"/>
              </w:rPr>
              <w:t>(Zip Code)</w:t>
            </w:r>
          </w:p>
        </w:tc>
      </w:tr>
    </w:tbl>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04" w:lineRule="exact"/>
        <w:rPr>
          <w:sz w:val="24"/>
          <w:szCs w:val="24"/>
          <w:color w:val="auto"/>
        </w:rPr>
      </w:pPr>
    </w:p>
    <w:p>
      <w:pPr>
        <w:ind w:right="8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w:t>
      </w:r>
    </w:p>
    <w:p>
      <w:pPr>
        <w:spacing w:after="0" w:line="203" w:lineRule="exact"/>
        <w:rPr>
          <w:sz w:val="24"/>
          <w:szCs w:val="24"/>
          <w:color w:val="auto"/>
        </w:rPr>
      </w:pPr>
    </w:p>
    <w:p>
      <w:pPr>
        <w:ind w:right="60"/>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w:t>
      </w:r>
    </w:p>
    <w:p>
      <w:pPr>
        <w:spacing w:after="0" w:line="203" w:lineRule="exact"/>
        <w:rPr>
          <w:sz w:val="24"/>
          <w:szCs w:val="24"/>
          <w:color w:val="auto"/>
        </w:rPr>
      </w:pPr>
    </w:p>
    <w:p>
      <w:pPr>
        <w:ind w:right="400"/>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5" w:right="239" w:bottom="1440" w:gutter="0" w:footer="0" w:header="0"/>
        </w:sectPr>
      </w:pPr>
    </w:p>
    <w:p>
      <w:pPr>
        <w:spacing w:after="0" w:line="224" w:lineRule="exact"/>
        <w:rPr>
          <w:sz w:val="24"/>
          <w:szCs w:val="24"/>
          <w:color w:val="auto"/>
        </w:rPr>
      </w:pPr>
    </w:p>
    <w:p>
      <w:pPr>
        <w:ind w:right="380"/>
        <w:spacing w:after="0" w:line="275"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 √ ]</w:t>
      </w: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207" w:lineRule="exact"/>
        <w:rPr>
          <w:sz w:val="24"/>
          <w:szCs w:val="24"/>
          <w:color w:val="auto"/>
        </w:rPr>
      </w:pPr>
    </w:p>
    <w:p>
      <w:pPr>
        <w:sectPr>
          <w:pgSz w:w="11900" w:h="16838" w:orient="portrait"/>
          <w:cols w:equalWidth="0" w:num="5">
            <w:col w:w="2160" w:space="720"/>
            <w:col w:w="2120" w:space="720"/>
            <w:col w:w="2700" w:space="720"/>
            <w:col w:w="40" w:space="200"/>
            <w:col w:w="2040"/>
          </w:cols>
          <w:pgMar w:left="240" w:top="2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No [ √ ]</w:t>
      </w:r>
    </w:p>
    <w:p>
      <w:pPr>
        <w:ind w:right="180"/>
        <w:spacing w:after="0" w:line="246" w:lineRule="auto"/>
        <w:rPr>
          <w:sz w:val="20"/>
          <w:szCs w:val="20"/>
          <w:color w:val="auto"/>
        </w:rPr>
      </w:pPr>
      <w:r>
        <w:rPr>
          <w:rFonts w:ascii="Arial" w:cs="Arial" w:eastAsia="Arial" w:hAnsi="Arial"/>
          <w:sz w:val="18"/>
          <w:szCs w:val="18"/>
          <w:color w:val="auto"/>
        </w:rPr>
        <w:t>The registrant had 28.5 million shares of Class A Common Stock and 3.2 million shares of Class B Common Stock outstanding as of October 18,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Page No.</w:t>
            </w:r>
          </w:p>
        </w:tc>
      </w:tr>
      <w:tr>
        <w:trPr>
          <w:trHeight w:val="412"/>
        </w:trPr>
        <w:tc>
          <w:tcPr>
            <w:tcW w:w="10060" w:type="dxa"/>
            <w:vAlign w:val="bottom"/>
            <w:gridSpan w:val="19"/>
          </w:tcPr>
          <w:p>
            <w:pPr>
              <w:ind w:left="100"/>
              <w:spacing w:after="0"/>
              <w:rPr>
                <w:sz w:val="20"/>
                <w:szCs w:val="20"/>
                <w:color w:val="auto"/>
              </w:rPr>
            </w:pPr>
            <w:r>
              <w:rPr>
                <w:rFonts w:ascii="Arial" w:cs="Arial" w:eastAsia="Arial" w:hAnsi="Arial"/>
                <w:sz w:val="18"/>
                <w:szCs w:val="18"/>
                <w:b w:val="1"/>
                <w:bCs w:val="1"/>
                <w:color w:val="auto"/>
              </w:rPr>
              <w:t>Part I Financial information</w:t>
            </w:r>
          </w:p>
        </w:tc>
        <w:tc>
          <w:tcPr>
            <w:tcW w:w="1360" w:type="dxa"/>
            <w:vAlign w:val="bottom"/>
          </w:tcPr>
          <w:p>
            <w:pPr>
              <w:spacing w:after="0"/>
              <w:rPr>
                <w:sz w:val="24"/>
                <w:szCs w:val="24"/>
                <w:color w:val="auto"/>
              </w:rPr>
            </w:pPr>
          </w:p>
        </w:tc>
      </w:tr>
      <w:tr>
        <w:trPr>
          <w:trHeight w:val="391"/>
        </w:trPr>
        <w:tc>
          <w:tcPr>
            <w:tcW w:w="460" w:type="dxa"/>
            <w:vAlign w:val="bottom"/>
          </w:tcPr>
          <w:p>
            <w:pPr>
              <w:spacing w:after="0"/>
              <w:rPr>
                <w:sz w:val="24"/>
                <w:szCs w:val="24"/>
                <w:color w:val="auto"/>
              </w:rPr>
            </w:pPr>
          </w:p>
        </w:tc>
        <w:tc>
          <w:tcPr>
            <w:tcW w:w="9600" w:type="dxa"/>
            <w:vAlign w:val="bottom"/>
            <w:gridSpan w:val="18"/>
          </w:tcPr>
          <w:p>
            <w:pPr>
              <w:spacing w:after="0"/>
              <w:rPr>
                <w:sz w:val="20"/>
                <w:szCs w:val="20"/>
                <w:color w:val="auto"/>
              </w:rPr>
            </w:pPr>
            <w:r>
              <w:rPr>
                <w:rFonts w:ascii="Arial" w:cs="Arial" w:eastAsia="Arial" w:hAnsi="Arial"/>
                <w:sz w:val="18"/>
                <w:szCs w:val="18"/>
                <w:color w:val="auto"/>
              </w:rPr>
              <w:t>Item 1. Financial Statements</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176"/>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0" w:type="dxa"/>
            <w:vAlign w:val="bottom"/>
            <w:tcBorders>
              <w:bottom w:val="single" w:sz="8" w:color="0000EE"/>
            </w:tcBorders>
            <w:gridSpan w:val="13"/>
          </w:tcPr>
          <w:p>
            <w:pPr>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statements of income– three and nine months ended September 30, 2013 and 2012</w:t>
              </w:r>
            </w:hyperlink>
          </w:p>
        </w:tc>
        <w:tc>
          <w:tcPr>
            <w:tcW w:w="1640" w:type="dxa"/>
            <w:vAlign w:val="bottom"/>
            <w:gridSpan w:val="3"/>
          </w:tcPr>
          <w:p>
            <w:pPr>
              <w:spacing w:after="0"/>
              <w:rPr>
                <w:sz w:val="15"/>
                <w:szCs w:val="15"/>
                <w:color w:val="auto"/>
              </w:rPr>
            </w:pPr>
          </w:p>
        </w:tc>
        <w:tc>
          <w:tcPr>
            <w:tcW w:w="136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3</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40" w:type="dxa"/>
            <w:vAlign w:val="bottom"/>
            <w:gridSpan w:val="16"/>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three and nine months ended September 30, 2013 and 2012</w:t>
              </w:r>
            </w:hyperlink>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4</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sheets – September 30, 2013 and December 31, 2012</w:t>
              </w:r>
            </w:hyperlink>
          </w:p>
        </w:tc>
        <w:tc>
          <w:tcPr>
            <w:tcW w:w="2920" w:type="dxa"/>
            <w:vAlign w:val="bottom"/>
            <w:tcBorders>
              <w:top w:val="single" w:sz="8" w:color="0000EE"/>
            </w:tcBorders>
            <w:gridSpan w:val="4"/>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5</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40" w:type="dxa"/>
            <w:vAlign w:val="bottom"/>
            <w:gridSpan w:val="1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and nine months ended September 30, 2013 and 2012</w:t>
              </w:r>
            </w:hyperlink>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6</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100" w:type="dxa"/>
            <w:vAlign w:val="bottom"/>
            <w:tcBorders>
              <w:top w:val="single" w:sz="8" w:color="0000EE"/>
            </w:tcBorders>
            <w:gridSpan w:val="14"/>
          </w:tcPr>
          <w:p>
            <w:pPr>
              <w:spacing w:after="0" w:line="182" w:lineRule="exact"/>
              <w:rPr>
                <w:rFonts w:ascii="Arial" w:cs="Arial" w:eastAsia="Arial" w:hAnsi="Arial"/>
                <w:sz w:val="18"/>
                <w:szCs w:val="18"/>
                <w:color w:val="auto"/>
              </w:rPr>
            </w:pPr>
            <w:hyperlink w:anchor="page7">
              <w:r>
                <w:rPr>
                  <w:rFonts w:ascii="Arial" w:cs="Arial" w:eastAsia="Arial" w:hAnsi="Arial"/>
                  <w:sz w:val="18"/>
                  <w:szCs w:val="18"/>
                  <w:color w:val="auto"/>
                </w:rPr>
                <w:t>Notes to consolidated financial statements</w:t>
              </w:r>
            </w:hyperlink>
          </w:p>
        </w:tc>
        <w:tc>
          <w:tcPr>
            <w:tcW w:w="1340" w:type="dxa"/>
            <w:vAlign w:val="bottom"/>
            <w:gridSpan w:val="2"/>
          </w:tcPr>
          <w:p>
            <w:pPr>
              <w:spacing w:after="0"/>
              <w:rPr>
                <w:sz w:val="15"/>
                <w:szCs w:val="15"/>
                <w:color w:val="auto"/>
              </w:rPr>
            </w:pPr>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7</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top w:val="single" w:sz="8" w:color="auto"/>
              <w:bottom w:val="single" w:sz="8" w:color="auto"/>
            </w:tcBorders>
            <w:gridSpan w:val="5"/>
          </w:tcPr>
          <w:p>
            <w:pPr>
              <w:spacing w:after="0" w:line="182" w:lineRule="exact"/>
              <w:rPr>
                <w:rFonts w:ascii="Arial" w:cs="Arial" w:eastAsia="Arial" w:hAnsi="Arial"/>
                <w:sz w:val="18"/>
                <w:szCs w:val="18"/>
                <w:color w:val="auto"/>
                <w:w w:val="99"/>
              </w:rPr>
            </w:pPr>
            <w:hyperlink w:anchor="page27">
              <w:r>
                <w:rPr>
                  <w:rFonts w:ascii="Arial" w:cs="Arial" w:eastAsia="Arial" w:hAnsi="Arial"/>
                  <w:sz w:val="18"/>
                  <w:szCs w:val="18"/>
                  <w:color w:val="auto"/>
                  <w:w w:val="99"/>
                </w:rPr>
                <w:t>Forward-looking statements</w:t>
              </w:r>
            </w:hyperlink>
          </w:p>
        </w:tc>
        <w:tc>
          <w:tcPr>
            <w:tcW w:w="1140" w:type="dxa"/>
            <w:vAlign w:val="bottom"/>
            <w:tcBorders>
              <w:top w:val="single" w:sz="8" w:color="auto"/>
            </w:tcBorders>
            <w:gridSpan w:val="3"/>
          </w:tcPr>
          <w:p>
            <w:pPr>
              <w:spacing w:after="0"/>
              <w:rPr>
                <w:sz w:val="15"/>
                <w:szCs w:val="15"/>
                <w:color w:val="auto"/>
              </w:rPr>
            </w:pPr>
          </w:p>
        </w:tc>
        <w:tc>
          <w:tcPr>
            <w:tcW w:w="6060" w:type="dxa"/>
            <w:vAlign w:val="bottom"/>
            <w:gridSpan w:val="8"/>
          </w:tcPr>
          <w:p>
            <w:pPr>
              <w:spacing w:after="0"/>
              <w:rPr>
                <w:sz w:val="15"/>
                <w:szCs w:val="15"/>
                <w:color w:val="auto"/>
              </w:rPr>
            </w:pPr>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27</w:t>
            </w:r>
          </w:p>
        </w:tc>
      </w:tr>
      <w:tr>
        <w:trPr>
          <w:trHeight w:val="183"/>
        </w:trPr>
        <w:tc>
          <w:tcPr>
            <w:tcW w:w="460" w:type="dxa"/>
            <w:vAlign w:val="bottom"/>
          </w:tcPr>
          <w:p>
            <w:pPr>
              <w:spacing w:after="0"/>
              <w:rPr>
                <w:sz w:val="15"/>
                <w:szCs w:val="15"/>
                <w:color w:val="auto"/>
              </w:rPr>
            </w:pPr>
          </w:p>
        </w:tc>
        <w:tc>
          <w:tcPr>
            <w:tcW w:w="7680" w:type="dxa"/>
            <w:vAlign w:val="bottom"/>
            <w:tcBorders>
              <w:bottom w:val="single" w:sz="8" w:color="auto"/>
            </w:tcBorders>
            <w:gridSpan w:val="14"/>
          </w:tcPr>
          <w:p>
            <w:pPr>
              <w:spacing w:after="0" w:line="182" w:lineRule="exact"/>
              <w:rPr>
                <w:rFonts w:ascii="Arial" w:cs="Arial" w:eastAsia="Arial" w:hAnsi="Arial"/>
                <w:sz w:val="18"/>
                <w:szCs w:val="18"/>
                <w:color w:val="auto"/>
                <w:w w:val="99"/>
              </w:rPr>
            </w:pPr>
            <w:hyperlink w:anchor="page27">
              <w:r>
                <w:rPr>
                  <w:rFonts w:ascii="Arial" w:cs="Arial" w:eastAsia="Arial" w:hAnsi="Arial"/>
                  <w:sz w:val="18"/>
                  <w:szCs w:val="18"/>
                  <w:color w:val="auto"/>
                  <w:w w:val="99"/>
                </w:rPr>
                <w:t>Item 2. Management’s Discussion and Analysis of Financial Condition and Results of Operations</w:t>
              </w:r>
            </w:hyperlink>
          </w:p>
        </w:tc>
        <w:tc>
          <w:tcPr>
            <w:tcW w:w="1920" w:type="dxa"/>
            <w:vAlign w:val="bottom"/>
            <w:gridSpan w:val="4"/>
          </w:tcPr>
          <w:p>
            <w:pPr>
              <w:spacing w:after="0"/>
              <w:rPr>
                <w:sz w:val="15"/>
                <w:szCs w:val="15"/>
                <w:color w:val="auto"/>
              </w:rPr>
            </w:pPr>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27</w:t>
            </w:r>
          </w:p>
        </w:tc>
      </w:tr>
      <w:tr>
        <w:trPr>
          <w:trHeight w:val="183"/>
        </w:trPr>
        <w:tc>
          <w:tcPr>
            <w:tcW w:w="460" w:type="dxa"/>
            <w:vAlign w:val="bottom"/>
          </w:tcPr>
          <w:p>
            <w:pPr>
              <w:spacing w:after="0"/>
              <w:rPr>
                <w:sz w:val="15"/>
                <w:szCs w:val="15"/>
                <w:color w:val="auto"/>
              </w:rPr>
            </w:pPr>
          </w:p>
        </w:tc>
        <w:tc>
          <w:tcPr>
            <w:tcW w:w="9600" w:type="dxa"/>
            <w:vAlign w:val="bottom"/>
            <w:gridSpan w:val="18"/>
          </w:tcPr>
          <w:p>
            <w:pPr>
              <w:spacing w:after="0" w:line="182" w:lineRule="exact"/>
              <w:rPr>
                <w:rFonts w:ascii="Arial" w:cs="Arial" w:eastAsia="Arial" w:hAnsi="Arial"/>
                <w:sz w:val="18"/>
                <w:szCs w:val="18"/>
                <w:color w:val="auto"/>
              </w:rPr>
            </w:pPr>
            <w:hyperlink w:anchor="page43">
              <w:r>
                <w:rPr>
                  <w:rFonts w:ascii="Arial" w:cs="Arial" w:eastAsia="Arial" w:hAnsi="Arial"/>
                  <w:sz w:val="18"/>
                  <w:szCs w:val="18"/>
                  <w:color w:val="auto"/>
                </w:rPr>
                <w:t>Item 3. Quantitative and Qualitative Disclosures about Market Risk</w:t>
              </w:r>
            </w:hyperlink>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42</w:t>
            </w:r>
          </w:p>
        </w:tc>
      </w:tr>
      <w:tr>
        <w:trPr>
          <w:trHeight w:val="183"/>
        </w:trPr>
        <w:tc>
          <w:tcPr>
            <w:tcW w:w="460" w:type="dxa"/>
            <w:vAlign w:val="bottom"/>
          </w:tcPr>
          <w:p>
            <w:pPr>
              <w:spacing w:after="0"/>
              <w:rPr>
                <w:sz w:val="15"/>
                <w:szCs w:val="15"/>
                <w:color w:val="auto"/>
              </w:rPr>
            </w:pPr>
          </w:p>
        </w:tc>
        <w:tc>
          <w:tcPr>
            <w:tcW w:w="5280" w:type="dxa"/>
            <w:vAlign w:val="bottom"/>
            <w:tcBorders>
              <w:top w:val="single" w:sz="8" w:color="auto"/>
            </w:tcBorders>
            <w:gridSpan w:val="11"/>
          </w:tcPr>
          <w:p>
            <w:pPr>
              <w:spacing w:after="0" w:line="182" w:lineRule="exact"/>
              <w:rPr>
                <w:rFonts w:ascii="Arial" w:cs="Arial" w:eastAsia="Arial" w:hAnsi="Arial"/>
                <w:sz w:val="18"/>
                <w:szCs w:val="18"/>
                <w:color w:val="auto"/>
              </w:rPr>
            </w:pPr>
            <w:hyperlink w:anchor="page43">
              <w:r>
                <w:rPr>
                  <w:rFonts w:ascii="Arial" w:cs="Arial" w:eastAsia="Arial" w:hAnsi="Arial"/>
                  <w:sz w:val="18"/>
                  <w:szCs w:val="18"/>
                  <w:color w:val="auto"/>
                </w:rPr>
                <w:t>Item 4. Controls and Procedures</w:t>
              </w:r>
            </w:hyperlink>
          </w:p>
        </w:tc>
        <w:tc>
          <w:tcPr>
            <w:tcW w:w="4320" w:type="dxa"/>
            <w:vAlign w:val="bottom"/>
            <w:gridSpan w:val="7"/>
          </w:tcPr>
          <w:p>
            <w:pPr>
              <w:spacing w:after="0"/>
              <w:rPr>
                <w:sz w:val="15"/>
                <w:szCs w:val="15"/>
                <w:color w:val="auto"/>
              </w:rPr>
            </w:pPr>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42</w:t>
            </w:r>
          </w:p>
        </w:tc>
      </w:tr>
      <w:tr>
        <w:trPr>
          <w:trHeight w:val="20"/>
        </w:trPr>
        <w:tc>
          <w:tcPr>
            <w:tcW w:w="480" w:type="dxa"/>
            <w:vAlign w:val="bottom"/>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6"/>
        </w:trPr>
        <w:tc>
          <w:tcPr>
            <w:tcW w:w="10060" w:type="dxa"/>
            <w:vAlign w:val="bottom"/>
            <w:gridSpan w:val="19"/>
          </w:tcPr>
          <w:p>
            <w:pPr>
              <w:ind w:left="100"/>
              <w:spacing w:after="0"/>
              <w:rPr>
                <w:sz w:val="20"/>
                <w:szCs w:val="20"/>
                <w:color w:val="auto"/>
              </w:rPr>
            </w:pPr>
            <w:r>
              <w:rPr>
                <w:rFonts w:ascii="Arial" w:cs="Arial" w:eastAsia="Arial" w:hAnsi="Arial"/>
                <w:sz w:val="18"/>
                <w:szCs w:val="18"/>
                <w:b w:val="1"/>
                <w:bCs w:val="1"/>
                <w:color w:val="auto"/>
              </w:rPr>
              <w:t>Part II Other Information</w:t>
            </w:r>
          </w:p>
        </w:tc>
        <w:tc>
          <w:tcPr>
            <w:tcW w:w="1360" w:type="dxa"/>
            <w:vAlign w:val="bottom"/>
          </w:tcPr>
          <w:p>
            <w:pPr>
              <w:spacing w:after="0"/>
              <w:rPr>
                <w:sz w:val="24"/>
                <w:szCs w:val="24"/>
                <w:color w:val="auto"/>
              </w:rPr>
            </w:pPr>
          </w:p>
        </w:tc>
      </w:tr>
      <w:tr>
        <w:trPr>
          <w:trHeight w:val="365"/>
        </w:trPr>
        <w:tc>
          <w:tcPr>
            <w:tcW w:w="46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1. Legal Proceedings</w:t>
              </w:r>
            </w:hyperlink>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44</w:t>
            </w:r>
          </w:p>
        </w:tc>
      </w:tr>
      <w:tr>
        <w:trPr>
          <w:trHeight w:val="183"/>
        </w:trPr>
        <w:tc>
          <w:tcPr>
            <w:tcW w:w="460" w:type="dxa"/>
            <w:vAlign w:val="bottom"/>
          </w:tcPr>
          <w:p>
            <w:pPr>
              <w:spacing w:after="0"/>
              <w:rPr>
                <w:sz w:val="15"/>
                <w:szCs w:val="15"/>
                <w:color w:val="auto"/>
              </w:rPr>
            </w:pPr>
          </w:p>
        </w:tc>
        <w:tc>
          <w:tcPr>
            <w:tcW w:w="1720" w:type="dxa"/>
            <w:vAlign w:val="bottom"/>
            <w:tcBorders>
              <w:top w:val="single" w:sz="8" w:color="auto"/>
              <w:bottom w:val="single" w:sz="8" w:color="auto"/>
            </w:tcBorders>
            <w:gridSpan w:val="4"/>
          </w:tcPr>
          <w:p>
            <w:pPr>
              <w:spacing w:after="0" w:line="182" w:lineRule="exact"/>
              <w:rPr>
                <w:rFonts w:ascii="Arial" w:cs="Arial" w:eastAsia="Arial" w:hAnsi="Arial"/>
                <w:sz w:val="18"/>
                <w:szCs w:val="18"/>
                <w:color w:val="auto"/>
                <w:w w:val="98"/>
              </w:rPr>
            </w:pPr>
            <w:hyperlink w:anchor="page44">
              <w:r>
                <w:rPr>
                  <w:rFonts w:ascii="Arial" w:cs="Arial" w:eastAsia="Arial" w:hAnsi="Arial"/>
                  <w:sz w:val="18"/>
                  <w:szCs w:val="18"/>
                  <w:color w:val="auto"/>
                  <w:w w:val="98"/>
                </w:rPr>
                <w:t>Item 1A. Risk Factors</w:t>
              </w:r>
            </w:hyperlink>
          </w:p>
        </w:tc>
        <w:tc>
          <w:tcPr>
            <w:tcW w:w="360" w:type="dxa"/>
            <w:vAlign w:val="bottom"/>
            <w:tcBorders>
              <w:top w:val="single" w:sz="8" w:color="auto"/>
            </w:tcBorders>
            <w:gridSpan w:val="2"/>
          </w:tcPr>
          <w:p>
            <w:pPr>
              <w:spacing w:after="0"/>
              <w:rPr>
                <w:sz w:val="15"/>
                <w:szCs w:val="15"/>
                <w:color w:val="auto"/>
              </w:rPr>
            </w:pPr>
          </w:p>
        </w:tc>
        <w:tc>
          <w:tcPr>
            <w:tcW w:w="7520" w:type="dxa"/>
            <w:vAlign w:val="bottom"/>
            <w:gridSpan w:val="12"/>
          </w:tcPr>
          <w:p>
            <w:pPr>
              <w:spacing w:after="0"/>
              <w:rPr>
                <w:sz w:val="15"/>
                <w:szCs w:val="15"/>
                <w:color w:val="auto"/>
              </w:rPr>
            </w:pPr>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44</w:t>
            </w:r>
          </w:p>
        </w:tc>
      </w:tr>
      <w:tr>
        <w:trPr>
          <w:trHeight w:val="183"/>
        </w:trPr>
        <w:tc>
          <w:tcPr>
            <w:tcW w:w="460" w:type="dxa"/>
            <w:vAlign w:val="bottom"/>
          </w:tcPr>
          <w:p>
            <w:pPr>
              <w:spacing w:after="0"/>
              <w:rPr>
                <w:sz w:val="15"/>
                <w:szCs w:val="15"/>
                <w:color w:val="auto"/>
              </w:rPr>
            </w:pPr>
          </w:p>
        </w:tc>
        <w:tc>
          <w:tcPr>
            <w:tcW w:w="9600" w:type="dxa"/>
            <w:vAlign w:val="bottom"/>
            <w:gridSpan w:val="18"/>
          </w:tcPr>
          <w:p>
            <w:pPr>
              <w:spacing w:after="0" w:line="182" w:lineRule="exact"/>
              <w:rPr>
                <w:rFonts w:ascii="Arial" w:cs="Arial" w:eastAsia="Arial" w:hAnsi="Arial"/>
                <w:sz w:val="18"/>
                <w:szCs w:val="18"/>
                <w:color w:val="auto"/>
              </w:rPr>
            </w:pPr>
            <w:hyperlink w:anchor="page44">
              <w:r>
                <w:rPr>
                  <w:rFonts w:ascii="Arial" w:cs="Arial" w:eastAsia="Arial" w:hAnsi="Arial"/>
                  <w:sz w:val="18"/>
                  <w:szCs w:val="18"/>
                  <w:color w:val="auto"/>
                </w:rPr>
                <w:t>Item 2. Unregistered Sales of Equity Securities and Use of Proceeds</w:t>
              </w:r>
            </w:hyperlink>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44</w:t>
            </w:r>
          </w:p>
        </w:tc>
      </w:tr>
      <w:tr>
        <w:trPr>
          <w:trHeight w:val="183"/>
        </w:trPr>
        <w:tc>
          <w:tcPr>
            <w:tcW w:w="460" w:type="dxa"/>
            <w:vAlign w:val="bottom"/>
          </w:tcPr>
          <w:p>
            <w:pPr>
              <w:spacing w:after="0"/>
              <w:rPr>
                <w:sz w:val="15"/>
                <w:szCs w:val="15"/>
                <w:color w:val="auto"/>
              </w:rPr>
            </w:pPr>
          </w:p>
        </w:tc>
        <w:tc>
          <w:tcPr>
            <w:tcW w:w="3120" w:type="dxa"/>
            <w:vAlign w:val="bottom"/>
            <w:tcBorders>
              <w:top w:val="single" w:sz="8" w:color="auto"/>
              <w:bottom w:val="single" w:sz="8" w:color="auto"/>
            </w:tcBorders>
            <w:gridSpan w:val="9"/>
          </w:tcPr>
          <w:p>
            <w:pPr>
              <w:spacing w:after="0" w:line="182" w:lineRule="exact"/>
              <w:rPr>
                <w:rFonts w:ascii="Arial" w:cs="Arial" w:eastAsia="Arial" w:hAnsi="Arial"/>
                <w:sz w:val="18"/>
                <w:szCs w:val="18"/>
                <w:color w:val="auto"/>
                <w:w w:val="99"/>
              </w:rPr>
            </w:pPr>
            <w:hyperlink w:anchor="page44">
              <w:r>
                <w:rPr>
                  <w:rFonts w:ascii="Arial" w:cs="Arial" w:eastAsia="Arial" w:hAnsi="Arial"/>
                  <w:sz w:val="18"/>
                  <w:szCs w:val="18"/>
                  <w:color w:val="auto"/>
                  <w:w w:val="99"/>
                </w:rPr>
                <w:t>Item 3. Defaults upon Senior Securities</w:t>
              </w:r>
            </w:hyperlink>
          </w:p>
        </w:tc>
        <w:tc>
          <w:tcPr>
            <w:tcW w:w="2320" w:type="dxa"/>
            <w:vAlign w:val="bottom"/>
            <w:tcBorders>
              <w:top w:val="single" w:sz="8" w:color="auto"/>
            </w:tcBorders>
            <w:gridSpan w:val="3"/>
          </w:tcPr>
          <w:p>
            <w:pPr>
              <w:spacing w:after="0"/>
              <w:rPr>
                <w:sz w:val="15"/>
                <w:szCs w:val="15"/>
                <w:color w:val="auto"/>
              </w:rPr>
            </w:pPr>
          </w:p>
        </w:tc>
        <w:tc>
          <w:tcPr>
            <w:tcW w:w="4160" w:type="dxa"/>
            <w:vAlign w:val="bottom"/>
            <w:gridSpan w:val="6"/>
          </w:tcPr>
          <w:p>
            <w:pPr>
              <w:spacing w:after="0"/>
              <w:rPr>
                <w:sz w:val="15"/>
                <w:szCs w:val="15"/>
                <w:color w:val="auto"/>
              </w:rPr>
            </w:pPr>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44</w:t>
            </w:r>
          </w:p>
        </w:tc>
      </w:tr>
      <w:tr>
        <w:trPr>
          <w:trHeight w:val="183"/>
        </w:trPr>
        <w:tc>
          <w:tcPr>
            <w:tcW w:w="460" w:type="dxa"/>
            <w:vAlign w:val="bottom"/>
          </w:tcPr>
          <w:p>
            <w:pPr>
              <w:spacing w:after="0"/>
              <w:rPr>
                <w:sz w:val="15"/>
                <w:szCs w:val="15"/>
                <w:color w:val="auto"/>
              </w:rPr>
            </w:pPr>
          </w:p>
        </w:tc>
        <w:tc>
          <w:tcPr>
            <w:tcW w:w="2600" w:type="dxa"/>
            <w:vAlign w:val="bottom"/>
            <w:tcBorders>
              <w:bottom w:val="single" w:sz="8" w:color="auto"/>
            </w:tcBorders>
            <w:gridSpan w:val="8"/>
          </w:tcPr>
          <w:p>
            <w:pPr>
              <w:spacing w:after="0" w:line="182" w:lineRule="exact"/>
              <w:rPr>
                <w:rFonts w:ascii="Arial" w:cs="Arial" w:eastAsia="Arial" w:hAnsi="Arial"/>
                <w:sz w:val="18"/>
                <w:szCs w:val="18"/>
                <w:color w:val="auto"/>
              </w:rPr>
            </w:pPr>
            <w:hyperlink w:anchor="page44">
              <w:r>
                <w:rPr>
                  <w:rFonts w:ascii="Arial" w:cs="Arial" w:eastAsia="Arial" w:hAnsi="Arial"/>
                  <w:sz w:val="18"/>
                  <w:szCs w:val="18"/>
                  <w:color w:val="auto"/>
                </w:rPr>
                <w:t>Item 4. Mine Safety Disclosures</w:t>
              </w:r>
            </w:hyperlink>
          </w:p>
        </w:tc>
        <w:tc>
          <w:tcPr>
            <w:tcW w:w="7000" w:type="dxa"/>
            <w:vAlign w:val="bottom"/>
            <w:gridSpan w:val="10"/>
          </w:tcPr>
          <w:p>
            <w:pPr>
              <w:spacing w:after="0"/>
              <w:rPr>
                <w:sz w:val="15"/>
                <w:szCs w:val="15"/>
                <w:color w:val="auto"/>
              </w:rPr>
            </w:pPr>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44</w:t>
            </w:r>
          </w:p>
        </w:tc>
      </w:tr>
      <w:tr>
        <w:trPr>
          <w:trHeight w:val="183"/>
        </w:trPr>
        <w:tc>
          <w:tcPr>
            <w:tcW w:w="460" w:type="dxa"/>
            <w:vAlign w:val="bottom"/>
          </w:tcPr>
          <w:p>
            <w:pPr>
              <w:spacing w:after="0"/>
              <w:rPr>
                <w:sz w:val="15"/>
                <w:szCs w:val="15"/>
                <w:color w:val="auto"/>
              </w:rPr>
            </w:pPr>
          </w:p>
        </w:tc>
        <w:tc>
          <w:tcPr>
            <w:tcW w:w="2000" w:type="dxa"/>
            <w:vAlign w:val="bottom"/>
            <w:tcBorders>
              <w:bottom w:val="single" w:sz="8" w:color="auto"/>
            </w:tcBorders>
            <w:gridSpan w:val="5"/>
          </w:tcPr>
          <w:p>
            <w:pPr>
              <w:spacing w:after="0" w:line="182" w:lineRule="exact"/>
              <w:rPr>
                <w:rFonts w:ascii="Arial" w:cs="Arial" w:eastAsia="Arial" w:hAnsi="Arial"/>
                <w:sz w:val="18"/>
                <w:szCs w:val="18"/>
                <w:color w:val="auto"/>
                <w:w w:val="98"/>
              </w:rPr>
            </w:pPr>
            <w:hyperlink w:anchor="page44">
              <w:r>
                <w:rPr>
                  <w:rFonts w:ascii="Arial" w:cs="Arial" w:eastAsia="Arial" w:hAnsi="Arial"/>
                  <w:sz w:val="18"/>
                  <w:szCs w:val="18"/>
                  <w:color w:val="auto"/>
                  <w:w w:val="98"/>
                </w:rPr>
                <w:t>Item 5. Other Information</w:t>
              </w:r>
            </w:hyperlink>
          </w:p>
        </w:tc>
        <w:tc>
          <w:tcPr>
            <w:tcW w:w="7600" w:type="dxa"/>
            <w:vAlign w:val="bottom"/>
            <w:gridSpan w:val="13"/>
          </w:tcPr>
          <w:p>
            <w:pPr>
              <w:spacing w:after="0"/>
              <w:rPr>
                <w:sz w:val="15"/>
                <w:szCs w:val="15"/>
                <w:color w:val="auto"/>
              </w:rPr>
            </w:pPr>
          </w:p>
        </w:tc>
        <w:tc>
          <w:tcPr>
            <w:tcW w:w="13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44</w:t>
            </w:r>
          </w:p>
        </w:tc>
      </w:tr>
      <w:tr>
        <w:trPr>
          <w:trHeight w:val="183"/>
        </w:trPr>
        <w:tc>
          <w:tcPr>
            <w:tcW w:w="460" w:type="dxa"/>
            <w:vAlign w:val="bottom"/>
          </w:tcPr>
          <w:p>
            <w:pPr>
              <w:spacing w:after="0"/>
              <w:rPr>
                <w:sz w:val="15"/>
                <w:szCs w:val="15"/>
                <w:color w:val="auto"/>
              </w:rPr>
            </w:pPr>
          </w:p>
        </w:tc>
        <w:tc>
          <w:tcPr>
            <w:tcW w:w="9600" w:type="dxa"/>
            <w:vAlign w:val="bottom"/>
            <w:gridSpan w:val="18"/>
          </w:tcPr>
          <w:p>
            <w:pPr>
              <w:spacing w:after="0" w:line="182" w:lineRule="exact"/>
              <w:rPr>
                <w:rFonts w:ascii="Arial" w:cs="Arial" w:eastAsia="Arial" w:hAnsi="Arial"/>
                <w:sz w:val="18"/>
                <w:szCs w:val="18"/>
                <w:color w:val="auto"/>
              </w:rPr>
            </w:pPr>
            <w:hyperlink w:anchor="page44">
              <w:r>
                <w:rPr>
                  <w:rFonts w:ascii="Arial" w:cs="Arial" w:eastAsia="Arial" w:hAnsi="Arial"/>
                  <w:sz w:val="18"/>
                  <w:szCs w:val="18"/>
                  <w:color w:val="auto"/>
                </w:rPr>
                <w:t>Item 6. Exhibits</w:t>
              </w:r>
            </w:hyperlink>
          </w:p>
        </w:tc>
        <w:tc>
          <w:tcPr>
            <w:tcW w:w="1360" w:type="dxa"/>
            <w:vAlign w:val="bottom"/>
          </w:tcPr>
          <w:p>
            <w:pPr>
              <w:spacing w:after="0"/>
              <w:rPr>
                <w:sz w:val="15"/>
                <w:szCs w:val="15"/>
                <w:color w:val="auto"/>
              </w:rPr>
            </w:pPr>
          </w:p>
        </w:tc>
      </w:tr>
      <w:tr>
        <w:trPr>
          <w:trHeight w:val="777"/>
        </w:trPr>
        <w:tc>
          <w:tcPr>
            <w:tcW w:w="480" w:type="dxa"/>
            <w:vAlign w:val="bottom"/>
            <w:gridSpan w:val="2"/>
          </w:tcPr>
          <w:p>
            <w:pPr>
              <w:spacing w:after="0"/>
              <w:rPr>
                <w:sz w:val="24"/>
                <w:szCs w:val="24"/>
                <w:color w:val="auto"/>
              </w:rPr>
            </w:pPr>
          </w:p>
        </w:tc>
        <w:tc>
          <w:tcPr>
            <w:tcW w:w="1200" w:type="dxa"/>
            <w:vAlign w:val="bottom"/>
            <w:tcBorders>
              <w:top w:val="single" w:sz="8" w:color="auto"/>
            </w:tcBorders>
            <w:gridSpan w:val="2"/>
          </w:tcPr>
          <w:p>
            <w:pPr>
              <w:spacing w:after="0"/>
              <w:rPr>
                <w:sz w:val="24"/>
                <w:szCs w:val="24"/>
                <w:color w:val="auto"/>
              </w:rPr>
            </w:pPr>
          </w:p>
        </w:tc>
        <w:tc>
          <w:tcPr>
            <w:tcW w:w="4220" w:type="dxa"/>
            <w:vAlign w:val="bottom"/>
            <w:gridSpan w:val="9"/>
          </w:tcPr>
          <w:p>
            <w:pPr>
              <w:jc w:val="right"/>
              <w:ind w:right="14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
        </w:trPr>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68"/>
        </w:trPr>
        <w:tc>
          <w:tcPr>
            <w:tcW w:w="4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INCOME</w:t>
      </w:r>
    </w:p>
    <w:p>
      <w:pPr>
        <w:jc w:val="center"/>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60" w:type="dxa"/>
            <w:vAlign w:val="bottom"/>
            <w:gridSpan w:val="3"/>
          </w:tcPr>
          <w:p>
            <w:pPr>
              <w:jc w:val="right"/>
              <w:ind w:right="450"/>
              <w:spacing w:after="0"/>
              <w:rPr>
                <w:sz w:val="20"/>
                <w:szCs w:val="20"/>
                <w:color w:val="auto"/>
              </w:rPr>
            </w:pPr>
            <w:r>
              <w:rPr>
                <w:rFonts w:ascii="Arial" w:cs="Arial" w:eastAsia="Arial" w:hAnsi="Arial"/>
                <w:sz w:val="18"/>
                <w:szCs w:val="18"/>
                <w:color w:val="auto"/>
              </w:rPr>
              <w:t>Three Months Ended</w:t>
            </w:r>
          </w:p>
        </w:tc>
        <w:tc>
          <w:tcPr>
            <w:tcW w:w="5940" w:type="dxa"/>
            <w:vAlign w:val="bottom"/>
          </w:tcPr>
          <w:p>
            <w:pPr>
              <w:spacing w:after="0"/>
              <w:rPr>
                <w:sz w:val="18"/>
                <w:szCs w:val="18"/>
                <w:color w:val="auto"/>
              </w:rPr>
            </w:pPr>
          </w:p>
        </w:tc>
        <w:tc>
          <w:tcPr>
            <w:tcW w:w="2720" w:type="dxa"/>
            <w:vAlign w:val="bottom"/>
            <w:gridSpan w:val="3"/>
          </w:tcPr>
          <w:p>
            <w:pPr>
              <w:jc w:val="right"/>
              <w:ind w:right="4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43"/>
        </w:trPr>
        <w:tc>
          <w:tcPr>
            <w:tcW w:w="2760" w:type="dxa"/>
            <w:vAlign w:val="bottom"/>
            <w:gridSpan w:val="3"/>
          </w:tcPr>
          <w:p>
            <w:pPr>
              <w:jc w:val="right"/>
              <w:ind w:right="690"/>
              <w:spacing w:after="0"/>
              <w:rPr>
                <w:sz w:val="20"/>
                <w:szCs w:val="20"/>
                <w:color w:val="auto"/>
              </w:rPr>
            </w:pPr>
            <w:r>
              <w:rPr>
                <w:rFonts w:ascii="Arial" w:cs="Arial" w:eastAsia="Arial" w:hAnsi="Arial"/>
                <w:sz w:val="18"/>
                <w:szCs w:val="18"/>
                <w:color w:val="auto"/>
              </w:rPr>
              <w:t>September 30,</w:t>
            </w:r>
          </w:p>
        </w:tc>
        <w:tc>
          <w:tcPr>
            <w:tcW w:w="5940" w:type="dxa"/>
            <w:vAlign w:val="bottom"/>
          </w:tcPr>
          <w:p>
            <w:pPr>
              <w:spacing w:after="0"/>
              <w:rPr>
                <w:sz w:val="21"/>
                <w:szCs w:val="21"/>
                <w:color w:val="auto"/>
              </w:rPr>
            </w:pPr>
          </w:p>
        </w:tc>
        <w:tc>
          <w:tcPr>
            <w:tcW w:w="2720" w:type="dxa"/>
            <w:vAlign w:val="bottom"/>
            <w:gridSpan w:val="3"/>
          </w:tcPr>
          <w:p>
            <w:pPr>
              <w:jc w:val="right"/>
              <w:ind w:right="6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5940" w:type="dxa"/>
            <w:vAlign w:val="bottom"/>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$183,147</w:t>
            </w:r>
          </w:p>
        </w:tc>
        <w:tc>
          <w:tcPr>
            <w:tcW w:w="260" w:type="dxa"/>
            <w:vAlign w:val="bottom"/>
            <w:shd w:val="clear" w:color="auto" w:fill="C0C0C0"/>
          </w:tcPr>
          <w:p>
            <w:pPr>
              <w:spacing w:after="0"/>
              <w:rPr>
                <w:sz w:val="17"/>
                <w:szCs w:val="17"/>
                <w:color w:val="auto"/>
              </w:rPr>
            </w:pPr>
          </w:p>
        </w:tc>
        <w:tc>
          <w:tcPr>
            <w:tcW w:w="124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$194,589</w:t>
            </w:r>
          </w:p>
        </w:tc>
        <w:tc>
          <w:tcPr>
            <w:tcW w:w="5940" w:type="dxa"/>
            <w:vAlign w:val="bottom"/>
            <w:shd w:val="clear" w:color="auto" w:fill="C0C0C0"/>
          </w:tcPr>
          <w:p>
            <w:pPr>
              <w:ind w:left="440"/>
              <w:spacing w:after="0" w:line="202" w:lineRule="exact"/>
              <w:rPr>
                <w:sz w:val="20"/>
                <w:szCs w:val="20"/>
                <w:color w:val="auto"/>
              </w:rPr>
            </w:pPr>
            <w:r>
              <w:rPr>
                <w:rFonts w:ascii="Arial" w:cs="Arial" w:eastAsia="Arial" w:hAnsi="Arial"/>
                <w:sz w:val="18"/>
                <w:szCs w:val="18"/>
                <w:color w:val="auto"/>
              </w:rPr>
              <w:t>Net sales</w:t>
            </w:r>
          </w:p>
        </w:tc>
        <w:tc>
          <w:tcPr>
            <w:tcW w:w="12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$567,775</w:t>
            </w:r>
          </w:p>
        </w:tc>
        <w:tc>
          <w:tcPr>
            <w:tcW w:w="34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$566,606</w:t>
            </w:r>
          </w:p>
        </w:tc>
        <w:tc>
          <w:tcPr>
            <w:tcW w:w="0" w:type="dxa"/>
            <w:vAlign w:val="bottom"/>
          </w:tcPr>
          <w:p>
            <w:pPr>
              <w:spacing w:after="0"/>
              <w:rPr>
                <w:sz w:val="1"/>
                <w:szCs w:val="1"/>
                <w:color w:val="auto"/>
              </w:rPr>
            </w:pPr>
          </w:p>
        </w:tc>
      </w:tr>
      <w:tr>
        <w:trPr>
          <w:trHeight w:val="243"/>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115,146</w:t>
            </w:r>
          </w:p>
        </w:tc>
        <w:tc>
          <w:tcPr>
            <w:tcW w:w="260" w:type="dxa"/>
            <w:vAlign w:val="bottom"/>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114,938</w:t>
            </w:r>
          </w:p>
        </w:tc>
        <w:tc>
          <w:tcPr>
            <w:tcW w:w="5940" w:type="dxa"/>
            <w:vAlign w:val="bottom"/>
          </w:tcPr>
          <w:p>
            <w:pPr>
              <w:ind w:left="440"/>
              <w:spacing w:after="0"/>
              <w:rPr>
                <w:sz w:val="20"/>
                <w:szCs w:val="20"/>
                <w:color w:val="auto"/>
              </w:rPr>
            </w:pPr>
            <w:r>
              <w:rPr>
                <w:rFonts w:ascii="Arial" w:cs="Arial" w:eastAsia="Arial" w:hAnsi="Arial"/>
                <w:sz w:val="18"/>
                <w:szCs w:val="18"/>
                <w:color w:val="auto"/>
              </w:rPr>
              <w:t>Cost of goods sold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349,572</w:t>
            </w:r>
          </w:p>
        </w:tc>
        <w:tc>
          <w:tcPr>
            <w:tcW w:w="340" w:type="dxa"/>
            <w:vAlign w:val="bottom"/>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340,169</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68,001</w:t>
            </w:r>
          </w:p>
        </w:tc>
        <w:tc>
          <w:tcPr>
            <w:tcW w:w="260" w:type="dxa"/>
            <w:vAlign w:val="bottom"/>
            <w:shd w:val="clear" w:color="auto" w:fill="C0C0C0"/>
          </w:tcPr>
          <w:p>
            <w:pPr>
              <w:spacing w:after="0"/>
              <w:rPr>
                <w:sz w:val="17"/>
                <w:szCs w:val="17"/>
                <w:color w:val="auto"/>
              </w:rPr>
            </w:pPr>
          </w:p>
        </w:tc>
        <w:tc>
          <w:tcPr>
            <w:tcW w:w="124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79,651</w:t>
            </w:r>
          </w:p>
        </w:tc>
        <w:tc>
          <w:tcPr>
            <w:tcW w:w="5940" w:type="dxa"/>
            <w:vAlign w:val="bottom"/>
            <w:shd w:val="clear" w:color="auto" w:fill="C0C0C0"/>
          </w:tcPr>
          <w:p>
            <w:pPr>
              <w:ind w:left="440"/>
              <w:spacing w:after="0" w:line="202" w:lineRule="exact"/>
              <w:rPr>
                <w:sz w:val="20"/>
                <w:szCs w:val="20"/>
                <w:color w:val="auto"/>
              </w:rPr>
            </w:pPr>
            <w:r>
              <w:rPr>
                <w:rFonts w:ascii="Arial" w:cs="Arial" w:eastAsia="Arial" w:hAnsi="Arial"/>
                <w:sz w:val="18"/>
                <w:szCs w:val="18"/>
                <w:color w:val="auto"/>
              </w:rPr>
              <w:t>Gross profit</w:t>
            </w:r>
          </w:p>
        </w:tc>
        <w:tc>
          <w:tcPr>
            <w:tcW w:w="12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218,203</w:t>
            </w:r>
          </w:p>
        </w:tc>
        <w:tc>
          <w:tcPr>
            <w:tcW w:w="340" w:type="dxa"/>
            <w:vAlign w:val="bottom"/>
            <w:shd w:val="clear" w:color="auto" w:fill="C0C0C0"/>
          </w:tcPr>
          <w:p>
            <w:pPr>
              <w:spacing w:after="0"/>
              <w:rPr>
                <w:sz w:val="17"/>
                <w:szCs w:val="17"/>
                <w:color w:val="auto"/>
              </w:rPr>
            </w:pPr>
          </w:p>
        </w:tc>
        <w:tc>
          <w:tcPr>
            <w:tcW w:w="114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226,437</w:t>
            </w:r>
          </w:p>
        </w:tc>
        <w:tc>
          <w:tcPr>
            <w:tcW w:w="0" w:type="dxa"/>
            <w:vAlign w:val="bottom"/>
          </w:tcPr>
          <w:p>
            <w:pPr>
              <w:spacing w:after="0"/>
              <w:rPr>
                <w:sz w:val="1"/>
                <w:szCs w:val="1"/>
                <w:color w:val="auto"/>
              </w:rPr>
            </w:pPr>
          </w:p>
        </w:tc>
      </w:tr>
      <w:tr>
        <w:trPr>
          <w:trHeight w:val="243"/>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39,143</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41,166</w:t>
            </w:r>
          </w:p>
        </w:tc>
        <w:tc>
          <w:tcPr>
            <w:tcW w:w="5940" w:type="dxa"/>
            <w:vAlign w:val="bottom"/>
          </w:tcPr>
          <w:p>
            <w:pPr>
              <w:ind w:left="480"/>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117,690</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125,335</w:t>
            </w: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13,347</w:t>
            </w:r>
          </w:p>
        </w:tc>
        <w:tc>
          <w:tcPr>
            <w:tcW w:w="260" w:type="dxa"/>
            <w:vAlign w:val="bottom"/>
            <w:shd w:val="clear" w:color="auto" w:fill="BFBFBF"/>
          </w:tcPr>
          <w:p>
            <w:pPr>
              <w:spacing w:after="0"/>
              <w:rPr>
                <w:sz w:val="17"/>
                <w:szCs w:val="17"/>
                <w:color w:val="auto"/>
              </w:rPr>
            </w:pPr>
          </w:p>
        </w:tc>
        <w:tc>
          <w:tcPr>
            <w:tcW w:w="12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12,634</w:t>
            </w:r>
          </w:p>
        </w:tc>
        <w:tc>
          <w:tcPr>
            <w:tcW w:w="594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12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41,040</w:t>
            </w:r>
          </w:p>
        </w:tc>
        <w:tc>
          <w:tcPr>
            <w:tcW w:w="34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39,019</w:t>
            </w:r>
          </w:p>
        </w:tc>
        <w:tc>
          <w:tcPr>
            <w:tcW w:w="0" w:type="dxa"/>
            <w:vAlign w:val="bottom"/>
          </w:tcPr>
          <w:p>
            <w:pPr>
              <w:spacing w:after="0"/>
              <w:rPr>
                <w:sz w:val="1"/>
                <w:szCs w:val="1"/>
                <w:color w:val="auto"/>
              </w:rPr>
            </w:pPr>
          </w:p>
        </w:tc>
      </w:tr>
      <w:tr>
        <w:trPr>
          <w:trHeight w:val="243"/>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2,256</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2,739</w:t>
            </w:r>
          </w:p>
        </w:tc>
        <w:tc>
          <w:tcPr>
            <w:tcW w:w="5940" w:type="dxa"/>
            <w:vAlign w:val="bottom"/>
          </w:tcPr>
          <w:p>
            <w:pPr>
              <w:ind w:left="480"/>
              <w:spacing w:after="0"/>
              <w:rPr>
                <w:sz w:val="20"/>
                <w:szCs w:val="20"/>
                <w:color w:val="auto"/>
              </w:rPr>
            </w:pPr>
            <w:r>
              <w:rPr>
                <w:rFonts w:ascii="Arial" w:cs="Arial" w:eastAsia="Arial" w:hAnsi="Arial"/>
                <w:sz w:val="18"/>
                <w:szCs w:val="18"/>
                <w:color w:val="auto"/>
              </w:rPr>
              <w:t>Restructuring and other, net</w:t>
            </w:r>
          </w:p>
        </w:tc>
        <w:tc>
          <w:tcPr>
            <w:tcW w:w="1240" w:type="dxa"/>
            <w:vAlign w:val="bottom"/>
          </w:tcPr>
          <w:p>
            <w:pPr>
              <w:jc w:val="right"/>
              <w:spacing w:after="0"/>
              <w:rPr>
                <w:sz w:val="20"/>
                <w:szCs w:val="20"/>
                <w:color w:val="auto"/>
              </w:rPr>
            </w:pPr>
            <w:r>
              <w:rPr>
                <w:rFonts w:ascii="Arial" w:cs="Arial" w:eastAsia="Arial" w:hAnsi="Arial"/>
                <w:sz w:val="18"/>
                <w:szCs w:val="18"/>
                <w:color w:val="auto"/>
              </w:rPr>
              <w:t>27,213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3"/>
        </w:trPr>
        <w:tc>
          <w:tcPr>
            <w:tcW w:w="126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BFBFBF"/>
          </w:tcPr>
          <w:p>
            <w:pPr>
              <w:spacing w:after="0"/>
              <w:rPr>
                <w:sz w:val="17"/>
                <w:szCs w:val="17"/>
                <w:color w:val="auto"/>
              </w:rPr>
            </w:pPr>
          </w:p>
        </w:tc>
        <w:tc>
          <w:tcPr>
            <w:tcW w:w="124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94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Pension settlement expense</w:t>
            </w:r>
          </w:p>
        </w:tc>
        <w:tc>
          <w:tcPr>
            <w:tcW w:w="124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BFBFBF"/>
          </w:tcPr>
          <w:p>
            <w:pPr>
              <w:spacing w:after="0"/>
              <w:rPr>
                <w:sz w:val="17"/>
                <w:szCs w:val="17"/>
                <w:color w:val="auto"/>
              </w:rPr>
            </w:pPr>
          </w:p>
        </w:tc>
        <w:tc>
          <w:tcPr>
            <w:tcW w:w="114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119,735</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13,255</w:t>
            </w:r>
          </w:p>
        </w:tc>
        <w:tc>
          <w:tcPr>
            <w:tcW w:w="260" w:type="dxa"/>
            <w:vAlign w:val="bottom"/>
            <w:shd w:val="clear" w:color="auto" w:fill="BFBFBF"/>
          </w:tcPr>
          <w:p>
            <w:pPr>
              <w:spacing w:after="0"/>
              <w:rPr>
                <w:sz w:val="17"/>
                <w:szCs w:val="17"/>
                <w:color w:val="auto"/>
              </w:rPr>
            </w:pPr>
          </w:p>
        </w:tc>
        <w:tc>
          <w:tcPr>
            <w:tcW w:w="12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23,112</w:t>
            </w:r>
          </w:p>
        </w:tc>
        <w:tc>
          <w:tcPr>
            <w:tcW w:w="5940" w:type="dxa"/>
            <w:vAlign w:val="bottom"/>
            <w:shd w:val="clear" w:color="auto" w:fill="BFBFBF"/>
          </w:tcPr>
          <w:p>
            <w:pPr>
              <w:ind w:left="440"/>
              <w:spacing w:after="0" w:line="202" w:lineRule="exact"/>
              <w:rPr>
                <w:sz w:val="20"/>
                <w:szCs w:val="20"/>
                <w:color w:val="auto"/>
              </w:rPr>
            </w:pPr>
            <w:r>
              <w:rPr>
                <w:rFonts w:ascii="Arial" w:cs="Arial" w:eastAsia="Arial" w:hAnsi="Arial"/>
                <w:sz w:val="18"/>
                <w:szCs w:val="18"/>
                <w:color w:val="auto"/>
              </w:rPr>
              <w:t>Operating income/(loss)</w:t>
            </w:r>
          </w:p>
        </w:tc>
        <w:tc>
          <w:tcPr>
            <w:tcW w:w="12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32,260</w:t>
            </w:r>
          </w:p>
        </w:tc>
        <w:tc>
          <w:tcPr>
            <w:tcW w:w="34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(63,801)</w:t>
            </w:r>
          </w:p>
        </w:tc>
        <w:tc>
          <w:tcPr>
            <w:tcW w:w="0" w:type="dxa"/>
            <w:vAlign w:val="bottom"/>
          </w:tcPr>
          <w:p>
            <w:pPr>
              <w:spacing w:after="0"/>
              <w:rPr>
                <w:sz w:val="1"/>
                <w:szCs w:val="1"/>
                <w:color w:val="auto"/>
              </w:rPr>
            </w:pPr>
          </w:p>
        </w:tc>
      </w:tr>
      <w:tr>
        <w:trPr>
          <w:trHeight w:val="243"/>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3,484</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3,997</w:t>
            </w:r>
          </w:p>
        </w:tc>
        <w:tc>
          <w:tcPr>
            <w:tcW w:w="5940" w:type="dxa"/>
            <w:vAlign w:val="bottom"/>
          </w:tcPr>
          <w:p>
            <w:pPr>
              <w:ind w:left="480"/>
              <w:spacing w:after="0"/>
              <w:rPr>
                <w:sz w:val="20"/>
                <w:szCs w:val="20"/>
                <w:color w:val="auto"/>
              </w:rPr>
            </w:pPr>
            <w:r>
              <w:rPr>
                <w:rFonts w:ascii="Arial" w:cs="Arial" w:eastAsia="Arial" w:hAnsi="Arial"/>
                <w:sz w:val="18"/>
                <w:szCs w:val="18"/>
                <w:color w:val="auto"/>
              </w:rPr>
              <w:t>Interest expense, net</w:t>
            </w:r>
          </w:p>
        </w:tc>
        <w:tc>
          <w:tcPr>
            <w:tcW w:w="1240" w:type="dxa"/>
            <w:vAlign w:val="bottom"/>
          </w:tcPr>
          <w:p>
            <w:pPr>
              <w:jc w:val="right"/>
              <w:spacing w:after="0"/>
              <w:rPr>
                <w:sz w:val="20"/>
                <w:szCs w:val="20"/>
                <w:color w:val="auto"/>
              </w:rPr>
            </w:pPr>
            <w:r>
              <w:rPr>
                <w:rFonts w:ascii="Arial" w:cs="Arial" w:eastAsia="Arial" w:hAnsi="Arial"/>
                <w:sz w:val="18"/>
                <w:szCs w:val="18"/>
                <w:color w:val="auto"/>
              </w:rPr>
              <w:t>11,056</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12,610</w:t>
            </w:r>
          </w:p>
        </w:tc>
        <w:tc>
          <w:tcPr>
            <w:tcW w:w="0" w:type="dxa"/>
            <w:vAlign w:val="bottom"/>
          </w:tcPr>
          <w:p>
            <w:pPr>
              <w:spacing w:after="0"/>
              <w:rPr>
                <w:sz w:val="1"/>
                <w:szCs w:val="1"/>
                <w:color w:val="auto"/>
              </w:rPr>
            </w:pPr>
          </w:p>
        </w:tc>
      </w:tr>
      <w:tr>
        <w:trPr>
          <w:trHeight w:val="203"/>
        </w:trPr>
        <w:tc>
          <w:tcPr>
            <w:tcW w:w="126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2,692</w:t>
            </w:r>
          </w:p>
        </w:tc>
        <w:tc>
          <w:tcPr>
            <w:tcW w:w="260" w:type="dxa"/>
            <w:vAlign w:val="bottom"/>
            <w:shd w:val="clear" w:color="auto" w:fill="BFBFBF"/>
          </w:tcPr>
          <w:p>
            <w:pPr>
              <w:spacing w:after="0"/>
              <w:rPr>
                <w:sz w:val="17"/>
                <w:szCs w:val="17"/>
                <w:color w:val="auto"/>
              </w:rPr>
            </w:pPr>
          </w:p>
        </w:tc>
        <w:tc>
          <w:tcPr>
            <w:tcW w:w="124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3,069</w:t>
            </w:r>
          </w:p>
        </w:tc>
        <w:tc>
          <w:tcPr>
            <w:tcW w:w="594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Other expense/(income), net</w:t>
            </w:r>
          </w:p>
        </w:tc>
        <w:tc>
          <w:tcPr>
            <w:tcW w:w="124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5,637</w:t>
            </w:r>
          </w:p>
        </w:tc>
        <w:tc>
          <w:tcPr>
            <w:tcW w:w="340" w:type="dxa"/>
            <w:vAlign w:val="bottom"/>
            <w:shd w:val="clear" w:color="auto" w:fill="BFBFBF"/>
          </w:tcPr>
          <w:p>
            <w:pPr>
              <w:spacing w:after="0"/>
              <w:rPr>
                <w:sz w:val="17"/>
                <w:szCs w:val="17"/>
                <w:color w:val="auto"/>
              </w:rPr>
            </w:pPr>
          </w:p>
        </w:tc>
        <w:tc>
          <w:tcPr>
            <w:tcW w:w="114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48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7,079</w:t>
            </w:r>
          </w:p>
        </w:tc>
        <w:tc>
          <w:tcPr>
            <w:tcW w:w="2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16,046</w:t>
            </w:r>
          </w:p>
        </w:tc>
        <w:tc>
          <w:tcPr>
            <w:tcW w:w="5940" w:type="dxa"/>
            <w:vAlign w:val="bottom"/>
          </w:tcPr>
          <w:p>
            <w:pPr>
              <w:ind w:left="440"/>
              <w:spacing w:after="0"/>
              <w:rPr>
                <w:sz w:val="20"/>
                <w:szCs w:val="20"/>
                <w:color w:val="auto"/>
              </w:rPr>
            </w:pPr>
            <w:r>
              <w:rPr>
                <w:rFonts w:ascii="Arial" w:cs="Arial" w:eastAsia="Arial" w:hAnsi="Arial"/>
                <w:sz w:val="18"/>
                <w:szCs w:val="18"/>
                <w:color w:val="auto"/>
              </w:rPr>
              <w:t>Income/(loss) before income taxes</w:t>
            </w:r>
          </w:p>
        </w:tc>
        <w:tc>
          <w:tcPr>
            <w:tcW w:w="1240" w:type="dxa"/>
            <w:vAlign w:val="bottom"/>
          </w:tcPr>
          <w:p>
            <w:pPr>
              <w:jc w:val="right"/>
              <w:spacing w:after="0"/>
              <w:rPr>
                <w:sz w:val="20"/>
                <w:szCs w:val="20"/>
                <w:color w:val="auto"/>
              </w:rPr>
            </w:pPr>
            <w:r>
              <w:rPr>
                <w:rFonts w:ascii="Arial" w:cs="Arial" w:eastAsia="Arial" w:hAnsi="Arial"/>
                <w:sz w:val="18"/>
                <w:szCs w:val="18"/>
                <w:color w:val="auto"/>
              </w:rPr>
              <w:t>15,567</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(81,473)</w:t>
            </w:r>
          </w:p>
        </w:tc>
        <w:tc>
          <w:tcPr>
            <w:tcW w:w="0" w:type="dxa"/>
            <w:vAlign w:val="bottom"/>
          </w:tcPr>
          <w:p>
            <w:pPr>
              <w:spacing w:after="0"/>
              <w:rPr>
                <w:sz w:val="1"/>
                <w:szCs w:val="1"/>
                <w:color w:val="auto"/>
              </w:rPr>
            </w:pPr>
          </w:p>
        </w:tc>
      </w:tr>
      <w:tr>
        <w:trPr>
          <w:trHeight w:val="203"/>
        </w:trPr>
        <w:tc>
          <w:tcPr>
            <w:tcW w:w="126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2,381</w:t>
            </w:r>
          </w:p>
        </w:tc>
        <w:tc>
          <w:tcPr>
            <w:tcW w:w="260" w:type="dxa"/>
            <w:vAlign w:val="bottom"/>
            <w:shd w:val="clear" w:color="auto" w:fill="BFBFBF"/>
          </w:tcPr>
          <w:p>
            <w:pPr>
              <w:spacing w:after="0"/>
              <w:rPr>
                <w:sz w:val="17"/>
                <w:szCs w:val="17"/>
                <w:color w:val="auto"/>
              </w:rPr>
            </w:pPr>
          </w:p>
        </w:tc>
        <w:tc>
          <w:tcPr>
            <w:tcW w:w="124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6,965</w:t>
            </w:r>
          </w:p>
        </w:tc>
        <w:tc>
          <w:tcPr>
            <w:tcW w:w="594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Income tax expense/(benefit)</w:t>
            </w:r>
          </w:p>
        </w:tc>
        <w:tc>
          <w:tcPr>
            <w:tcW w:w="124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6,386</w:t>
            </w:r>
          </w:p>
        </w:tc>
        <w:tc>
          <w:tcPr>
            <w:tcW w:w="340" w:type="dxa"/>
            <w:vAlign w:val="bottom"/>
            <w:shd w:val="clear" w:color="auto" w:fill="BFBFBF"/>
          </w:tcPr>
          <w:p>
            <w:pPr>
              <w:spacing w:after="0"/>
              <w:rPr>
                <w:sz w:val="17"/>
                <w:szCs w:val="17"/>
                <w:color w:val="auto"/>
              </w:rPr>
            </w:pPr>
          </w:p>
        </w:tc>
        <w:tc>
          <w:tcPr>
            <w:tcW w:w="114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(32,650)</w:t>
            </w:r>
          </w:p>
        </w:tc>
        <w:tc>
          <w:tcPr>
            <w:tcW w:w="0" w:type="dxa"/>
            <w:vAlign w:val="bottom"/>
          </w:tcPr>
          <w:p>
            <w:pPr>
              <w:spacing w:after="0"/>
              <w:rPr>
                <w:sz w:val="1"/>
                <w:szCs w:val="1"/>
                <w:color w:val="auto"/>
              </w:rPr>
            </w:pPr>
          </w:p>
        </w:tc>
      </w:tr>
      <w:tr>
        <w:trPr>
          <w:trHeight w:val="480"/>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4,698</w:t>
            </w:r>
          </w:p>
        </w:tc>
        <w:tc>
          <w:tcPr>
            <w:tcW w:w="26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9,081</w:t>
            </w:r>
          </w:p>
        </w:tc>
        <w:tc>
          <w:tcPr>
            <w:tcW w:w="5940" w:type="dxa"/>
            <w:vAlign w:val="bottom"/>
          </w:tcPr>
          <w:p>
            <w:pPr>
              <w:ind w:left="440"/>
              <w:spacing w:after="0"/>
              <w:rPr>
                <w:sz w:val="20"/>
                <w:szCs w:val="20"/>
                <w:color w:val="auto"/>
              </w:rPr>
            </w:pPr>
            <w:r>
              <w:rPr>
                <w:rFonts w:ascii="Arial" w:cs="Arial" w:eastAsia="Arial" w:hAnsi="Arial"/>
                <w:sz w:val="18"/>
                <w:szCs w:val="18"/>
                <w:color w:val="auto"/>
              </w:rPr>
              <w:t>Income/(loss) from continuing operations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9,181</w:t>
            </w:r>
          </w:p>
        </w:tc>
        <w:tc>
          <w:tcPr>
            <w:tcW w:w="340" w:type="dxa"/>
            <w:vAlign w:val="bottom"/>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(48,823)</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BFBFBF"/>
          </w:tcPr>
          <w:p>
            <w:pPr>
              <w:spacing w:after="0"/>
              <w:rPr>
                <w:sz w:val="17"/>
                <w:szCs w:val="17"/>
                <w:color w:val="auto"/>
              </w:rPr>
            </w:pPr>
          </w:p>
        </w:tc>
        <w:tc>
          <w:tcPr>
            <w:tcW w:w="12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94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(Loss)/income from operations of discontinued business</w:t>
            </w:r>
          </w:p>
        </w:tc>
        <w:tc>
          <w:tcPr>
            <w:tcW w:w="12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(575)</w:t>
            </w:r>
          </w:p>
        </w:tc>
        <w:tc>
          <w:tcPr>
            <w:tcW w:w="34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43"/>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5940" w:type="dxa"/>
            <w:vAlign w:val="bottom"/>
          </w:tcPr>
          <w:p>
            <w:pPr>
              <w:ind w:left="480"/>
              <w:spacing w:after="0"/>
              <w:rPr>
                <w:sz w:val="20"/>
                <w:szCs w:val="20"/>
                <w:color w:val="auto"/>
              </w:rPr>
            </w:pPr>
            <w:r>
              <w:rPr>
                <w:rFonts w:ascii="Arial" w:cs="Arial" w:eastAsia="Arial" w:hAnsi="Arial"/>
                <w:sz w:val="18"/>
                <w:szCs w:val="18"/>
                <w:color w:val="auto"/>
              </w:rPr>
              <w:t>Gain/(loss) on sale of discontinued business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92,376</w:t>
            </w:r>
          </w:p>
        </w:tc>
        <w:tc>
          <w:tcPr>
            <w:tcW w:w="0" w:type="dxa"/>
            <w:vAlign w:val="bottom"/>
          </w:tcPr>
          <w:p>
            <w:pPr>
              <w:spacing w:after="0"/>
              <w:rPr>
                <w:sz w:val="1"/>
                <w:szCs w:val="1"/>
                <w:color w:val="auto"/>
              </w:rPr>
            </w:pPr>
          </w:p>
        </w:tc>
      </w:tr>
      <w:tr>
        <w:trPr>
          <w:trHeight w:val="203"/>
        </w:trPr>
        <w:tc>
          <w:tcPr>
            <w:tcW w:w="126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BFBFBF"/>
          </w:tcPr>
          <w:p>
            <w:pPr>
              <w:spacing w:after="0"/>
              <w:rPr>
                <w:sz w:val="17"/>
                <w:szCs w:val="17"/>
                <w:color w:val="auto"/>
              </w:rPr>
            </w:pPr>
          </w:p>
        </w:tc>
        <w:tc>
          <w:tcPr>
            <w:tcW w:w="124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(683)</w:t>
            </w:r>
          </w:p>
        </w:tc>
        <w:tc>
          <w:tcPr>
            <w:tcW w:w="594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Income tax (benefit)/expense on discontinued operations</w:t>
            </w:r>
          </w:p>
        </w:tc>
        <w:tc>
          <w:tcPr>
            <w:tcW w:w="124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(224)</w:t>
            </w:r>
          </w:p>
        </w:tc>
        <w:tc>
          <w:tcPr>
            <w:tcW w:w="340" w:type="dxa"/>
            <w:vAlign w:val="bottom"/>
            <w:shd w:val="clear" w:color="auto" w:fill="BFBFBF"/>
          </w:tcPr>
          <w:p>
            <w:pPr>
              <w:spacing w:after="0"/>
              <w:rPr>
                <w:sz w:val="17"/>
                <w:szCs w:val="17"/>
                <w:color w:val="auto"/>
              </w:rPr>
            </w:pPr>
          </w:p>
        </w:tc>
        <w:tc>
          <w:tcPr>
            <w:tcW w:w="114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25,570</w:t>
            </w:r>
          </w:p>
        </w:tc>
        <w:tc>
          <w:tcPr>
            <w:tcW w:w="0" w:type="dxa"/>
            <w:vAlign w:val="bottom"/>
          </w:tcPr>
          <w:p>
            <w:pPr>
              <w:spacing w:after="0"/>
              <w:rPr>
                <w:sz w:val="1"/>
                <w:szCs w:val="1"/>
                <w:color w:val="auto"/>
              </w:rPr>
            </w:pPr>
          </w:p>
        </w:tc>
      </w:tr>
      <w:tr>
        <w:trPr>
          <w:trHeight w:val="223"/>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BFB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59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(Loss)/income from discontinued operations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340" w:type="dxa"/>
            <w:vAlign w:val="bottom"/>
            <w:tcBorders>
              <w:bottom w:val="single" w:sz="8" w:color="BFBFBF"/>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71,582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$4,698</w:t>
            </w:r>
          </w:p>
        </w:tc>
        <w:tc>
          <w:tcPr>
            <w:tcW w:w="260" w:type="dxa"/>
            <w:vAlign w:val="bottom"/>
            <w:tcBorders>
              <w:bottom w:val="single" w:sz="8" w:color="BFBFBF"/>
            </w:tcBorders>
            <w:shd w:val="clear" w:color="auto" w:fill="BFBFBF"/>
          </w:tcPr>
          <w:p>
            <w:pPr>
              <w:spacing w:after="0"/>
              <w:rPr>
                <w:sz w:val="17"/>
                <w:szCs w:val="17"/>
                <w:color w:val="auto"/>
              </w:rPr>
            </w:pPr>
          </w:p>
        </w:tc>
        <w:tc>
          <w:tcPr>
            <w:tcW w:w="124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$9,463</w:t>
            </w:r>
          </w:p>
        </w:tc>
        <w:tc>
          <w:tcPr>
            <w:tcW w:w="5940" w:type="dxa"/>
            <w:vAlign w:val="bottom"/>
            <w:tcBorders>
              <w:bottom w:val="single" w:sz="8" w:color="BFBFBF"/>
            </w:tcBorders>
            <w:shd w:val="clear" w:color="auto" w:fill="BFBFBF"/>
          </w:tcPr>
          <w:p>
            <w:pPr>
              <w:ind w:left="440"/>
              <w:spacing w:after="0" w:line="196" w:lineRule="exact"/>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$8,830</w:t>
            </w:r>
          </w:p>
        </w:tc>
        <w:tc>
          <w:tcPr>
            <w:tcW w:w="340" w:type="dxa"/>
            <w:vAlign w:val="bottom"/>
            <w:tcBorders>
              <w:bottom w:val="single" w:sz="8" w:color="BFBFBF"/>
            </w:tcBorders>
            <w:shd w:val="clear" w:color="auto" w:fill="BFBFBF"/>
          </w:tcPr>
          <w:p>
            <w:pPr>
              <w:spacing w:after="0"/>
              <w:rPr>
                <w:sz w:val="17"/>
                <w:szCs w:val="17"/>
                <w:color w:val="auto"/>
              </w:rPr>
            </w:pPr>
          </w:p>
        </w:tc>
        <w:tc>
          <w:tcPr>
            <w:tcW w:w="114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$22,759</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940" w:type="dxa"/>
            <w:vAlign w:val="bottom"/>
            <w:vMerge w:val="restart"/>
          </w:tcPr>
          <w:p>
            <w:pPr>
              <w:ind w:left="440"/>
              <w:spacing w:after="0"/>
              <w:rPr>
                <w:sz w:val="20"/>
                <w:szCs w:val="20"/>
                <w:color w:val="auto"/>
              </w:rPr>
            </w:pPr>
            <w:r>
              <w:rPr>
                <w:rFonts w:ascii="Arial" w:cs="Arial" w:eastAsia="Arial" w:hAnsi="Arial"/>
                <w:sz w:val="18"/>
                <w:szCs w:val="18"/>
                <w:color w:val="auto"/>
              </w:rPr>
              <w:t>Earnings per share - Basic</w:t>
            </w: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$0.15</w:t>
            </w:r>
          </w:p>
        </w:tc>
        <w:tc>
          <w:tcPr>
            <w:tcW w:w="260" w:type="dxa"/>
            <w:vAlign w:val="bottom"/>
            <w:shd w:val="clear" w:color="auto" w:fill="BFBFBF"/>
          </w:tcPr>
          <w:p>
            <w:pPr>
              <w:spacing w:after="0"/>
              <w:rPr>
                <w:sz w:val="17"/>
                <w:szCs w:val="17"/>
                <w:color w:val="auto"/>
              </w:rPr>
            </w:pPr>
          </w:p>
        </w:tc>
        <w:tc>
          <w:tcPr>
            <w:tcW w:w="12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$0.29</w:t>
            </w:r>
          </w:p>
        </w:tc>
        <w:tc>
          <w:tcPr>
            <w:tcW w:w="5940" w:type="dxa"/>
            <w:vAlign w:val="bottom"/>
            <w:shd w:val="clear" w:color="auto" w:fill="BFBFBF"/>
          </w:tcPr>
          <w:p>
            <w:pPr>
              <w:ind w:left="440"/>
              <w:spacing w:after="0" w:line="202" w:lineRule="exact"/>
              <w:rPr>
                <w:sz w:val="20"/>
                <w:szCs w:val="20"/>
                <w:color w:val="auto"/>
              </w:rPr>
            </w:pPr>
            <w:r>
              <w:rPr>
                <w:rFonts w:ascii="Arial" w:cs="Arial" w:eastAsia="Arial" w:hAnsi="Arial"/>
                <w:sz w:val="18"/>
                <w:szCs w:val="18"/>
                <w:color w:val="auto"/>
              </w:rPr>
              <w:t>Income/(loss) from continuing operations</w:t>
            </w:r>
          </w:p>
        </w:tc>
        <w:tc>
          <w:tcPr>
            <w:tcW w:w="12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$0.29</w:t>
            </w:r>
          </w:p>
        </w:tc>
        <w:tc>
          <w:tcPr>
            <w:tcW w:w="34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260" w:type="dxa"/>
            <w:vAlign w:val="bottom"/>
            <w:tcBorders>
              <w:bottom w:val="single" w:sz="8" w:color="BFBFBF"/>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59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Discontinued operations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Borders>
              <w:bottom w:val="single" w:sz="8" w:color="BFBFBF"/>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$0.15</w:t>
            </w:r>
          </w:p>
        </w:tc>
        <w:tc>
          <w:tcPr>
            <w:tcW w:w="260" w:type="dxa"/>
            <w:vAlign w:val="bottom"/>
            <w:tcBorders>
              <w:bottom w:val="single" w:sz="8" w:color="BFBFBF"/>
            </w:tcBorders>
            <w:shd w:val="clear" w:color="auto" w:fill="BFBFBF"/>
          </w:tcPr>
          <w:p>
            <w:pPr>
              <w:spacing w:after="0"/>
              <w:rPr>
                <w:sz w:val="17"/>
                <w:szCs w:val="17"/>
                <w:color w:val="auto"/>
              </w:rPr>
            </w:pPr>
          </w:p>
        </w:tc>
        <w:tc>
          <w:tcPr>
            <w:tcW w:w="124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$0.30</w:t>
            </w:r>
          </w:p>
        </w:tc>
        <w:tc>
          <w:tcPr>
            <w:tcW w:w="5940" w:type="dxa"/>
            <w:vAlign w:val="bottom"/>
            <w:tcBorders>
              <w:bottom w:val="single" w:sz="8" w:color="BFBFBF"/>
            </w:tcBorders>
            <w:shd w:val="clear" w:color="auto" w:fill="BFBFBF"/>
          </w:tcPr>
          <w:p>
            <w:pPr>
              <w:ind w:left="440"/>
              <w:spacing w:after="0" w:line="196" w:lineRule="exact"/>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$0.28</w:t>
            </w:r>
          </w:p>
        </w:tc>
        <w:tc>
          <w:tcPr>
            <w:tcW w:w="340" w:type="dxa"/>
            <w:vAlign w:val="bottom"/>
            <w:tcBorders>
              <w:bottom w:val="single" w:sz="8" w:color="BFBFBF"/>
            </w:tcBorders>
            <w:shd w:val="clear" w:color="auto" w:fill="BFBFBF"/>
          </w:tcPr>
          <w:p>
            <w:pPr>
              <w:spacing w:after="0"/>
              <w:rPr>
                <w:sz w:val="17"/>
                <w:szCs w:val="17"/>
                <w:color w:val="auto"/>
              </w:rPr>
            </w:pPr>
          </w:p>
        </w:tc>
        <w:tc>
          <w:tcPr>
            <w:tcW w:w="114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940" w:type="dxa"/>
            <w:vAlign w:val="bottom"/>
            <w:vMerge w:val="restart"/>
          </w:tcPr>
          <w:p>
            <w:pPr>
              <w:ind w:left="440"/>
              <w:spacing w:after="0"/>
              <w:rPr>
                <w:sz w:val="20"/>
                <w:szCs w:val="20"/>
                <w:color w:val="auto"/>
              </w:rPr>
            </w:pPr>
            <w:r>
              <w:rPr>
                <w:rFonts w:ascii="Arial" w:cs="Arial" w:eastAsia="Arial" w:hAnsi="Arial"/>
                <w:sz w:val="18"/>
                <w:szCs w:val="18"/>
                <w:color w:val="auto"/>
              </w:rPr>
              <w:t>Earnings per share - Diluted</w:t>
            </w: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$0.15</w:t>
            </w:r>
          </w:p>
        </w:tc>
        <w:tc>
          <w:tcPr>
            <w:tcW w:w="260" w:type="dxa"/>
            <w:vAlign w:val="bottom"/>
            <w:shd w:val="clear" w:color="auto" w:fill="BFBFBF"/>
          </w:tcPr>
          <w:p>
            <w:pPr>
              <w:spacing w:after="0"/>
              <w:rPr>
                <w:sz w:val="17"/>
                <w:szCs w:val="17"/>
                <w:color w:val="auto"/>
              </w:rPr>
            </w:pPr>
          </w:p>
        </w:tc>
        <w:tc>
          <w:tcPr>
            <w:tcW w:w="12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$0.29</w:t>
            </w:r>
          </w:p>
        </w:tc>
        <w:tc>
          <w:tcPr>
            <w:tcW w:w="5940" w:type="dxa"/>
            <w:vAlign w:val="bottom"/>
            <w:shd w:val="clear" w:color="auto" w:fill="BFBFBF"/>
          </w:tcPr>
          <w:p>
            <w:pPr>
              <w:ind w:left="440"/>
              <w:spacing w:after="0" w:line="202" w:lineRule="exact"/>
              <w:rPr>
                <w:sz w:val="20"/>
                <w:szCs w:val="20"/>
                <w:color w:val="auto"/>
              </w:rPr>
            </w:pPr>
            <w:r>
              <w:rPr>
                <w:rFonts w:ascii="Arial" w:cs="Arial" w:eastAsia="Arial" w:hAnsi="Arial"/>
                <w:sz w:val="18"/>
                <w:szCs w:val="18"/>
                <w:color w:val="auto"/>
              </w:rPr>
              <w:t>Income/(loss) from continuing operations</w:t>
            </w:r>
          </w:p>
        </w:tc>
        <w:tc>
          <w:tcPr>
            <w:tcW w:w="12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$0.29</w:t>
            </w:r>
          </w:p>
        </w:tc>
        <w:tc>
          <w:tcPr>
            <w:tcW w:w="34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260" w:type="dxa"/>
            <w:vAlign w:val="bottom"/>
            <w:tcBorders>
              <w:bottom w:val="single" w:sz="8" w:color="BFBFBF"/>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5940" w:type="dxa"/>
            <w:vAlign w:val="bottom"/>
            <w:tcBorders>
              <w:bottom w:val="single" w:sz="8" w:color="BFBFBF"/>
            </w:tcBorders>
          </w:tcPr>
          <w:p>
            <w:pPr>
              <w:ind w:left="440"/>
              <w:spacing w:after="0"/>
              <w:rPr>
                <w:sz w:val="20"/>
                <w:szCs w:val="20"/>
                <w:color w:val="auto"/>
              </w:rPr>
            </w:pPr>
            <w:r>
              <w:rPr>
                <w:rFonts w:ascii="Arial" w:cs="Arial" w:eastAsia="Arial" w:hAnsi="Arial"/>
                <w:sz w:val="18"/>
                <w:szCs w:val="18"/>
                <w:color w:val="auto"/>
              </w:rPr>
              <w:t>Discontinued operations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Borders>
              <w:bottom w:val="single" w:sz="8" w:color="BFBFBF"/>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$0.15</w:t>
            </w:r>
          </w:p>
        </w:tc>
        <w:tc>
          <w:tcPr>
            <w:tcW w:w="260" w:type="dxa"/>
            <w:vAlign w:val="bottom"/>
            <w:tcBorders>
              <w:bottom w:val="single" w:sz="8" w:color="BFBFBF"/>
            </w:tcBorders>
            <w:shd w:val="clear" w:color="auto" w:fill="BFBFBF"/>
          </w:tcPr>
          <w:p>
            <w:pPr>
              <w:spacing w:after="0"/>
              <w:rPr>
                <w:sz w:val="17"/>
                <w:szCs w:val="17"/>
                <w:color w:val="auto"/>
              </w:rPr>
            </w:pPr>
          </w:p>
        </w:tc>
        <w:tc>
          <w:tcPr>
            <w:tcW w:w="124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$0.30</w:t>
            </w:r>
          </w:p>
        </w:tc>
        <w:tc>
          <w:tcPr>
            <w:tcW w:w="5940" w:type="dxa"/>
            <w:vAlign w:val="bottom"/>
            <w:tcBorders>
              <w:bottom w:val="single" w:sz="8" w:color="BFBFBF"/>
            </w:tcBorders>
            <w:shd w:val="clear" w:color="auto" w:fill="BFBFBF"/>
          </w:tcPr>
          <w:p>
            <w:pPr>
              <w:ind w:left="440"/>
              <w:spacing w:after="0" w:line="196" w:lineRule="exact"/>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$0.28</w:t>
            </w:r>
          </w:p>
        </w:tc>
        <w:tc>
          <w:tcPr>
            <w:tcW w:w="340" w:type="dxa"/>
            <w:vAlign w:val="bottom"/>
            <w:tcBorders>
              <w:bottom w:val="single" w:sz="8" w:color="BFBFBF"/>
            </w:tcBorders>
            <w:shd w:val="clear" w:color="auto" w:fill="BFBFBF"/>
          </w:tcPr>
          <w:p>
            <w:pPr>
              <w:spacing w:after="0"/>
              <w:rPr>
                <w:sz w:val="17"/>
                <w:szCs w:val="17"/>
                <w:color w:val="auto"/>
              </w:rPr>
            </w:pPr>
          </w:p>
        </w:tc>
        <w:tc>
          <w:tcPr>
            <w:tcW w:w="114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940" w:type="dxa"/>
            <w:vAlign w:val="bottom"/>
            <w:vMerge w:val="restart"/>
          </w:tcPr>
          <w:p>
            <w:pPr>
              <w:ind w:left="440"/>
              <w:spacing w:after="0"/>
              <w:rPr>
                <w:sz w:val="20"/>
                <w:szCs w:val="20"/>
                <w:color w:val="auto"/>
              </w:rPr>
            </w:pPr>
            <w:r>
              <w:rPr>
                <w:rFonts w:ascii="Arial" w:cs="Arial" w:eastAsia="Arial" w:hAnsi="Arial"/>
                <w:sz w:val="18"/>
                <w:szCs w:val="18"/>
                <w:color w:val="auto"/>
              </w:rPr>
              <w:t>Shares used in computing earnings per share:</w:t>
            </w: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31,719</w:t>
            </w:r>
          </w:p>
        </w:tc>
        <w:tc>
          <w:tcPr>
            <w:tcW w:w="2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31,363</w:t>
            </w:r>
          </w:p>
        </w:tc>
        <w:tc>
          <w:tcPr>
            <w:tcW w:w="5940" w:type="dxa"/>
            <w:vAlign w:val="bottom"/>
          </w:tcPr>
          <w:p>
            <w:pPr>
              <w:ind w:left="480"/>
              <w:spacing w:after="0"/>
              <w:rPr>
                <w:sz w:val="20"/>
                <w:szCs w:val="20"/>
                <w:color w:val="auto"/>
              </w:rPr>
            </w:pPr>
            <w:r>
              <w:rPr>
                <w:rFonts w:ascii="Arial" w:cs="Arial" w:eastAsia="Arial" w:hAnsi="Arial"/>
                <w:sz w:val="18"/>
                <w:szCs w:val="18"/>
                <w:color w:val="auto"/>
              </w:rPr>
              <w:t>Basic</w:t>
            </w:r>
          </w:p>
        </w:tc>
        <w:tc>
          <w:tcPr>
            <w:tcW w:w="1240" w:type="dxa"/>
            <w:vAlign w:val="bottom"/>
          </w:tcPr>
          <w:p>
            <w:pPr>
              <w:jc w:val="right"/>
              <w:spacing w:after="0"/>
              <w:rPr>
                <w:sz w:val="20"/>
                <w:szCs w:val="20"/>
                <w:color w:val="auto"/>
              </w:rPr>
            </w:pPr>
            <w:r>
              <w:rPr>
                <w:rFonts w:ascii="Arial" w:cs="Arial" w:eastAsia="Arial" w:hAnsi="Arial"/>
                <w:sz w:val="18"/>
                <w:szCs w:val="18"/>
                <w:color w:val="auto"/>
              </w:rPr>
              <w:t>31,615</w:t>
            </w:r>
          </w:p>
        </w:tc>
        <w:tc>
          <w:tcPr>
            <w:tcW w:w="34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31,340</w:t>
            </w:r>
          </w:p>
        </w:tc>
        <w:tc>
          <w:tcPr>
            <w:tcW w:w="0" w:type="dxa"/>
            <w:vAlign w:val="bottom"/>
          </w:tcPr>
          <w:p>
            <w:pPr>
              <w:spacing w:after="0"/>
              <w:rPr>
                <w:sz w:val="1"/>
                <w:szCs w:val="1"/>
                <w:color w:val="auto"/>
              </w:rPr>
            </w:pPr>
          </w:p>
        </w:tc>
      </w:tr>
      <w:tr>
        <w:trPr>
          <w:trHeight w:val="203"/>
        </w:trPr>
        <w:tc>
          <w:tcPr>
            <w:tcW w:w="12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32,010</w:t>
            </w:r>
          </w:p>
        </w:tc>
        <w:tc>
          <w:tcPr>
            <w:tcW w:w="260" w:type="dxa"/>
            <w:vAlign w:val="bottom"/>
            <w:shd w:val="clear" w:color="auto" w:fill="BFBFBF"/>
          </w:tcPr>
          <w:p>
            <w:pPr>
              <w:spacing w:after="0"/>
              <w:rPr>
                <w:sz w:val="17"/>
                <w:szCs w:val="17"/>
                <w:color w:val="auto"/>
              </w:rPr>
            </w:pPr>
          </w:p>
        </w:tc>
        <w:tc>
          <w:tcPr>
            <w:tcW w:w="12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31,550</w:t>
            </w:r>
          </w:p>
        </w:tc>
        <w:tc>
          <w:tcPr>
            <w:tcW w:w="594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Diluted</w:t>
            </w:r>
          </w:p>
        </w:tc>
        <w:tc>
          <w:tcPr>
            <w:tcW w:w="12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31,913</w:t>
            </w:r>
          </w:p>
        </w:tc>
        <w:tc>
          <w:tcPr>
            <w:tcW w:w="340" w:type="dxa"/>
            <w:vAlign w:val="bottom"/>
            <w:shd w:val="clear" w:color="auto" w:fill="BFBFBF"/>
          </w:tcPr>
          <w:p>
            <w:pPr>
              <w:spacing w:after="0"/>
              <w:rPr>
                <w:sz w:val="17"/>
                <w:szCs w:val="17"/>
                <w:color w:val="auto"/>
              </w:rPr>
            </w:pP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31,550</w:t>
            </w:r>
          </w:p>
        </w:tc>
        <w:tc>
          <w:tcPr>
            <w:tcW w:w="0" w:type="dxa"/>
            <w:vAlign w:val="bottom"/>
          </w:tcPr>
          <w:p>
            <w:pPr>
              <w:spacing w:after="0"/>
              <w:rPr>
                <w:sz w:val="1"/>
                <w:szCs w:val="1"/>
                <w:color w:val="auto"/>
              </w:rPr>
            </w:pPr>
          </w:p>
        </w:tc>
      </w:tr>
      <w:tr>
        <w:trPr>
          <w:trHeight w:val="50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5940" w:type="dxa"/>
            <w:vAlign w:val="bottom"/>
          </w:tcPr>
          <w:p>
            <w:pPr>
              <w:ind w:left="440"/>
              <w:spacing w:after="0"/>
              <w:rPr>
                <w:sz w:val="20"/>
                <w:szCs w:val="20"/>
                <w:color w:val="auto"/>
              </w:rPr>
            </w:pPr>
            <w:r>
              <w:rPr>
                <w:rFonts w:ascii="Arial" w:cs="Arial" w:eastAsia="Arial" w:hAnsi="Arial"/>
                <w:sz w:val="18"/>
                <w:szCs w:val="18"/>
                <w:color w:val="auto"/>
              </w:rPr>
              <w:t>Dividends per share</w:t>
            </w:r>
          </w:p>
        </w:tc>
        <w:tc>
          <w:tcPr>
            <w:tcW w:w="1240" w:type="dxa"/>
            <w:vAlign w:val="bottom"/>
          </w:tcPr>
          <w:p>
            <w:pPr>
              <w:jc w:val="right"/>
              <w:spacing w:after="0"/>
              <w:rPr>
                <w:sz w:val="20"/>
                <w:szCs w:val="20"/>
                <w:color w:val="auto"/>
              </w:rPr>
            </w:pPr>
            <w:r>
              <w:rPr>
                <w:rFonts w:ascii="Arial" w:cs="Arial" w:eastAsia="Arial" w:hAnsi="Arial"/>
                <w:sz w:val="18"/>
                <w:szCs w:val="18"/>
                <w:color w:val="auto"/>
              </w:rPr>
              <w:t>$0.44</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00" w:type="dxa"/>
            <w:vAlign w:val="bottom"/>
            <w:gridSpan w:val="3"/>
          </w:tcPr>
          <w:p>
            <w:pPr>
              <w:ind w:left="360"/>
              <w:spacing w:after="0"/>
              <w:rPr>
                <w:sz w:val="20"/>
                <w:szCs w:val="20"/>
                <w:color w:val="auto"/>
              </w:rPr>
            </w:pPr>
            <w:r>
              <w:rPr>
                <w:rFonts w:ascii="Arial" w:cs="Arial" w:eastAsia="Arial" w:hAnsi="Arial"/>
                <w:sz w:val="18"/>
                <w:szCs w:val="18"/>
                <w:color w:val="auto"/>
              </w:rPr>
              <w:t>Three Months Ended</w:t>
            </w:r>
          </w:p>
        </w:tc>
        <w:tc>
          <w:tcPr>
            <w:tcW w:w="6820" w:type="dxa"/>
            <w:vAlign w:val="bottom"/>
          </w:tcPr>
          <w:p>
            <w:pPr>
              <w:spacing w:after="0"/>
              <w:rPr>
                <w:sz w:val="18"/>
                <w:szCs w:val="18"/>
                <w:color w:val="auto"/>
              </w:rPr>
            </w:pPr>
          </w:p>
        </w:tc>
        <w:tc>
          <w:tcPr>
            <w:tcW w:w="2200" w:type="dxa"/>
            <w:vAlign w:val="bottom"/>
            <w:gridSpan w:val="3"/>
          </w:tcPr>
          <w:p>
            <w:pPr>
              <w:ind w:left="3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43"/>
        </w:trPr>
        <w:tc>
          <w:tcPr>
            <w:tcW w:w="2400" w:type="dxa"/>
            <w:vAlign w:val="bottom"/>
            <w:gridSpan w:val="3"/>
          </w:tcPr>
          <w:p>
            <w:pPr>
              <w:jc w:val="right"/>
              <w:ind w:right="510"/>
              <w:spacing w:after="0"/>
              <w:rPr>
                <w:sz w:val="20"/>
                <w:szCs w:val="20"/>
                <w:color w:val="auto"/>
              </w:rPr>
            </w:pPr>
            <w:r>
              <w:rPr>
                <w:rFonts w:ascii="Arial" w:cs="Arial" w:eastAsia="Arial" w:hAnsi="Arial"/>
                <w:sz w:val="18"/>
                <w:szCs w:val="18"/>
                <w:color w:val="auto"/>
              </w:rPr>
              <w:t>September 30,</w:t>
            </w:r>
          </w:p>
        </w:tc>
        <w:tc>
          <w:tcPr>
            <w:tcW w:w="6820" w:type="dxa"/>
            <w:vAlign w:val="bottom"/>
          </w:tcPr>
          <w:p>
            <w:pPr>
              <w:spacing w:after="0"/>
              <w:rPr>
                <w:sz w:val="21"/>
                <w:szCs w:val="21"/>
                <w:color w:val="auto"/>
              </w:rPr>
            </w:pPr>
          </w:p>
        </w:tc>
        <w:tc>
          <w:tcPr>
            <w:tcW w:w="2200" w:type="dxa"/>
            <w:vAlign w:val="bottom"/>
            <w:gridSpan w:val="3"/>
          </w:tcPr>
          <w:p>
            <w:pPr>
              <w:jc w:val="right"/>
              <w:ind w:right="43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2013</w:t>
            </w:r>
          </w:p>
        </w:tc>
        <w:tc>
          <w:tcPr>
            <w:tcW w:w="260" w:type="dxa"/>
            <w:vAlign w:val="bottom"/>
            <w:tcBorders>
              <w:bottom w:val="single" w:sz="8" w:color="BFBFBF"/>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6820" w:type="dxa"/>
            <w:vAlign w:val="bottom"/>
            <w:tcBorders>
              <w:bottom w:val="single" w:sz="8" w:color="BFBFBF"/>
            </w:tcBorders>
          </w:tcPr>
          <w:p>
            <w:pPr>
              <w:spacing w:after="0"/>
              <w:rPr>
                <w:sz w:val="19"/>
                <w:szCs w:val="19"/>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2013</w:t>
            </w:r>
          </w:p>
        </w:tc>
        <w:tc>
          <w:tcPr>
            <w:tcW w:w="260" w:type="dxa"/>
            <w:vAlign w:val="bottom"/>
            <w:tcBorders>
              <w:bottom w:val="single" w:sz="8" w:color="BFBFBF"/>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96"/>
        </w:trPr>
        <w:tc>
          <w:tcPr>
            <w:tcW w:w="112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$4,698</w:t>
            </w:r>
          </w:p>
        </w:tc>
        <w:tc>
          <w:tcPr>
            <w:tcW w:w="26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$9,463</w:t>
            </w:r>
          </w:p>
        </w:tc>
        <w:tc>
          <w:tcPr>
            <w:tcW w:w="6820" w:type="dxa"/>
            <w:vAlign w:val="bottom"/>
            <w:shd w:val="clear" w:color="auto" w:fill="BFBFBF"/>
          </w:tcPr>
          <w:p>
            <w:pPr>
              <w:ind w:left="540"/>
              <w:spacing w:after="0" w:line="196" w:lineRule="exact"/>
              <w:rPr>
                <w:sz w:val="20"/>
                <w:szCs w:val="20"/>
                <w:color w:val="auto"/>
              </w:rPr>
            </w:pPr>
            <w:r>
              <w:rPr>
                <w:rFonts w:ascii="Arial" w:cs="Arial" w:eastAsia="Arial" w:hAnsi="Arial"/>
                <w:sz w:val="18"/>
                <w:szCs w:val="18"/>
                <w:color w:val="auto"/>
              </w:rPr>
              <w:t>Net income</w:t>
            </w:r>
          </w:p>
        </w:tc>
        <w:tc>
          <w:tcPr>
            <w:tcW w:w="102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$8,830</w:t>
            </w:r>
          </w:p>
        </w:tc>
        <w:tc>
          <w:tcPr>
            <w:tcW w:w="26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$22,759</w:t>
            </w:r>
          </w:p>
        </w:tc>
        <w:tc>
          <w:tcPr>
            <w:tcW w:w="0" w:type="dxa"/>
            <w:vAlign w:val="bottom"/>
          </w:tcPr>
          <w:p>
            <w:pPr>
              <w:spacing w:after="0"/>
              <w:rPr>
                <w:sz w:val="1"/>
                <w:szCs w:val="1"/>
                <w:color w:val="auto"/>
              </w:rPr>
            </w:pPr>
          </w:p>
        </w:tc>
      </w:tr>
      <w:tr>
        <w:trPr>
          <w:trHeight w:val="479"/>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20" w:type="dxa"/>
            <w:vAlign w:val="bottom"/>
          </w:tcPr>
          <w:p>
            <w:pPr>
              <w:ind w:left="540"/>
              <w:spacing w:after="0"/>
              <w:rPr>
                <w:sz w:val="20"/>
                <w:szCs w:val="20"/>
                <w:color w:val="auto"/>
              </w:rPr>
            </w:pPr>
            <w:r>
              <w:rPr>
                <w:rFonts w:ascii="Arial" w:cs="Arial" w:eastAsia="Arial" w:hAnsi="Arial"/>
                <w:sz w:val="18"/>
                <w:szCs w:val="18"/>
                <w:color w:val="auto"/>
              </w:rPr>
              <w:t>Other comprehensive income, before tax:</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17,805</w:t>
            </w:r>
          </w:p>
        </w:tc>
        <w:tc>
          <w:tcPr>
            <w:tcW w:w="260" w:type="dxa"/>
            <w:vAlign w:val="bottom"/>
            <w:shd w:val="clear" w:color="auto" w:fill="BFBFBF"/>
          </w:tcPr>
          <w:p>
            <w:pPr>
              <w:spacing w:after="0"/>
              <w:rPr>
                <w:sz w:val="18"/>
                <w:szCs w:val="18"/>
                <w:color w:val="auto"/>
              </w:rPr>
            </w:pP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11,121</w:t>
            </w:r>
          </w:p>
        </w:tc>
        <w:tc>
          <w:tcPr>
            <w:tcW w:w="6820" w:type="dxa"/>
            <w:vAlign w:val="bottom"/>
            <w:shd w:val="clear" w:color="auto" w:fill="BFBFBF"/>
          </w:tcPr>
          <w:p>
            <w:pPr>
              <w:ind w:left="720"/>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4,536</w:t>
            </w:r>
          </w:p>
        </w:tc>
        <w:tc>
          <w:tcPr>
            <w:tcW w:w="260" w:type="dxa"/>
            <w:vAlign w:val="bottom"/>
            <w:shd w:val="clear" w:color="auto" w:fill="BFBFBF"/>
          </w:tcPr>
          <w:p>
            <w:pPr>
              <w:spacing w:after="0"/>
              <w:rPr>
                <w:sz w:val="18"/>
                <w:szCs w:val="18"/>
                <w:color w:val="auto"/>
              </w:rPr>
            </w:pPr>
          </w:p>
        </w:tc>
        <w:tc>
          <w:tcPr>
            <w:tcW w:w="9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36"/>
        </w:trPr>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20" w:type="dxa"/>
            <w:vAlign w:val="bottom"/>
          </w:tcPr>
          <w:p>
            <w:pPr>
              <w:ind w:left="720"/>
              <w:spacing w:after="0"/>
              <w:rPr>
                <w:sz w:val="20"/>
                <w:szCs w:val="20"/>
                <w:color w:val="auto"/>
              </w:rPr>
            </w:pPr>
            <w:r>
              <w:rPr>
                <w:rFonts w:ascii="Arial" w:cs="Arial" w:eastAsia="Arial" w:hAnsi="Arial"/>
                <w:sz w:val="18"/>
                <w:szCs w:val="18"/>
                <w:color w:val="auto"/>
              </w:rPr>
              <w:t>Pension settlement</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118,350</w:t>
            </w:r>
          </w:p>
        </w:tc>
        <w:tc>
          <w:tcPr>
            <w:tcW w:w="0" w:type="dxa"/>
            <w:vAlign w:val="bottom"/>
          </w:tcPr>
          <w:p>
            <w:pPr>
              <w:spacing w:after="0"/>
              <w:rPr>
                <w:sz w:val="1"/>
                <w:szCs w:val="1"/>
                <w:color w:val="auto"/>
              </w:rPr>
            </w:pPr>
          </w:p>
        </w:tc>
      </w:tr>
      <w:tr>
        <w:trPr>
          <w:trHeight w:val="209"/>
        </w:trPr>
        <w:tc>
          <w:tcPr>
            <w:tcW w:w="11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14,417</w:t>
            </w:r>
          </w:p>
        </w:tc>
        <w:tc>
          <w:tcPr>
            <w:tcW w:w="260" w:type="dxa"/>
            <w:vAlign w:val="bottom"/>
            <w:shd w:val="clear" w:color="auto" w:fill="BFBFBF"/>
          </w:tcPr>
          <w:p>
            <w:pPr>
              <w:spacing w:after="0"/>
              <w:rPr>
                <w:sz w:val="18"/>
                <w:szCs w:val="18"/>
                <w:color w:val="auto"/>
              </w:rPr>
            </w:pP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6820" w:type="dxa"/>
            <w:vAlign w:val="bottom"/>
            <w:shd w:val="clear" w:color="auto" w:fill="BFBFBF"/>
          </w:tcPr>
          <w:p>
            <w:pPr>
              <w:ind w:left="720"/>
              <w:spacing w:after="0"/>
              <w:rPr>
                <w:sz w:val="20"/>
                <w:szCs w:val="20"/>
                <w:color w:val="auto"/>
              </w:rPr>
            </w:pPr>
            <w:r>
              <w:rPr>
                <w:rFonts w:ascii="Arial" w:cs="Arial" w:eastAsia="Arial" w:hAnsi="Arial"/>
                <w:sz w:val="18"/>
                <w:szCs w:val="18"/>
                <w:color w:val="auto"/>
              </w:rPr>
              <w:t>Pension/postretirement plan remeasurement</w:t>
            </w: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14,417</w:t>
            </w:r>
          </w:p>
        </w:tc>
        <w:tc>
          <w:tcPr>
            <w:tcW w:w="260" w:type="dxa"/>
            <w:vAlign w:val="bottom"/>
            <w:shd w:val="clear" w:color="auto" w:fill="BFBFBF"/>
          </w:tcPr>
          <w:p>
            <w:pPr>
              <w:spacing w:after="0"/>
              <w:rPr>
                <w:sz w:val="18"/>
                <w:szCs w:val="18"/>
                <w:color w:val="auto"/>
              </w:rPr>
            </w:pPr>
          </w:p>
        </w:tc>
        <w:tc>
          <w:tcPr>
            <w:tcW w:w="9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(24,617)</w:t>
            </w:r>
          </w:p>
        </w:tc>
        <w:tc>
          <w:tcPr>
            <w:tcW w:w="0" w:type="dxa"/>
            <w:vAlign w:val="bottom"/>
          </w:tcPr>
          <w:p>
            <w:pPr>
              <w:spacing w:after="0"/>
              <w:rPr>
                <w:sz w:val="1"/>
                <w:szCs w:val="1"/>
                <w:color w:val="auto"/>
              </w:rPr>
            </w:pPr>
          </w:p>
        </w:tc>
      </w:tr>
      <w:tr>
        <w:trPr>
          <w:trHeight w:val="236"/>
        </w:trPr>
        <w:tc>
          <w:tcPr>
            <w:tcW w:w="1120" w:type="dxa"/>
            <w:vAlign w:val="bottom"/>
          </w:tcPr>
          <w:p>
            <w:pPr>
              <w:jc w:val="right"/>
              <w:ind w:right="10"/>
              <w:spacing w:after="0"/>
              <w:rPr>
                <w:sz w:val="20"/>
                <w:szCs w:val="20"/>
                <w:color w:val="auto"/>
              </w:rPr>
            </w:pPr>
            <w:r>
              <w:rPr>
                <w:rFonts w:ascii="Arial" w:cs="Arial" w:eastAsia="Arial" w:hAnsi="Arial"/>
                <w:sz w:val="18"/>
                <w:szCs w:val="18"/>
                <w:color w:val="auto"/>
              </w:rPr>
              <w:t>7,974</w:t>
            </w: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20" w:type="dxa"/>
            <w:vAlign w:val="bottom"/>
          </w:tcPr>
          <w:p>
            <w:pPr>
              <w:ind w:left="720"/>
              <w:spacing w:after="0"/>
              <w:rPr>
                <w:sz w:val="20"/>
                <w:szCs w:val="20"/>
                <w:color w:val="auto"/>
              </w:rPr>
            </w:pPr>
            <w:r>
              <w:rPr>
                <w:rFonts w:ascii="Arial" w:cs="Arial" w:eastAsia="Arial" w:hAnsi="Arial"/>
                <w:sz w:val="18"/>
                <w:szCs w:val="18"/>
                <w:color w:val="auto"/>
              </w:rPr>
              <w:t>Postretirement plan amendment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7,974</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120" w:type="dxa"/>
            <w:vAlign w:val="bottom"/>
            <w:shd w:val="clear" w:color="auto" w:fill="BFBFBF"/>
          </w:tcPr>
          <w:p>
            <w:pPr>
              <w:spacing w:after="0"/>
              <w:rPr>
                <w:sz w:val="18"/>
                <w:szCs w:val="18"/>
                <w:color w:val="auto"/>
              </w:rPr>
            </w:pPr>
          </w:p>
        </w:tc>
        <w:tc>
          <w:tcPr>
            <w:tcW w:w="260" w:type="dxa"/>
            <w:vAlign w:val="bottom"/>
            <w:shd w:val="clear" w:color="auto" w:fill="BFBFBF"/>
          </w:tcPr>
          <w:p>
            <w:pPr>
              <w:spacing w:after="0"/>
              <w:rPr>
                <w:sz w:val="18"/>
                <w:szCs w:val="18"/>
                <w:color w:val="auto"/>
              </w:rPr>
            </w:pPr>
          </w:p>
        </w:tc>
        <w:tc>
          <w:tcPr>
            <w:tcW w:w="1020" w:type="dxa"/>
            <w:vAlign w:val="bottom"/>
            <w:shd w:val="clear" w:color="auto" w:fill="BFBFBF"/>
          </w:tcPr>
          <w:p>
            <w:pPr>
              <w:spacing w:after="0"/>
              <w:rPr>
                <w:sz w:val="18"/>
                <w:szCs w:val="18"/>
                <w:color w:val="auto"/>
              </w:rPr>
            </w:pPr>
          </w:p>
        </w:tc>
        <w:tc>
          <w:tcPr>
            <w:tcW w:w="6820" w:type="dxa"/>
            <w:vAlign w:val="bottom"/>
            <w:shd w:val="clear" w:color="auto" w:fill="BFBFBF"/>
          </w:tcPr>
          <w:p>
            <w:pPr>
              <w:ind w:left="720"/>
              <w:spacing w:after="0"/>
              <w:rPr>
                <w:sz w:val="20"/>
                <w:szCs w:val="20"/>
                <w:color w:val="auto"/>
              </w:rPr>
            </w:pPr>
            <w:r>
              <w:rPr>
                <w:rFonts w:ascii="Arial" w:cs="Arial" w:eastAsia="Arial" w:hAnsi="Arial"/>
                <w:sz w:val="18"/>
                <w:szCs w:val="18"/>
                <w:color w:val="auto"/>
              </w:rPr>
              <w:t>Amortization of pension liability adjustment:</w:t>
            </w:r>
          </w:p>
        </w:tc>
        <w:tc>
          <w:tcPr>
            <w:tcW w:w="1020" w:type="dxa"/>
            <w:vAlign w:val="bottom"/>
            <w:shd w:val="clear" w:color="auto" w:fill="BFBFBF"/>
          </w:tcPr>
          <w:p>
            <w:pPr>
              <w:spacing w:after="0"/>
              <w:rPr>
                <w:sz w:val="18"/>
                <w:szCs w:val="18"/>
                <w:color w:val="auto"/>
              </w:rPr>
            </w:pPr>
          </w:p>
        </w:tc>
        <w:tc>
          <w:tcPr>
            <w:tcW w:w="260" w:type="dxa"/>
            <w:vAlign w:val="bottom"/>
            <w:shd w:val="clear" w:color="auto" w:fill="BFBFBF"/>
          </w:tcPr>
          <w:p>
            <w:pPr>
              <w:spacing w:after="0"/>
              <w:rPr>
                <w:sz w:val="18"/>
                <w:szCs w:val="18"/>
                <w:color w:val="auto"/>
              </w:rPr>
            </w:pPr>
          </w:p>
        </w:tc>
        <w:tc>
          <w:tcPr>
            <w:tcW w:w="92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6820" w:type="dxa"/>
            <w:vAlign w:val="bottom"/>
          </w:tcPr>
          <w:p>
            <w:pPr>
              <w:ind w:left="720"/>
              <w:spacing w:after="0"/>
              <w:rPr>
                <w:sz w:val="20"/>
                <w:szCs w:val="20"/>
                <w:color w:val="auto"/>
              </w:rPr>
            </w:pPr>
            <w:r>
              <w:rPr>
                <w:rFonts w:ascii="Arial" w:cs="Arial" w:eastAsia="Arial" w:hAnsi="Arial"/>
                <w:sz w:val="18"/>
                <w:szCs w:val="18"/>
                <w:color w:val="auto"/>
              </w:rPr>
              <w:t>Transition obligation</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11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(974)</w:t>
            </w:r>
          </w:p>
        </w:tc>
        <w:tc>
          <w:tcPr>
            <w:tcW w:w="260" w:type="dxa"/>
            <w:vAlign w:val="bottom"/>
            <w:shd w:val="clear" w:color="auto" w:fill="BFBFBF"/>
          </w:tcPr>
          <w:p>
            <w:pPr>
              <w:spacing w:after="0"/>
              <w:rPr>
                <w:sz w:val="18"/>
                <w:szCs w:val="18"/>
                <w:color w:val="auto"/>
              </w:rPr>
            </w:pP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(595)</w:t>
            </w:r>
          </w:p>
        </w:tc>
        <w:tc>
          <w:tcPr>
            <w:tcW w:w="6820" w:type="dxa"/>
            <w:vAlign w:val="bottom"/>
            <w:shd w:val="clear" w:color="auto" w:fill="BFBFBF"/>
          </w:tcPr>
          <w:p>
            <w:pPr>
              <w:ind w:left="720"/>
              <w:spacing w:after="0"/>
              <w:rPr>
                <w:sz w:val="20"/>
                <w:szCs w:val="20"/>
                <w:color w:val="auto"/>
              </w:rPr>
            </w:pPr>
            <w:r>
              <w:rPr>
                <w:rFonts w:ascii="Arial" w:cs="Arial" w:eastAsia="Arial" w:hAnsi="Arial"/>
                <w:sz w:val="18"/>
                <w:szCs w:val="18"/>
                <w:color w:val="auto"/>
              </w:rPr>
              <w:t>Prior service (credit)/cost</w:t>
            </w: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(2,791)</w:t>
            </w:r>
          </w:p>
        </w:tc>
        <w:tc>
          <w:tcPr>
            <w:tcW w:w="260" w:type="dxa"/>
            <w:vAlign w:val="bottom"/>
            <w:shd w:val="clear" w:color="auto" w:fill="BFBFBF"/>
          </w:tcPr>
          <w:p>
            <w:pPr>
              <w:spacing w:after="0"/>
              <w:rPr>
                <w:sz w:val="18"/>
                <w:szCs w:val="18"/>
                <w:color w:val="auto"/>
              </w:rPr>
            </w:pPr>
          </w:p>
        </w:tc>
        <w:tc>
          <w:tcPr>
            <w:tcW w:w="9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36"/>
        </w:trPr>
        <w:tc>
          <w:tcPr>
            <w:tcW w:w="1120" w:type="dxa"/>
            <w:vAlign w:val="bottom"/>
          </w:tcPr>
          <w:p>
            <w:pPr>
              <w:jc w:val="right"/>
              <w:ind w:right="10"/>
              <w:spacing w:after="0"/>
              <w:rPr>
                <w:sz w:val="20"/>
                <w:szCs w:val="20"/>
                <w:color w:val="auto"/>
              </w:rPr>
            </w:pPr>
            <w:r>
              <w:rPr>
                <w:rFonts w:ascii="Arial" w:cs="Arial" w:eastAsia="Arial" w:hAnsi="Arial"/>
                <w:sz w:val="18"/>
                <w:szCs w:val="18"/>
                <w:color w:val="auto"/>
              </w:rPr>
              <w:t>1,635</w:t>
            </w: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1,739</w:t>
            </w:r>
          </w:p>
        </w:tc>
        <w:tc>
          <w:tcPr>
            <w:tcW w:w="6820" w:type="dxa"/>
            <w:vAlign w:val="bottom"/>
          </w:tcPr>
          <w:p>
            <w:pPr>
              <w:ind w:left="720"/>
              <w:spacing w:after="0"/>
              <w:rPr>
                <w:sz w:val="20"/>
                <w:szCs w:val="20"/>
                <w:color w:val="auto"/>
              </w:rPr>
            </w:pPr>
            <w:r>
              <w:rPr>
                <w:rFonts w:ascii="Arial" w:cs="Arial" w:eastAsia="Arial" w:hAnsi="Arial"/>
                <w:sz w:val="18"/>
                <w:szCs w:val="18"/>
                <w:color w:val="auto"/>
              </w:rPr>
              <w:t>Net actuarial loss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4,963</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09"/>
        </w:trPr>
        <w:tc>
          <w:tcPr>
            <w:tcW w:w="11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BFBFBF"/>
          </w:tcPr>
          <w:p>
            <w:pPr>
              <w:spacing w:after="0"/>
              <w:rPr>
                <w:sz w:val="18"/>
                <w:szCs w:val="18"/>
                <w:color w:val="auto"/>
              </w:rPr>
            </w:pP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(235)</w:t>
            </w:r>
          </w:p>
        </w:tc>
        <w:tc>
          <w:tcPr>
            <w:tcW w:w="6820" w:type="dxa"/>
            <w:vAlign w:val="bottom"/>
            <w:shd w:val="clear" w:color="auto" w:fill="BFBFBF"/>
          </w:tcPr>
          <w:p>
            <w:pPr>
              <w:ind w:left="720"/>
              <w:spacing w:after="0"/>
              <w:rPr>
                <w:sz w:val="20"/>
                <w:szCs w:val="20"/>
                <w:color w:val="auto"/>
              </w:rPr>
            </w:pPr>
            <w:r>
              <w:rPr>
                <w:rFonts w:ascii="Arial" w:cs="Arial" w:eastAsia="Arial" w:hAnsi="Arial"/>
                <w:sz w:val="18"/>
                <w:szCs w:val="18"/>
                <w:color w:val="auto"/>
              </w:rPr>
              <w:t>Derivative valuation adjustment</w:t>
            </w: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2,473</w:t>
            </w:r>
          </w:p>
        </w:tc>
        <w:tc>
          <w:tcPr>
            <w:tcW w:w="260" w:type="dxa"/>
            <w:vAlign w:val="bottom"/>
            <w:shd w:val="clear" w:color="auto" w:fill="BFBFBF"/>
          </w:tcPr>
          <w:p>
            <w:pPr>
              <w:spacing w:after="0"/>
              <w:rPr>
                <w:sz w:val="18"/>
                <w:szCs w:val="18"/>
                <w:color w:val="auto"/>
              </w:rPr>
            </w:pPr>
          </w:p>
        </w:tc>
        <w:tc>
          <w:tcPr>
            <w:tcW w:w="9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479"/>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20" w:type="dxa"/>
            <w:vAlign w:val="bottom"/>
          </w:tcPr>
          <w:p>
            <w:pPr>
              <w:ind w:left="720"/>
              <w:spacing w:after="0"/>
              <w:rPr>
                <w:sz w:val="20"/>
                <w:szCs w:val="20"/>
                <w:color w:val="auto"/>
              </w:rPr>
            </w:pPr>
            <w:r>
              <w:rPr>
                <w:rFonts w:ascii="Arial" w:cs="Arial" w:eastAsia="Arial" w:hAnsi="Arial"/>
                <w:sz w:val="18"/>
                <w:szCs w:val="18"/>
                <w:color w:val="auto"/>
              </w:rPr>
              <w:t>Income taxes related to items of other comprehensive income:</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BFBF"/>
          </w:tcPr>
          <w:p>
            <w:pPr>
              <w:spacing w:after="0"/>
              <w:rPr>
                <w:sz w:val="18"/>
                <w:szCs w:val="18"/>
                <w:color w:val="auto"/>
              </w:rPr>
            </w:pP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6820" w:type="dxa"/>
            <w:vAlign w:val="bottom"/>
            <w:shd w:val="clear" w:color="auto" w:fill="BFBFBF"/>
          </w:tcPr>
          <w:p>
            <w:pPr>
              <w:ind w:left="720"/>
              <w:spacing w:after="0"/>
              <w:rPr>
                <w:sz w:val="20"/>
                <w:szCs w:val="20"/>
                <w:color w:val="auto"/>
              </w:rPr>
            </w:pPr>
            <w:r>
              <w:rPr>
                <w:rFonts w:ascii="Arial" w:cs="Arial" w:eastAsia="Arial" w:hAnsi="Arial"/>
                <w:sz w:val="18"/>
                <w:szCs w:val="18"/>
                <w:color w:val="auto"/>
              </w:rPr>
              <w:t>Pension settlement</w:t>
            </w: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BFBF"/>
          </w:tcPr>
          <w:p>
            <w:pPr>
              <w:spacing w:after="0"/>
              <w:rPr>
                <w:sz w:val="18"/>
                <w:szCs w:val="18"/>
                <w:color w:val="auto"/>
              </w:rPr>
            </w:pPr>
          </w:p>
        </w:tc>
        <w:tc>
          <w:tcPr>
            <w:tcW w:w="9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(39,146)</w:t>
            </w:r>
          </w:p>
        </w:tc>
        <w:tc>
          <w:tcPr>
            <w:tcW w:w="0" w:type="dxa"/>
            <w:vAlign w:val="bottom"/>
          </w:tcPr>
          <w:p>
            <w:pPr>
              <w:spacing w:after="0"/>
              <w:rPr>
                <w:sz w:val="1"/>
                <w:szCs w:val="1"/>
                <w:color w:val="auto"/>
              </w:rPr>
            </w:pPr>
          </w:p>
        </w:tc>
      </w:tr>
      <w:tr>
        <w:trPr>
          <w:trHeight w:val="236"/>
        </w:trPr>
        <w:tc>
          <w:tcPr>
            <w:tcW w:w="1120" w:type="dxa"/>
            <w:vAlign w:val="bottom"/>
          </w:tcPr>
          <w:p>
            <w:pPr>
              <w:jc w:val="right"/>
              <w:ind w:right="10"/>
              <w:spacing w:after="0"/>
              <w:rPr>
                <w:sz w:val="20"/>
                <w:szCs w:val="20"/>
                <w:color w:val="auto"/>
              </w:rPr>
            </w:pPr>
            <w:r>
              <w:rPr>
                <w:rFonts w:ascii="Arial" w:cs="Arial" w:eastAsia="Arial" w:hAnsi="Arial"/>
                <w:sz w:val="18"/>
                <w:szCs w:val="18"/>
                <w:color w:val="auto"/>
              </w:rPr>
              <w:t>(5,623)</w:t>
            </w: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20" w:type="dxa"/>
            <w:vAlign w:val="bottom"/>
          </w:tcPr>
          <w:p>
            <w:pPr>
              <w:ind w:left="720"/>
              <w:spacing w:after="0"/>
              <w:rPr>
                <w:sz w:val="20"/>
                <w:szCs w:val="20"/>
                <w:color w:val="auto"/>
              </w:rPr>
            </w:pPr>
            <w:r>
              <w:rPr>
                <w:rFonts w:ascii="Arial" w:cs="Arial" w:eastAsia="Arial" w:hAnsi="Arial"/>
                <w:sz w:val="18"/>
                <w:szCs w:val="18"/>
                <w:color w:val="auto"/>
              </w:rPr>
              <w:t>Pension/postretirement plan remeasurement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(5,623)</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09"/>
        </w:trPr>
        <w:tc>
          <w:tcPr>
            <w:tcW w:w="11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(3,110)</w:t>
            </w:r>
          </w:p>
        </w:tc>
        <w:tc>
          <w:tcPr>
            <w:tcW w:w="260" w:type="dxa"/>
            <w:vAlign w:val="bottom"/>
            <w:shd w:val="clear" w:color="auto" w:fill="BFBFBF"/>
          </w:tcPr>
          <w:p>
            <w:pPr>
              <w:spacing w:after="0"/>
              <w:rPr>
                <w:sz w:val="18"/>
                <w:szCs w:val="18"/>
                <w:color w:val="auto"/>
              </w:rPr>
            </w:pP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6820" w:type="dxa"/>
            <w:vAlign w:val="bottom"/>
            <w:shd w:val="clear" w:color="auto" w:fill="BFBFBF"/>
          </w:tcPr>
          <w:p>
            <w:pPr>
              <w:ind w:left="720"/>
              <w:spacing w:after="0"/>
              <w:rPr>
                <w:sz w:val="20"/>
                <w:szCs w:val="20"/>
                <w:color w:val="auto"/>
              </w:rPr>
            </w:pPr>
            <w:r>
              <w:rPr>
                <w:rFonts w:ascii="Arial" w:cs="Arial" w:eastAsia="Arial" w:hAnsi="Arial"/>
                <w:sz w:val="18"/>
                <w:szCs w:val="18"/>
                <w:color w:val="auto"/>
              </w:rPr>
              <w:t>Postretirement plan amendment</w:t>
            </w: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(3,110)</w:t>
            </w:r>
          </w:p>
        </w:tc>
        <w:tc>
          <w:tcPr>
            <w:tcW w:w="260" w:type="dxa"/>
            <w:vAlign w:val="bottom"/>
            <w:shd w:val="clear" w:color="auto" w:fill="BFBFBF"/>
          </w:tcPr>
          <w:p>
            <w:pPr>
              <w:spacing w:after="0"/>
              <w:rPr>
                <w:sz w:val="18"/>
                <w:szCs w:val="18"/>
                <w:color w:val="auto"/>
              </w:rPr>
            </w:pPr>
          </w:p>
        </w:tc>
        <w:tc>
          <w:tcPr>
            <w:tcW w:w="9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12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6820" w:type="dxa"/>
            <w:vAlign w:val="bottom"/>
          </w:tcPr>
          <w:p>
            <w:pPr>
              <w:ind w:left="720"/>
              <w:spacing w:after="0"/>
              <w:rPr>
                <w:sz w:val="20"/>
                <w:szCs w:val="20"/>
                <w:color w:val="auto"/>
              </w:rPr>
            </w:pPr>
            <w:r>
              <w:rPr>
                <w:rFonts w:ascii="Arial" w:cs="Arial" w:eastAsia="Arial" w:hAnsi="Arial"/>
                <w:sz w:val="18"/>
                <w:szCs w:val="18"/>
                <w:color w:val="auto"/>
              </w:rPr>
              <w:t>Amortization of pension liability adjustment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9"/>
        </w:trPr>
        <w:tc>
          <w:tcPr>
            <w:tcW w:w="11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BFBFBF"/>
          </w:tcPr>
          <w:p>
            <w:pPr>
              <w:spacing w:after="0"/>
              <w:rPr>
                <w:sz w:val="18"/>
                <w:szCs w:val="18"/>
                <w:color w:val="auto"/>
              </w:rPr>
            </w:pP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92</w:t>
            </w:r>
          </w:p>
        </w:tc>
        <w:tc>
          <w:tcPr>
            <w:tcW w:w="6820" w:type="dxa"/>
            <w:vAlign w:val="bottom"/>
            <w:shd w:val="clear" w:color="auto" w:fill="BFBFBF"/>
          </w:tcPr>
          <w:p>
            <w:pPr>
              <w:ind w:left="720"/>
              <w:spacing w:after="0"/>
              <w:rPr>
                <w:sz w:val="20"/>
                <w:szCs w:val="20"/>
                <w:color w:val="auto"/>
              </w:rPr>
            </w:pPr>
            <w:r>
              <w:rPr>
                <w:rFonts w:ascii="Arial" w:cs="Arial" w:eastAsia="Arial" w:hAnsi="Arial"/>
                <w:sz w:val="18"/>
                <w:szCs w:val="18"/>
                <w:color w:val="auto"/>
              </w:rPr>
              <w:t>Derivative valuation adjustment</w:t>
            </w: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(964)</w:t>
            </w:r>
          </w:p>
        </w:tc>
        <w:tc>
          <w:tcPr>
            <w:tcW w:w="260" w:type="dxa"/>
            <w:vAlign w:val="bottom"/>
            <w:shd w:val="clear" w:color="auto" w:fill="BFBFBF"/>
          </w:tcPr>
          <w:p>
            <w:pPr>
              <w:spacing w:after="0"/>
              <w:rPr>
                <w:sz w:val="18"/>
                <w:szCs w:val="18"/>
                <w:color w:val="auto"/>
              </w:rPr>
            </w:pPr>
          </w:p>
        </w:tc>
        <w:tc>
          <w:tcPr>
            <w:tcW w:w="9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11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820" w:type="dxa"/>
            <w:vAlign w:val="bottom"/>
            <w:vMerge w:val="restart"/>
          </w:tcPr>
          <w:p>
            <w:pPr>
              <w:ind w:left="540"/>
              <w:spacing w:after="0"/>
              <w:rPr>
                <w:sz w:val="20"/>
                <w:szCs w:val="20"/>
                <w:color w:val="auto"/>
              </w:rPr>
            </w:pPr>
            <w:r>
              <w:rPr>
                <w:rFonts w:ascii="Arial" w:cs="Arial" w:eastAsia="Arial" w:hAnsi="Arial"/>
                <w:sz w:val="18"/>
                <w:szCs w:val="18"/>
                <w:color w:val="auto"/>
              </w:rPr>
              <w:t>Other comprehensive income, net of tax</w:t>
            </w:r>
          </w:p>
        </w:tc>
        <w:tc>
          <w:tcPr>
            <w:tcW w:w="10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31,633</w:t>
            </w:r>
          </w:p>
        </w:tc>
        <w:tc>
          <w:tcPr>
            <w:tcW w:w="260" w:type="dxa"/>
            <w:vAlign w:val="bottom"/>
            <w:tcBorders>
              <w:bottom w:val="single" w:sz="8" w:color="BFBFBF"/>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11,783</w:t>
            </w:r>
          </w:p>
        </w:tc>
        <w:tc>
          <w:tcPr>
            <w:tcW w:w="6820" w:type="dxa"/>
            <w:vAlign w:val="bottom"/>
            <w:tcBorders>
              <w:bottom w:val="single" w:sz="8" w:color="BFBFBF"/>
            </w:tcBorders>
            <w:vMerge w:val="continue"/>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21,120</w:t>
            </w:r>
          </w:p>
        </w:tc>
        <w:tc>
          <w:tcPr>
            <w:tcW w:w="260" w:type="dxa"/>
            <w:vAlign w:val="bottom"/>
            <w:tcBorders>
              <w:bottom w:val="single" w:sz="8" w:color="BFBFBF"/>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67,853</w:t>
            </w:r>
          </w:p>
        </w:tc>
        <w:tc>
          <w:tcPr>
            <w:tcW w:w="0" w:type="dxa"/>
            <w:vAlign w:val="bottom"/>
          </w:tcPr>
          <w:p>
            <w:pPr>
              <w:spacing w:after="0"/>
              <w:rPr>
                <w:sz w:val="1"/>
                <w:szCs w:val="1"/>
                <w:color w:val="auto"/>
              </w:rPr>
            </w:pPr>
          </w:p>
        </w:tc>
      </w:tr>
      <w:tr>
        <w:trPr>
          <w:trHeight w:val="216"/>
        </w:trPr>
        <w:tc>
          <w:tcPr>
            <w:tcW w:w="1120" w:type="dxa"/>
            <w:vAlign w:val="bottom"/>
            <w:tcBorders>
              <w:bottom w:val="single" w:sz="8" w:color="auto"/>
            </w:tcBorders>
            <w:shd w:val="clear" w:color="auto" w:fill="BFBFBF"/>
          </w:tcPr>
          <w:p>
            <w:pPr>
              <w:jc w:val="right"/>
              <w:ind w:right="70"/>
              <w:spacing w:after="0"/>
              <w:rPr>
                <w:sz w:val="20"/>
                <w:szCs w:val="20"/>
                <w:color w:val="auto"/>
              </w:rPr>
            </w:pPr>
            <w:r>
              <w:rPr>
                <w:rFonts w:ascii="Arial" w:cs="Arial" w:eastAsia="Arial" w:hAnsi="Arial"/>
                <w:sz w:val="18"/>
                <w:szCs w:val="18"/>
                <w:color w:val="auto"/>
              </w:rPr>
              <w:t>$36,331</w:t>
            </w:r>
          </w:p>
        </w:tc>
        <w:tc>
          <w:tcPr>
            <w:tcW w:w="260" w:type="dxa"/>
            <w:vAlign w:val="bottom"/>
            <w:tcBorders>
              <w:bottom w:val="single" w:sz="8" w:color="BFBFBF"/>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ind w:right="50"/>
              <w:spacing w:after="0"/>
              <w:rPr>
                <w:sz w:val="20"/>
                <w:szCs w:val="20"/>
                <w:color w:val="auto"/>
              </w:rPr>
            </w:pPr>
            <w:r>
              <w:rPr>
                <w:rFonts w:ascii="Arial" w:cs="Arial" w:eastAsia="Arial" w:hAnsi="Arial"/>
                <w:sz w:val="18"/>
                <w:szCs w:val="18"/>
                <w:color w:val="auto"/>
              </w:rPr>
              <w:t>$21,246</w:t>
            </w:r>
          </w:p>
        </w:tc>
        <w:tc>
          <w:tcPr>
            <w:tcW w:w="6820" w:type="dxa"/>
            <w:vAlign w:val="bottom"/>
            <w:tcBorders>
              <w:bottom w:val="single" w:sz="8" w:color="BFBFBF"/>
            </w:tcBorders>
            <w:shd w:val="clear" w:color="auto" w:fill="BFBFBF"/>
          </w:tcPr>
          <w:p>
            <w:pPr>
              <w:ind w:left="540"/>
              <w:spacing w:after="0" w:line="203" w:lineRule="exact"/>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shd w:val="clear" w:color="auto" w:fill="BFBFBF"/>
          </w:tcPr>
          <w:p>
            <w:pPr>
              <w:jc w:val="right"/>
              <w:ind w:right="50"/>
              <w:spacing w:after="0"/>
              <w:rPr>
                <w:sz w:val="20"/>
                <w:szCs w:val="20"/>
                <w:color w:val="auto"/>
              </w:rPr>
            </w:pPr>
            <w:r>
              <w:rPr>
                <w:rFonts w:ascii="Arial" w:cs="Arial" w:eastAsia="Arial" w:hAnsi="Arial"/>
                <w:sz w:val="18"/>
                <w:szCs w:val="18"/>
                <w:color w:val="auto"/>
              </w:rPr>
              <w:t>$29,950</w:t>
            </w:r>
          </w:p>
        </w:tc>
        <w:tc>
          <w:tcPr>
            <w:tcW w:w="260" w:type="dxa"/>
            <w:vAlign w:val="bottom"/>
            <w:tcBorders>
              <w:bottom w:val="single" w:sz="8" w:color="BFBFBF"/>
            </w:tcBorders>
            <w:shd w:val="clear" w:color="auto" w:fill="BFBFBF"/>
          </w:tcPr>
          <w:p>
            <w:pPr>
              <w:spacing w:after="0"/>
              <w:rPr>
                <w:sz w:val="18"/>
                <w:szCs w:val="18"/>
                <w:color w:val="auto"/>
              </w:rPr>
            </w:pPr>
          </w:p>
        </w:tc>
        <w:tc>
          <w:tcPr>
            <w:tcW w:w="920" w:type="dxa"/>
            <w:vAlign w:val="bottom"/>
            <w:tcBorders>
              <w:bottom w:val="single" w:sz="8" w:color="auto"/>
            </w:tcBorders>
            <w:shd w:val="clear" w:color="auto" w:fill="BFBFBF"/>
          </w:tcPr>
          <w:p>
            <w:pPr>
              <w:jc w:val="right"/>
              <w:ind w:right="50"/>
              <w:spacing w:after="0"/>
              <w:rPr>
                <w:sz w:val="20"/>
                <w:szCs w:val="20"/>
                <w:color w:val="auto"/>
              </w:rPr>
            </w:pPr>
            <w:r>
              <w:rPr>
                <w:rFonts w:ascii="Arial" w:cs="Arial" w:eastAsia="Arial" w:hAnsi="Arial"/>
                <w:sz w:val="18"/>
                <w:szCs w:val="18"/>
                <w:color w:val="auto"/>
              </w:rPr>
              <w:t>$90,612</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7"/>
                <w:szCs w:val="17"/>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September 30,</w:t>
            </w:r>
          </w:p>
        </w:tc>
        <w:tc>
          <w:tcPr>
            <w:tcW w:w="580" w:type="dxa"/>
            <w:vAlign w:val="bottom"/>
          </w:tcPr>
          <w:p>
            <w:pPr>
              <w:spacing w:after="0"/>
              <w:rPr>
                <w:sz w:val="17"/>
                <w:szCs w:val="17"/>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7200" w:type="dxa"/>
            <w:vAlign w:val="bottom"/>
            <w:vMerge w:val="restart"/>
          </w:tcPr>
          <w:p>
            <w:pPr>
              <w:ind w:left="100"/>
              <w:spacing w:after="0"/>
              <w:rPr>
                <w:sz w:val="20"/>
                <w:szCs w:val="20"/>
                <w:color w:val="auto"/>
              </w:rPr>
            </w:pPr>
            <w:r>
              <w:rPr>
                <w:rFonts w:ascii="Arial" w:cs="Arial" w:eastAsia="Arial" w:hAnsi="Arial"/>
                <w:sz w:val="18"/>
                <w:szCs w:val="18"/>
                <w:color w:val="auto"/>
              </w:rPr>
              <w:t>ASSETS</w:t>
            </w:r>
          </w:p>
        </w:tc>
        <w:tc>
          <w:tcPr>
            <w:tcW w:w="1820" w:type="dxa"/>
            <w:vAlign w:val="bottom"/>
          </w:tcPr>
          <w:p>
            <w:pPr>
              <w:jc w:val="right"/>
              <w:ind w:right="610"/>
              <w:spacing w:after="0" w:line="203" w:lineRule="exact"/>
              <w:rPr>
                <w:sz w:val="20"/>
                <w:szCs w:val="20"/>
                <w:color w:val="auto"/>
              </w:rPr>
            </w:pPr>
            <w:r>
              <w:rPr>
                <w:rFonts w:ascii="Arial" w:cs="Arial" w:eastAsia="Arial" w:hAnsi="Arial"/>
                <w:sz w:val="18"/>
                <w:szCs w:val="18"/>
                <w:color w:val="auto"/>
              </w:rPr>
              <w:t>2013</w:t>
            </w:r>
          </w:p>
        </w:tc>
        <w:tc>
          <w:tcPr>
            <w:tcW w:w="2400" w:type="dxa"/>
            <w:vAlign w:val="bottom"/>
            <w:gridSpan w:val="2"/>
          </w:tcPr>
          <w:p>
            <w:pPr>
              <w:jc w:val="right"/>
              <w:ind w:right="630"/>
              <w:spacing w:after="0" w:line="203"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96"/>
        </w:trPr>
        <w:tc>
          <w:tcPr>
            <w:tcW w:w="7200" w:type="dxa"/>
            <w:vAlign w:val="bottom"/>
            <w:vMerge w:val="continue"/>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0C0C0"/>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8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$ 212,809</w:t>
            </w:r>
          </w:p>
        </w:tc>
        <w:tc>
          <w:tcPr>
            <w:tcW w:w="240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$ 190,718</w:t>
            </w:r>
          </w:p>
        </w:tc>
        <w:tc>
          <w:tcPr>
            <w:tcW w:w="0" w:type="dxa"/>
            <w:vAlign w:val="bottom"/>
          </w:tcPr>
          <w:p>
            <w:pPr>
              <w:spacing w:after="0"/>
              <w:rPr>
                <w:sz w:val="1"/>
                <w:szCs w:val="1"/>
                <w:color w:val="auto"/>
              </w:rPr>
            </w:pPr>
          </w:p>
        </w:tc>
      </w:tr>
      <w:tr>
        <w:trPr>
          <w:trHeight w:val="203"/>
        </w:trPr>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Accounts receivable, net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158,793</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171,535</w:t>
            </w:r>
          </w:p>
        </w:tc>
        <w:tc>
          <w:tcPr>
            <w:tcW w:w="0" w:type="dxa"/>
            <w:vAlign w:val="bottom"/>
          </w:tcPr>
          <w:p>
            <w:pPr>
              <w:spacing w:after="0"/>
              <w:rPr>
                <w:sz w:val="1"/>
                <w:szCs w:val="1"/>
                <w:color w:val="auto"/>
              </w:rPr>
            </w:pPr>
          </w:p>
        </w:tc>
      </w:tr>
      <w:tr>
        <w:trPr>
          <w:trHeight w:val="203"/>
        </w:trPr>
        <w:tc>
          <w:tcPr>
            <w:tcW w:w="7200" w:type="dxa"/>
            <w:vAlign w:val="bottom"/>
            <w:shd w:val="clear" w:color="auto" w:fill="C0C0C0"/>
          </w:tcPr>
          <w:p>
            <w:pPr>
              <w:ind w:left="160"/>
              <w:spacing w:after="0" w:line="202" w:lineRule="exact"/>
              <w:rPr>
                <w:sz w:val="20"/>
                <w:szCs w:val="20"/>
                <w:color w:val="auto"/>
              </w:rPr>
            </w:pPr>
            <w:r>
              <w:rPr>
                <w:rFonts w:ascii="Arial" w:cs="Arial" w:eastAsia="Arial" w:hAnsi="Arial"/>
                <w:sz w:val="18"/>
                <w:szCs w:val="18"/>
                <w:color w:val="auto"/>
              </w:rPr>
              <w:t>Inventories</w:t>
            </w:r>
          </w:p>
        </w:tc>
        <w:tc>
          <w:tcPr>
            <w:tcW w:w="18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118,955</w:t>
            </w:r>
          </w:p>
        </w:tc>
        <w:tc>
          <w:tcPr>
            <w:tcW w:w="240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119,183</w:t>
            </w:r>
          </w:p>
        </w:tc>
        <w:tc>
          <w:tcPr>
            <w:tcW w:w="0" w:type="dxa"/>
            <w:vAlign w:val="bottom"/>
          </w:tcPr>
          <w:p>
            <w:pPr>
              <w:spacing w:after="0"/>
              <w:rPr>
                <w:sz w:val="1"/>
                <w:szCs w:val="1"/>
                <w:color w:val="auto"/>
              </w:rPr>
            </w:pPr>
          </w:p>
        </w:tc>
      </w:tr>
      <w:tr>
        <w:trPr>
          <w:trHeight w:val="203"/>
        </w:trPr>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Income taxes receivable and deferred</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20,156</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20,594</w:t>
            </w:r>
          </w:p>
        </w:tc>
        <w:tc>
          <w:tcPr>
            <w:tcW w:w="0" w:type="dxa"/>
            <w:vAlign w:val="bottom"/>
          </w:tcPr>
          <w:p>
            <w:pPr>
              <w:spacing w:after="0"/>
              <w:rPr>
                <w:sz w:val="1"/>
                <w:szCs w:val="1"/>
                <w:color w:val="auto"/>
              </w:rPr>
            </w:pPr>
          </w:p>
        </w:tc>
      </w:tr>
      <w:tr>
        <w:trPr>
          <w:trHeight w:val="203"/>
        </w:trPr>
        <w:tc>
          <w:tcPr>
            <w:tcW w:w="72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12,019</w:t>
            </w:r>
          </w:p>
        </w:tc>
        <w:tc>
          <w:tcPr>
            <w:tcW w:w="240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10,435</w:t>
            </w:r>
          </w:p>
        </w:tc>
        <w:tc>
          <w:tcPr>
            <w:tcW w:w="0" w:type="dxa"/>
            <w:vAlign w:val="bottom"/>
          </w:tcPr>
          <w:p>
            <w:pPr>
              <w:spacing w:after="0"/>
              <w:rPr>
                <w:sz w:val="1"/>
                <w:szCs w:val="1"/>
                <w:color w:val="auto"/>
              </w:rPr>
            </w:pPr>
          </w:p>
        </w:tc>
      </w:tr>
      <w:tr>
        <w:trPr>
          <w:trHeight w:val="210"/>
        </w:trPr>
        <w:tc>
          <w:tcPr>
            <w:tcW w:w="720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522,732</w:t>
            </w:r>
          </w:p>
        </w:tc>
        <w:tc>
          <w:tcPr>
            <w:tcW w:w="580" w:type="dxa"/>
            <w:vAlign w:val="bottom"/>
          </w:tcPr>
          <w:p>
            <w:pPr>
              <w:spacing w:after="0"/>
              <w:rPr>
                <w:sz w:val="18"/>
                <w:szCs w:val="18"/>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512,465</w:t>
            </w:r>
          </w:p>
        </w:tc>
        <w:tc>
          <w:tcPr>
            <w:tcW w:w="0" w:type="dxa"/>
            <w:vAlign w:val="bottom"/>
          </w:tcPr>
          <w:p>
            <w:pPr>
              <w:spacing w:after="0"/>
              <w:rPr>
                <w:sz w:val="1"/>
                <w:szCs w:val="1"/>
                <w:color w:val="auto"/>
              </w:rPr>
            </w:pPr>
          </w:p>
        </w:tc>
      </w:tr>
      <w:tr>
        <w:trPr>
          <w:trHeight w:val="188"/>
        </w:trPr>
        <w:tc>
          <w:tcPr>
            <w:tcW w:w="7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0C0C0"/>
          </w:tcPr>
          <w:p>
            <w:pPr>
              <w:ind w:left="160"/>
              <w:spacing w:after="0" w:line="202" w:lineRule="exact"/>
              <w:rPr>
                <w:sz w:val="20"/>
                <w:szCs w:val="20"/>
                <w:color w:val="auto"/>
              </w:rPr>
            </w:pPr>
            <w:r>
              <w:rPr>
                <w:rFonts w:ascii="Arial" w:cs="Arial" w:eastAsia="Arial" w:hAnsi="Arial"/>
                <w:sz w:val="18"/>
                <w:szCs w:val="18"/>
                <w:color w:val="auto"/>
              </w:rPr>
              <w:t>Property, plant and equipment, net</w:t>
            </w:r>
          </w:p>
        </w:tc>
        <w:tc>
          <w:tcPr>
            <w:tcW w:w="18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416,446</w:t>
            </w:r>
          </w:p>
        </w:tc>
        <w:tc>
          <w:tcPr>
            <w:tcW w:w="240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420,154</w:t>
            </w:r>
          </w:p>
        </w:tc>
        <w:tc>
          <w:tcPr>
            <w:tcW w:w="0" w:type="dxa"/>
            <w:vAlign w:val="bottom"/>
          </w:tcPr>
          <w:p>
            <w:pPr>
              <w:spacing w:after="0"/>
              <w:rPr>
                <w:sz w:val="1"/>
                <w:szCs w:val="1"/>
                <w:color w:val="auto"/>
              </w:rPr>
            </w:pPr>
          </w:p>
        </w:tc>
      </w:tr>
      <w:tr>
        <w:trPr>
          <w:trHeight w:val="203"/>
        </w:trPr>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Intangibles</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674</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3"/>
        </w:trPr>
        <w:tc>
          <w:tcPr>
            <w:tcW w:w="7200" w:type="dxa"/>
            <w:vAlign w:val="bottom"/>
            <w:shd w:val="clear" w:color="auto" w:fill="C0C0C0"/>
          </w:tcPr>
          <w:p>
            <w:pPr>
              <w:ind w:left="160"/>
              <w:spacing w:after="0" w:line="202" w:lineRule="exact"/>
              <w:rPr>
                <w:sz w:val="20"/>
                <w:szCs w:val="20"/>
                <w:color w:val="auto"/>
              </w:rPr>
            </w:pPr>
            <w:r>
              <w:rPr>
                <w:rFonts w:ascii="Arial" w:cs="Arial" w:eastAsia="Arial" w:hAnsi="Arial"/>
                <w:sz w:val="18"/>
                <w:szCs w:val="18"/>
                <w:color w:val="auto"/>
              </w:rPr>
              <w:t>Goodwill</w:t>
            </w:r>
          </w:p>
        </w:tc>
        <w:tc>
          <w:tcPr>
            <w:tcW w:w="18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77,950</w:t>
            </w:r>
          </w:p>
        </w:tc>
        <w:tc>
          <w:tcPr>
            <w:tcW w:w="240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03"/>
        </w:trPr>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Deferred taxes</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118,334</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123,886</w:t>
            </w:r>
          </w:p>
        </w:tc>
        <w:tc>
          <w:tcPr>
            <w:tcW w:w="0" w:type="dxa"/>
            <w:vAlign w:val="bottom"/>
          </w:tcPr>
          <w:p>
            <w:pPr>
              <w:spacing w:after="0"/>
              <w:rPr>
                <w:sz w:val="1"/>
                <w:szCs w:val="1"/>
                <w:color w:val="auto"/>
              </w:rPr>
            </w:pPr>
          </w:p>
        </w:tc>
      </w:tr>
      <w:tr>
        <w:trPr>
          <w:trHeight w:val="203"/>
        </w:trPr>
        <w:tc>
          <w:tcPr>
            <w:tcW w:w="72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Other assets</w:t>
            </w:r>
          </w:p>
        </w:tc>
        <w:tc>
          <w:tcPr>
            <w:tcW w:w="18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28,149</w:t>
            </w:r>
          </w:p>
        </w:tc>
        <w:tc>
          <w:tcPr>
            <w:tcW w:w="240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22,822</w:t>
            </w:r>
          </w:p>
        </w:tc>
        <w:tc>
          <w:tcPr>
            <w:tcW w:w="0" w:type="dxa"/>
            <w:vAlign w:val="bottom"/>
          </w:tcPr>
          <w:p>
            <w:pPr>
              <w:spacing w:after="0"/>
              <w:rPr>
                <w:sz w:val="1"/>
                <w:szCs w:val="1"/>
                <w:color w:val="auto"/>
              </w:rPr>
            </w:pPr>
          </w:p>
        </w:tc>
      </w:tr>
      <w:tr>
        <w:trPr>
          <w:trHeight w:val="196"/>
        </w:trPr>
        <w:tc>
          <w:tcPr>
            <w:tcW w:w="7200" w:type="dxa"/>
            <w:vAlign w:val="bottom"/>
          </w:tcPr>
          <w:p>
            <w:pPr>
              <w:ind w:left="160"/>
              <w:spacing w:after="0" w:line="196" w:lineRule="exact"/>
              <w:rPr>
                <w:sz w:val="20"/>
                <w:szCs w:val="20"/>
                <w:color w:val="auto"/>
              </w:rPr>
            </w:pPr>
            <w:r>
              <w:rPr>
                <w:rFonts w:ascii="Arial" w:cs="Arial" w:eastAsia="Arial" w:hAnsi="Arial"/>
                <w:sz w:val="18"/>
                <w:szCs w:val="18"/>
                <w:color w:val="auto"/>
              </w:rPr>
              <w:t>Total assets</w:t>
            </w:r>
          </w:p>
        </w:tc>
        <w:tc>
          <w:tcPr>
            <w:tcW w:w="1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$1,164,285</w:t>
            </w:r>
          </w:p>
        </w:tc>
        <w:tc>
          <w:tcPr>
            <w:tcW w:w="58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$1,156,697</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00"/>
              <w:spacing w:after="0"/>
              <w:rPr>
                <w:sz w:val="20"/>
                <w:szCs w:val="20"/>
                <w:color w:val="auto"/>
              </w:rPr>
            </w:pPr>
            <w:r>
              <w:rPr>
                <w:rFonts w:ascii="Arial" w:cs="Arial" w:eastAsia="Arial" w:hAnsi="Arial"/>
                <w:sz w:val="18"/>
                <w:szCs w:val="18"/>
                <w:color w:val="auto"/>
              </w:rPr>
              <w:t>LIABILITIES AND SHAREHOLDERS' EQUITY</w:t>
            </w:r>
          </w:p>
        </w:tc>
        <w:tc>
          <w:tcPr>
            <w:tcW w:w="1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0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Notes and loans payable</w:t>
            </w:r>
          </w:p>
        </w:tc>
        <w:tc>
          <w:tcPr>
            <w:tcW w:w="1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$565</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3"/>
        </w:trPr>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Accounts payable</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39,161</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35,117</w:t>
            </w:r>
          </w:p>
        </w:tc>
        <w:tc>
          <w:tcPr>
            <w:tcW w:w="0" w:type="dxa"/>
            <w:vAlign w:val="bottom"/>
          </w:tcPr>
          <w:p>
            <w:pPr>
              <w:spacing w:after="0"/>
              <w:rPr>
                <w:sz w:val="1"/>
                <w:szCs w:val="1"/>
                <w:color w:val="auto"/>
              </w:rPr>
            </w:pPr>
          </w:p>
        </w:tc>
      </w:tr>
      <w:tr>
        <w:trPr>
          <w:trHeight w:val="203"/>
        </w:trPr>
        <w:tc>
          <w:tcPr>
            <w:tcW w:w="720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Accrued liabilities</w:t>
            </w:r>
          </w:p>
        </w:tc>
        <w:tc>
          <w:tcPr>
            <w:tcW w:w="1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136,874</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103,257</w:t>
            </w:r>
          </w:p>
        </w:tc>
        <w:tc>
          <w:tcPr>
            <w:tcW w:w="0" w:type="dxa"/>
            <w:vAlign w:val="bottom"/>
          </w:tcPr>
          <w:p>
            <w:pPr>
              <w:spacing w:after="0"/>
              <w:rPr>
                <w:sz w:val="1"/>
                <w:szCs w:val="1"/>
                <w:color w:val="auto"/>
              </w:rPr>
            </w:pPr>
          </w:p>
        </w:tc>
      </w:tr>
      <w:tr>
        <w:trPr>
          <w:trHeight w:val="203"/>
        </w:trPr>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55,014</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83,276</w:t>
            </w:r>
          </w:p>
        </w:tc>
        <w:tc>
          <w:tcPr>
            <w:tcW w:w="0" w:type="dxa"/>
            <w:vAlign w:val="bottom"/>
          </w:tcPr>
          <w:p>
            <w:pPr>
              <w:spacing w:after="0"/>
              <w:rPr>
                <w:sz w:val="1"/>
                <w:szCs w:val="1"/>
                <w:color w:val="auto"/>
              </w:rPr>
            </w:pPr>
          </w:p>
        </w:tc>
      </w:tr>
      <w:tr>
        <w:trPr>
          <w:trHeight w:val="203"/>
        </w:trPr>
        <w:tc>
          <w:tcPr>
            <w:tcW w:w="72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Income taxes payable and deferred</w:t>
            </w:r>
          </w:p>
        </w:tc>
        <w:tc>
          <w:tcPr>
            <w:tcW w:w="18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3,293</w:t>
            </w:r>
          </w:p>
        </w:tc>
        <w:tc>
          <w:tcPr>
            <w:tcW w:w="240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13,552</w:t>
            </w:r>
          </w:p>
        </w:tc>
        <w:tc>
          <w:tcPr>
            <w:tcW w:w="0" w:type="dxa"/>
            <w:vAlign w:val="bottom"/>
          </w:tcPr>
          <w:p>
            <w:pPr>
              <w:spacing w:after="0"/>
              <w:rPr>
                <w:sz w:val="1"/>
                <w:szCs w:val="1"/>
                <w:color w:val="auto"/>
              </w:rPr>
            </w:pPr>
          </w:p>
        </w:tc>
      </w:tr>
      <w:tr>
        <w:trPr>
          <w:trHeight w:val="210"/>
        </w:trPr>
        <w:tc>
          <w:tcPr>
            <w:tcW w:w="720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234,907</w:t>
            </w:r>
          </w:p>
        </w:tc>
        <w:tc>
          <w:tcPr>
            <w:tcW w:w="580" w:type="dxa"/>
            <w:vAlign w:val="bottom"/>
          </w:tcPr>
          <w:p>
            <w:pPr>
              <w:spacing w:after="0"/>
              <w:rPr>
                <w:sz w:val="18"/>
                <w:szCs w:val="18"/>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235,788</w:t>
            </w:r>
          </w:p>
        </w:tc>
        <w:tc>
          <w:tcPr>
            <w:tcW w:w="0" w:type="dxa"/>
            <w:vAlign w:val="bottom"/>
          </w:tcPr>
          <w:p>
            <w:pPr>
              <w:spacing w:after="0"/>
              <w:rPr>
                <w:sz w:val="1"/>
                <w:szCs w:val="1"/>
                <w:color w:val="auto"/>
              </w:rPr>
            </w:pPr>
          </w:p>
        </w:tc>
      </w:tr>
      <w:tr>
        <w:trPr>
          <w:trHeight w:val="188"/>
        </w:trPr>
        <w:tc>
          <w:tcPr>
            <w:tcW w:w="7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Long-term debt</w:t>
            </w:r>
          </w:p>
        </w:tc>
        <w:tc>
          <w:tcPr>
            <w:tcW w:w="1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252,115</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235,877</w:t>
            </w:r>
          </w:p>
        </w:tc>
        <w:tc>
          <w:tcPr>
            <w:tcW w:w="0" w:type="dxa"/>
            <w:vAlign w:val="bottom"/>
          </w:tcPr>
          <w:p>
            <w:pPr>
              <w:spacing w:after="0"/>
              <w:rPr>
                <w:sz w:val="1"/>
                <w:szCs w:val="1"/>
                <w:color w:val="auto"/>
              </w:rPr>
            </w:pPr>
          </w:p>
        </w:tc>
      </w:tr>
      <w:tr>
        <w:trPr>
          <w:trHeight w:val="203"/>
        </w:trPr>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Other noncurrent liabilities</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110,048</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136,012</w:t>
            </w:r>
          </w:p>
        </w:tc>
        <w:tc>
          <w:tcPr>
            <w:tcW w:w="0" w:type="dxa"/>
            <w:vAlign w:val="bottom"/>
          </w:tcPr>
          <w:p>
            <w:pPr>
              <w:spacing w:after="0"/>
              <w:rPr>
                <w:sz w:val="1"/>
                <w:szCs w:val="1"/>
                <w:color w:val="auto"/>
              </w:rPr>
            </w:pPr>
          </w:p>
        </w:tc>
      </w:tr>
      <w:tr>
        <w:trPr>
          <w:trHeight w:val="203"/>
        </w:trPr>
        <w:tc>
          <w:tcPr>
            <w:tcW w:w="72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Deferred taxes and other credits</w:t>
            </w:r>
          </w:p>
        </w:tc>
        <w:tc>
          <w:tcPr>
            <w:tcW w:w="18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52,998</w:t>
            </w:r>
          </w:p>
        </w:tc>
        <w:tc>
          <w:tcPr>
            <w:tcW w:w="240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196"/>
        </w:trPr>
        <w:tc>
          <w:tcPr>
            <w:tcW w:w="720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1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650,068</w:t>
            </w:r>
          </w:p>
        </w:tc>
        <w:tc>
          <w:tcPr>
            <w:tcW w:w="58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663,186</w:t>
            </w:r>
          </w:p>
        </w:tc>
        <w:tc>
          <w:tcPr>
            <w:tcW w:w="0" w:type="dxa"/>
            <w:vAlign w:val="bottom"/>
          </w:tcPr>
          <w:p>
            <w:pPr>
              <w:spacing w:after="0"/>
              <w:rPr>
                <w:sz w:val="1"/>
                <w:szCs w:val="1"/>
                <w:color w:val="auto"/>
              </w:rPr>
            </w:pPr>
          </w:p>
        </w:tc>
      </w:tr>
      <w:tr>
        <w:trPr>
          <w:trHeight w:val="398"/>
        </w:trPr>
        <w:tc>
          <w:tcPr>
            <w:tcW w:w="720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Preferred stock, par value $5.00 per share;</w:t>
            </w:r>
          </w:p>
        </w:tc>
        <w:tc>
          <w:tcPr>
            <w:tcW w:w="1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ind w:left="280"/>
              <w:spacing w:after="0" w:line="203" w:lineRule="exact"/>
              <w:rPr>
                <w:sz w:val="20"/>
                <w:szCs w:val="20"/>
                <w:color w:val="auto"/>
              </w:rPr>
            </w:pPr>
            <w:r>
              <w:rPr>
                <w:rFonts w:ascii="Arial" w:cs="Arial" w:eastAsia="Arial" w:hAnsi="Arial"/>
                <w:sz w:val="18"/>
                <w:szCs w:val="18"/>
                <w:color w:val="auto"/>
              </w:rPr>
              <w:t>authorized 2,000,000 shares; none issued</w:t>
            </w:r>
          </w:p>
        </w:tc>
        <w:tc>
          <w:tcPr>
            <w:tcW w:w="18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200" w:type="dxa"/>
            <w:vAlign w:val="bottom"/>
            <w:shd w:val="clear" w:color="auto" w:fill="BFBFBF"/>
          </w:tcPr>
          <w:p>
            <w:pPr>
              <w:ind w:left="16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182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18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BFBFBF"/>
          </w:tcPr>
          <w:p>
            <w:pPr>
              <w:ind w:left="280"/>
              <w:spacing w:after="0" w:line="202" w:lineRule="exact"/>
              <w:rPr>
                <w:sz w:val="20"/>
                <w:szCs w:val="20"/>
                <w:color w:val="auto"/>
              </w:rPr>
            </w:pPr>
            <w:r>
              <w:rPr>
                <w:rFonts w:ascii="Arial" w:cs="Arial" w:eastAsia="Arial" w:hAnsi="Arial"/>
                <w:sz w:val="18"/>
                <w:szCs w:val="18"/>
                <w:color w:val="auto"/>
              </w:rPr>
              <w:t>authorized 100,000,000 shares; issued</w:t>
            </w:r>
          </w:p>
        </w:tc>
        <w:tc>
          <w:tcPr>
            <w:tcW w:w="182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18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BFBFBF"/>
          </w:tcPr>
          <w:p>
            <w:pPr>
              <w:ind w:left="280"/>
              <w:spacing w:after="0" w:line="203" w:lineRule="exact"/>
              <w:rPr>
                <w:sz w:val="20"/>
                <w:szCs w:val="20"/>
                <w:color w:val="auto"/>
              </w:rPr>
            </w:pPr>
            <w:r>
              <w:rPr>
                <w:rFonts w:ascii="Arial" w:cs="Arial" w:eastAsia="Arial" w:hAnsi="Arial"/>
                <w:sz w:val="18"/>
                <w:szCs w:val="18"/>
                <w:color w:val="auto"/>
              </w:rPr>
              <w:t>36,954,027 in 2013 and 36,642,204 in 2012</w:t>
            </w:r>
          </w:p>
        </w:tc>
        <w:tc>
          <w:tcPr>
            <w:tcW w:w="182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37</w:t>
            </w:r>
          </w:p>
        </w:tc>
        <w:tc>
          <w:tcPr>
            <w:tcW w:w="2400" w:type="dxa"/>
            <w:vAlign w:val="bottom"/>
            <w:gridSpan w:val="2"/>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7200" w:type="dxa"/>
            <w:vAlign w:val="bottom"/>
          </w:tcPr>
          <w:p>
            <w:pPr>
              <w:ind w:left="16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1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authorized 25,000,000 shares; issued and</w:t>
            </w:r>
          </w:p>
        </w:tc>
        <w:tc>
          <w:tcPr>
            <w:tcW w:w="1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ind w:left="280"/>
              <w:spacing w:after="0" w:line="203" w:lineRule="exact"/>
              <w:rPr>
                <w:sz w:val="20"/>
                <w:szCs w:val="20"/>
                <w:color w:val="auto"/>
              </w:rPr>
            </w:pPr>
            <w:r>
              <w:rPr>
                <w:rFonts w:ascii="Arial" w:cs="Arial" w:eastAsia="Arial" w:hAnsi="Arial"/>
                <w:sz w:val="18"/>
                <w:szCs w:val="18"/>
                <w:color w:val="auto"/>
              </w:rPr>
              <w:t>outstanding 3,236,098 in 2013 and 2012</w:t>
            </w:r>
          </w:p>
        </w:tc>
        <w:tc>
          <w:tcPr>
            <w:tcW w:w="182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240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20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Additional paid in capital</w:t>
            </w:r>
          </w:p>
        </w:tc>
        <w:tc>
          <w:tcPr>
            <w:tcW w:w="1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399,973</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395,381</w:t>
            </w:r>
          </w:p>
        </w:tc>
        <w:tc>
          <w:tcPr>
            <w:tcW w:w="0" w:type="dxa"/>
            <w:vAlign w:val="bottom"/>
          </w:tcPr>
          <w:p>
            <w:pPr>
              <w:spacing w:after="0"/>
              <w:rPr>
                <w:sz w:val="1"/>
                <w:szCs w:val="1"/>
                <w:color w:val="auto"/>
              </w:rPr>
            </w:pPr>
          </w:p>
        </w:tc>
      </w:tr>
      <w:tr>
        <w:trPr>
          <w:trHeight w:val="202"/>
        </w:trPr>
        <w:tc>
          <w:tcPr>
            <w:tcW w:w="7200" w:type="dxa"/>
            <w:vAlign w:val="bottom"/>
          </w:tcPr>
          <w:p>
            <w:pPr>
              <w:ind w:left="160"/>
              <w:spacing w:after="0" w:line="201" w:lineRule="exact"/>
              <w:rPr>
                <w:sz w:val="20"/>
                <w:szCs w:val="20"/>
                <w:color w:val="auto"/>
              </w:rPr>
            </w:pPr>
            <w:r>
              <w:rPr>
                <w:rFonts w:ascii="Arial" w:cs="Arial" w:eastAsia="Arial" w:hAnsi="Arial"/>
                <w:sz w:val="18"/>
                <w:szCs w:val="18"/>
                <w:color w:val="auto"/>
              </w:rPr>
              <w:t>Retained earnings</w:t>
            </w:r>
          </w:p>
        </w:tc>
        <w:tc>
          <w:tcPr>
            <w:tcW w:w="1820" w:type="dxa"/>
            <w:vAlign w:val="bottom"/>
          </w:tcPr>
          <w:p>
            <w:pPr>
              <w:jc w:val="right"/>
              <w:spacing w:after="0" w:line="201" w:lineRule="exact"/>
              <w:rPr>
                <w:sz w:val="20"/>
                <w:szCs w:val="20"/>
                <w:color w:val="auto"/>
              </w:rPr>
            </w:pPr>
            <w:r>
              <w:rPr>
                <w:rFonts w:ascii="Arial" w:cs="Arial" w:eastAsia="Arial" w:hAnsi="Arial"/>
                <w:sz w:val="18"/>
                <w:szCs w:val="18"/>
                <w:color w:val="auto"/>
              </w:rPr>
              <w:t>430,676</w:t>
            </w:r>
          </w:p>
        </w:tc>
        <w:tc>
          <w:tcPr>
            <w:tcW w:w="240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435,775</w:t>
            </w:r>
          </w:p>
        </w:tc>
        <w:tc>
          <w:tcPr>
            <w:tcW w:w="0" w:type="dxa"/>
            <w:vAlign w:val="bottom"/>
          </w:tcPr>
          <w:p>
            <w:pPr>
              <w:spacing w:after="0"/>
              <w:rPr>
                <w:sz w:val="1"/>
                <w:szCs w:val="1"/>
                <w:color w:val="auto"/>
              </w:rPr>
            </w:pPr>
          </w:p>
        </w:tc>
      </w:tr>
      <w:tr>
        <w:trPr>
          <w:trHeight w:val="203"/>
        </w:trPr>
        <w:tc>
          <w:tcPr>
            <w:tcW w:w="7200" w:type="dxa"/>
            <w:vAlign w:val="bottom"/>
          </w:tcPr>
          <w:p>
            <w:pPr>
              <w:ind w:left="140"/>
              <w:spacing w:after="0" w:line="203" w:lineRule="exact"/>
              <w:rPr>
                <w:sz w:val="20"/>
                <w:szCs w:val="20"/>
                <w:color w:val="auto"/>
              </w:rPr>
            </w:pPr>
            <w:r>
              <w:rPr>
                <w:rFonts w:ascii="Arial" w:cs="Arial" w:eastAsia="Arial" w:hAnsi="Arial"/>
                <w:sz w:val="18"/>
                <w:szCs w:val="18"/>
                <w:color w:val="auto"/>
              </w:rPr>
              <w:t>Accumulated items of other comprehensive income:</w:t>
            </w:r>
          </w:p>
        </w:tc>
        <w:tc>
          <w:tcPr>
            <w:tcW w:w="1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BFBFBF"/>
          </w:tcPr>
          <w:p>
            <w:pPr>
              <w:ind w:left="280"/>
              <w:spacing w:after="0" w:line="202" w:lineRule="exact"/>
              <w:rPr>
                <w:sz w:val="20"/>
                <w:szCs w:val="20"/>
                <w:color w:val="auto"/>
              </w:rPr>
            </w:pPr>
            <w:r>
              <w:rPr>
                <w:rFonts w:ascii="Arial" w:cs="Arial" w:eastAsia="Arial" w:hAnsi="Arial"/>
                <w:sz w:val="18"/>
                <w:szCs w:val="18"/>
                <w:color w:val="auto"/>
              </w:rPr>
              <w:t>Translation adjustments</w:t>
            </w:r>
          </w:p>
        </w:tc>
        <w:tc>
          <w:tcPr>
            <w:tcW w:w="1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(3,661)</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03"/>
        </w:trPr>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(53,871)</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(69,484)</w:t>
            </w:r>
          </w:p>
        </w:tc>
        <w:tc>
          <w:tcPr>
            <w:tcW w:w="0" w:type="dxa"/>
            <w:vAlign w:val="bottom"/>
          </w:tcPr>
          <w:p>
            <w:pPr>
              <w:spacing w:after="0"/>
              <w:rPr>
                <w:sz w:val="1"/>
                <w:szCs w:val="1"/>
                <w:color w:val="auto"/>
              </w:rPr>
            </w:pPr>
          </w:p>
        </w:tc>
      </w:tr>
      <w:tr>
        <w:trPr>
          <w:trHeight w:val="203"/>
        </w:trPr>
        <w:tc>
          <w:tcPr>
            <w:tcW w:w="7200" w:type="dxa"/>
            <w:vAlign w:val="bottom"/>
            <w:shd w:val="clear" w:color="auto" w:fill="BFBFBF"/>
          </w:tcPr>
          <w:p>
            <w:pPr>
              <w:ind w:left="280"/>
              <w:spacing w:after="0" w:line="202" w:lineRule="exact"/>
              <w:rPr>
                <w:sz w:val="20"/>
                <w:szCs w:val="20"/>
                <w:color w:val="auto"/>
              </w:rPr>
            </w:pPr>
            <w:r>
              <w:rPr>
                <w:rFonts w:ascii="Arial" w:cs="Arial" w:eastAsia="Arial" w:hAnsi="Arial"/>
                <w:sz w:val="18"/>
                <w:szCs w:val="18"/>
                <w:color w:val="auto"/>
              </w:rPr>
              <w:t>Derivative valuation adjustment</w:t>
            </w:r>
          </w:p>
        </w:tc>
        <w:tc>
          <w:tcPr>
            <w:tcW w:w="1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(1,369)</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02"/>
        </w:trPr>
        <w:tc>
          <w:tcPr>
            <w:tcW w:w="7200" w:type="dxa"/>
            <w:vAlign w:val="bottom"/>
          </w:tcPr>
          <w:p>
            <w:pPr>
              <w:ind w:left="160"/>
              <w:spacing w:after="0" w:line="201" w:lineRule="exact"/>
              <w:rPr>
                <w:sz w:val="20"/>
                <w:szCs w:val="20"/>
                <w:color w:val="auto"/>
              </w:rPr>
            </w:pPr>
            <w:r>
              <w:rPr>
                <w:rFonts w:ascii="Arial" w:cs="Arial" w:eastAsia="Arial" w:hAnsi="Arial"/>
                <w:sz w:val="18"/>
                <w:szCs w:val="18"/>
                <w:color w:val="auto"/>
              </w:rPr>
              <w:t>Treasury stock (Class A), at cost 8,463,635 shares</w:t>
            </w:r>
          </w:p>
        </w:tc>
        <w:tc>
          <w:tcPr>
            <w:tcW w:w="1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ind w:left="280"/>
              <w:spacing w:after="0" w:line="203" w:lineRule="exact"/>
              <w:rPr>
                <w:sz w:val="20"/>
                <w:szCs w:val="20"/>
                <w:color w:val="auto"/>
              </w:rPr>
            </w:pPr>
            <w:r>
              <w:rPr>
                <w:rFonts w:ascii="Arial" w:cs="Arial" w:eastAsia="Arial" w:hAnsi="Arial"/>
                <w:sz w:val="18"/>
                <w:szCs w:val="18"/>
                <w:color w:val="auto"/>
              </w:rPr>
              <w:t>in 2013 and 8,467,873 in 2012</w:t>
            </w:r>
          </w:p>
        </w:tc>
        <w:tc>
          <w:tcPr>
            <w:tcW w:w="1820" w:type="dxa"/>
            <w:vAlign w:val="bottom"/>
          </w:tcPr>
          <w:p>
            <w:pPr>
              <w:jc w:val="right"/>
              <w:spacing w:after="0" w:line="203" w:lineRule="exact"/>
              <w:rPr>
                <w:sz w:val="20"/>
                <w:szCs w:val="20"/>
                <w:color w:val="auto"/>
              </w:rPr>
            </w:pPr>
            <w:r>
              <w:rPr>
                <w:rFonts w:ascii="Arial" w:cs="Arial" w:eastAsia="Arial" w:hAnsi="Arial"/>
                <w:sz w:val="18"/>
                <w:szCs w:val="18"/>
                <w:color w:val="auto"/>
              </w:rPr>
              <w:t>(257,571)</w:t>
            </w:r>
          </w:p>
        </w:tc>
        <w:tc>
          <w:tcPr>
            <w:tcW w:w="240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(257,664)</w:t>
            </w:r>
          </w:p>
        </w:tc>
        <w:tc>
          <w:tcPr>
            <w:tcW w:w="0" w:type="dxa"/>
            <w:vAlign w:val="bottom"/>
          </w:tcPr>
          <w:p>
            <w:pPr>
              <w:spacing w:after="0"/>
              <w:rPr>
                <w:sz w:val="1"/>
                <w:szCs w:val="1"/>
                <w:color w:val="auto"/>
              </w:rPr>
            </w:pPr>
          </w:p>
        </w:tc>
      </w:tr>
      <w:tr>
        <w:trPr>
          <w:trHeight w:val="196"/>
        </w:trPr>
        <w:tc>
          <w:tcPr>
            <w:tcW w:w="7200" w:type="dxa"/>
            <w:vAlign w:val="bottom"/>
            <w:tcBorders>
              <w:top w:val="single" w:sz="8" w:color="BFBFBF"/>
            </w:tcBorders>
            <w:shd w:val="clear" w:color="auto" w:fill="BFBFBF"/>
          </w:tcPr>
          <w:p>
            <w:pPr>
              <w:ind w:left="500"/>
              <w:spacing w:after="0" w:line="196" w:lineRule="exact"/>
              <w:rPr>
                <w:sz w:val="20"/>
                <w:szCs w:val="20"/>
                <w:color w:val="auto"/>
              </w:rPr>
            </w:pPr>
            <w:r>
              <w:rPr>
                <w:rFonts w:ascii="Arial" w:cs="Arial" w:eastAsia="Arial" w:hAnsi="Arial"/>
                <w:sz w:val="18"/>
                <w:szCs w:val="18"/>
                <w:color w:val="auto"/>
              </w:rPr>
              <w:t>Total shareholders' equity</w:t>
            </w:r>
          </w:p>
        </w:tc>
        <w:tc>
          <w:tcPr>
            <w:tcW w:w="18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514,217</w:t>
            </w:r>
          </w:p>
        </w:tc>
        <w:tc>
          <w:tcPr>
            <w:tcW w:w="580" w:type="dxa"/>
            <w:vAlign w:val="bottom"/>
            <w:tcBorders>
              <w:top w:val="single" w:sz="8" w:color="BFBFBF"/>
            </w:tcBorders>
            <w:shd w:val="clear" w:color="auto" w:fill="BFBFBF"/>
          </w:tcPr>
          <w:p>
            <w:pPr>
              <w:spacing w:after="0"/>
              <w:rPr>
                <w:sz w:val="17"/>
                <w:szCs w:val="17"/>
                <w:color w:val="auto"/>
              </w:rPr>
            </w:pPr>
          </w:p>
        </w:tc>
        <w:tc>
          <w:tcPr>
            <w:tcW w:w="1820" w:type="dxa"/>
            <w:vAlign w:val="bottom"/>
            <w:tcBorders>
              <w:top w:val="single" w:sz="8" w:color="auto"/>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493,511</w:t>
            </w:r>
          </w:p>
        </w:tc>
        <w:tc>
          <w:tcPr>
            <w:tcW w:w="0" w:type="dxa"/>
            <w:vAlign w:val="bottom"/>
          </w:tcPr>
          <w:p>
            <w:pPr>
              <w:spacing w:after="0"/>
              <w:rPr>
                <w:sz w:val="1"/>
                <w:szCs w:val="1"/>
                <w:color w:val="auto"/>
              </w:rPr>
            </w:pPr>
          </w:p>
        </w:tc>
      </w:tr>
      <w:tr>
        <w:trPr>
          <w:trHeight w:val="196"/>
        </w:trPr>
        <w:tc>
          <w:tcPr>
            <w:tcW w:w="7200" w:type="dxa"/>
            <w:vAlign w:val="bottom"/>
          </w:tcPr>
          <w:p>
            <w:pPr>
              <w:ind w:left="50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$1,164,285</w:t>
            </w:r>
          </w:p>
        </w:tc>
        <w:tc>
          <w:tcPr>
            <w:tcW w:w="580" w:type="dxa"/>
            <w:vAlign w:val="bottom"/>
          </w:tcPr>
          <w:p>
            <w:pPr>
              <w:spacing w:after="0"/>
              <w:rPr>
                <w:sz w:val="17"/>
                <w:szCs w:val="17"/>
                <w:color w:val="auto"/>
              </w:rPr>
            </w:pPr>
          </w:p>
        </w:tc>
        <w:tc>
          <w:tcPr>
            <w:tcW w:w="18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$1,156,697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CASH FLOWS</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60" w:type="dxa"/>
            <w:vAlign w:val="bottom"/>
            <w:gridSpan w:val="3"/>
          </w:tcPr>
          <w:p>
            <w:pPr>
              <w:jc w:val="right"/>
              <w:ind w:right="288"/>
              <w:spacing w:after="0"/>
              <w:rPr>
                <w:sz w:val="20"/>
                <w:szCs w:val="20"/>
                <w:color w:val="auto"/>
              </w:rPr>
            </w:pPr>
            <w:r>
              <w:rPr>
                <w:rFonts w:ascii="Arial" w:cs="Arial" w:eastAsia="Arial" w:hAnsi="Arial"/>
                <w:sz w:val="14"/>
                <w:szCs w:val="14"/>
                <w:color w:val="auto"/>
              </w:rPr>
              <w:t>Three Months Ended</w:t>
            </w:r>
          </w:p>
        </w:tc>
        <w:tc>
          <w:tcPr>
            <w:tcW w:w="7300" w:type="dxa"/>
            <w:vAlign w:val="bottom"/>
          </w:tcPr>
          <w:p>
            <w:pPr>
              <w:spacing w:after="0"/>
              <w:rPr>
                <w:sz w:val="14"/>
                <w:szCs w:val="14"/>
                <w:color w:val="auto"/>
              </w:rPr>
            </w:pPr>
          </w:p>
        </w:tc>
        <w:tc>
          <w:tcPr>
            <w:tcW w:w="2060" w:type="dxa"/>
            <w:vAlign w:val="bottom"/>
            <w:gridSpan w:val="3"/>
          </w:tcPr>
          <w:p>
            <w:pPr>
              <w:jc w:val="right"/>
              <w:ind w:right="328"/>
              <w:spacing w:after="0"/>
              <w:rPr>
                <w:sz w:val="20"/>
                <w:szCs w:val="20"/>
                <w:color w:val="auto"/>
              </w:rPr>
            </w:pPr>
            <w:r>
              <w:rPr>
                <w:rFonts w:ascii="Arial" w:cs="Arial" w:eastAsia="Arial" w:hAnsi="Arial"/>
                <w:sz w:val="14"/>
                <w:szCs w:val="14"/>
                <w:color w:val="auto"/>
              </w:rPr>
              <w:t>Nine Months Ended</w:t>
            </w:r>
          </w:p>
        </w:tc>
      </w:tr>
      <w:tr>
        <w:trPr>
          <w:trHeight w:val="243"/>
        </w:trPr>
        <w:tc>
          <w:tcPr>
            <w:tcW w:w="2060" w:type="dxa"/>
            <w:vAlign w:val="bottom"/>
            <w:gridSpan w:val="3"/>
          </w:tcPr>
          <w:p>
            <w:pPr>
              <w:jc w:val="right"/>
              <w:ind w:right="488"/>
              <w:spacing w:after="0"/>
              <w:rPr>
                <w:sz w:val="20"/>
                <w:szCs w:val="20"/>
                <w:color w:val="auto"/>
              </w:rPr>
            </w:pPr>
            <w:r>
              <w:rPr>
                <w:rFonts w:ascii="Arial" w:cs="Arial" w:eastAsia="Arial" w:hAnsi="Arial"/>
                <w:sz w:val="14"/>
                <w:szCs w:val="14"/>
                <w:color w:val="auto"/>
              </w:rPr>
              <w:t>September 30,</w:t>
            </w:r>
          </w:p>
        </w:tc>
        <w:tc>
          <w:tcPr>
            <w:tcW w:w="7300" w:type="dxa"/>
            <w:vAlign w:val="bottom"/>
          </w:tcPr>
          <w:p>
            <w:pPr>
              <w:spacing w:after="0"/>
              <w:rPr>
                <w:sz w:val="21"/>
                <w:szCs w:val="21"/>
                <w:color w:val="auto"/>
              </w:rPr>
            </w:pPr>
          </w:p>
        </w:tc>
        <w:tc>
          <w:tcPr>
            <w:tcW w:w="2060" w:type="dxa"/>
            <w:vAlign w:val="bottom"/>
            <w:gridSpan w:val="3"/>
          </w:tcPr>
          <w:p>
            <w:pPr>
              <w:jc w:val="right"/>
              <w:ind w:right="488"/>
              <w:spacing w:after="0"/>
              <w:rPr>
                <w:sz w:val="20"/>
                <w:szCs w:val="20"/>
                <w:color w:val="auto"/>
              </w:rPr>
            </w:pPr>
            <w:r>
              <w:rPr>
                <w:rFonts w:ascii="Arial" w:cs="Arial" w:eastAsia="Arial" w:hAnsi="Arial"/>
                <w:sz w:val="14"/>
                <w:szCs w:val="14"/>
                <w:color w:val="auto"/>
              </w:rPr>
              <w:t>September 30,</w:t>
            </w:r>
          </w:p>
        </w:tc>
      </w:tr>
      <w:tr>
        <w:trPr>
          <w:trHeight w:val="228"/>
        </w:trPr>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2013</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2012</w:t>
            </w:r>
          </w:p>
        </w:tc>
        <w:tc>
          <w:tcPr>
            <w:tcW w:w="7300" w:type="dxa"/>
            <w:vAlign w:val="bottom"/>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2013</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2012</w:t>
            </w:r>
          </w:p>
        </w:tc>
      </w:tr>
      <w:tr>
        <w:trPr>
          <w:trHeight w:val="237"/>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300" w:type="dxa"/>
            <w:vAlign w:val="bottom"/>
          </w:tcPr>
          <w:p>
            <w:pPr>
              <w:ind w:left="360"/>
              <w:spacing w:after="0"/>
              <w:rPr>
                <w:sz w:val="20"/>
                <w:szCs w:val="20"/>
                <w:color w:val="auto"/>
              </w:rPr>
            </w:pPr>
            <w:r>
              <w:rPr>
                <w:rFonts w:ascii="Arial" w:cs="Arial" w:eastAsia="Arial" w:hAnsi="Arial"/>
                <w:sz w:val="14"/>
                <w:szCs w:val="14"/>
                <w:color w:val="auto"/>
              </w:rPr>
              <w:t>OPERATING ACTIVITIES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$4,698</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$9,463</w:t>
            </w:r>
          </w:p>
        </w:tc>
        <w:tc>
          <w:tcPr>
            <w:tcW w:w="7300" w:type="dxa"/>
            <w:vAlign w:val="bottom"/>
            <w:shd w:val="clear" w:color="auto" w:fill="BFBFBF"/>
          </w:tcPr>
          <w:p>
            <w:pPr>
              <w:ind w:left="360"/>
              <w:spacing w:after="0"/>
              <w:rPr>
                <w:sz w:val="20"/>
                <w:szCs w:val="20"/>
                <w:color w:val="auto"/>
              </w:rPr>
            </w:pPr>
            <w:r>
              <w:rPr>
                <w:rFonts w:ascii="Arial" w:cs="Arial" w:eastAsia="Arial" w:hAnsi="Arial"/>
                <w:sz w:val="14"/>
                <w:szCs w:val="14"/>
                <w:color w:val="auto"/>
              </w:rPr>
              <w:t>Net income</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$8,830</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$22,759</w:t>
            </w:r>
          </w:p>
        </w:tc>
      </w:tr>
      <w:tr>
        <w:trPr>
          <w:trHeight w:val="243"/>
        </w:trPr>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00" w:type="dxa"/>
            <w:vAlign w:val="bottom"/>
          </w:tcPr>
          <w:p>
            <w:pPr>
              <w:ind w:left="36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14,230</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13,953</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Depreciation</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42,868</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42,638</w:t>
            </w:r>
          </w:p>
        </w:tc>
      </w:tr>
      <w:tr>
        <w:trPr>
          <w:trHeight w:val="243"/>
        </w:trPr>
        <w:tc>
          <w:tcPr>
            <w:tcW w:w="900" w:type="dxa"/>
            <w:vAlign w:val="bottom"/>
          </w:tcPr>
          <w:p>
            <w:pPr>
              <w:jc w:val="right"/>
              <w:ind w:right="28"/>
              <w:spacing w:after="0"/>
              <w:rPr>
                <w:sz w:val="20"/>
                <w:szCs w:val="20"/>
                <w:color w:val="auto"/>
              </w:rPr>
            </w:pPr>
            <w:r>
              <w:rPr>
                <w:rFonts w:ascii="Arial" w:cs="Arial" w:eastAsia="Arial" w:hAnsi="Arial"/>
                <w:sz w:val="14"/>
                <w:szCs w:val="14"/>
                <w:color w:val="auto"/>
              </w:rPr>
              <w:t>1,567</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1,593</w:t>
            </w:r>
          </w:p>
        </w:tc>
        <w:tc>
          <w:tcPr>
            <w:tcW w:w="7300" w:type="dxa"/>
            <w:vAlign w:val="bottom"/>
          </w:tcPr>
          <w:p>
            <w:pPr>
              <w:ind w:left="700"/>
              <w:spacing w:after="0"/>
              <w:rPr>
                <w:sz w:val="20"/>
                <w:szCs w:val="20"/>
                <w:color w:val="auto"/>
              </w:rPr>
            </w:pPr>
            <w:r>
              <w:rPr>
                <w:rFonts w:ascii="Arial" w:cs="Arial" w:eastAsia="Arial" w:hAnsi="Arial"/>
                <w:sz w:val="14"/>
                <w:szCs w:val="14"/>
                <w:color w:val="auto"/>
              </w:rPr>
              <w:t>Amortization</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4,884</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4,862</w:t>
            </w: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210</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Noncash interest expense</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824</w:t>
            </w:r>
          </w:p>
        </w:tc>
      </w:tr>
      <w:tr>
        <w:trPr>
          <w:trHeight w:val="243"/>
        </w:trPr>
        <w:tc>
          <w:tcPr>
            <w:tcW w:w="90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(1,362)</w:t>
            </w:r>
          </w:p>
        </w:tc>
        <w:tc>
          <w:tcPr>
            <w:tcW w:w="7300" w:type="dxa"/>
            <w:vAlign w:val="bottom"/>
          </w:tcPr>
          <w:p>
            <w:pPr>
              <w:ind w:left="700"/>
              <w:spacing w:after="0"/>
              <w:rPr>
                <w:sz w:val="20"/>
                <w:szCs w:val="20"/>
                <w:color w:val="auto"/>
              </w:rPr>
            </w:pPr>
            <w:r>
              <w:rPr>
                <w:rFonts w:ascii="Arial" w:cs="Arial" w:eastAsia="Arial" w:hAnsi="Arial"/>
                <w:sz w:val="14"/>
                <w:szCs w:val="14"/>
                <w:color w:val="auto"/>
              </w:rPr>
              <w:t>Change in long-term liabilities, deferred taxes and other credits</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(4,274)</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(126,606)</w:t>
            </w: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Write-off of pension liability adjustment due to settlement</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118,350</w:t>
            </w:r>
          </w:p>
        </w:tc>
      </w:tr>
      <w:tr>
        <w:trPr>
          <w:trHeight w:val="243"/>
        </w:trPr>
        <w:tc>
          <w:tcPr>
            <w:tcW w:w="90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300" w:type="dxa"/>
            <w:vAlign w:val="bottom"/>
          </w:tcPr>
          <w:p>
            <w:pPr>
              <w:ind w:left="700"/>
              <w:spacing w:after="0"/>
              <w:rPr>
                <w:sz w:val="20"/>
                <w:szCs w:val="20"/>
                <w:color w:val="auto"/>
              </w:rPr>
            </w:pPr>
            <w:r>
              <w:rPr>
                <w:rFonts w:ascii="Arial" w:cs="Arial" w:eastAsia="Arial" w:hAnsi="Arial"/>
                <w:sz w:val="14"/>
                <w:szCs w:val="14"/>
                <w:color w:val="auto"/>
              </w:rPr>
              <w:t>Provision for write-off of property, plant and equipment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200</w:t>
            </w: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301</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Loss/(gain) on disposition of assets</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(3,763)</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(92,376)</w:t>
            </w:r>
          </w:p>
        </w:tc>
      </w:tr>
      <w:tr>
        <w:trPr>
          <w:trHeight w:val="243"/>
        </w:trPr>
        <w:tc>
          <w:tcPr>
            <w:tcW w:w="900" w:type="dxa"/>
            <w:vAlign w:val="bottom"/>
          </w:tcPr>
          <w:p>
            <w:pPr>
              <w:jc w:val="right"/>
              <w:ind w:right="28"/>
              <w:spacing w:after="0"/>
              <w:rPr>
                <w:sz w:val="20"/>
                <w:szCs w:val="20"/>
                <w:color w:val="auto"/>
              </w:rPr>
            </w:pPr>
            <w:r>
              <w:rPr>
                <w:rFonts w:ascii="Arial" w:cs="Arial" w:eastAsia="Arial" w:hAnsi="Arial"/>
                <w:sz w:val="14"/>
                <w:szCs w:val="14"/>
                <w:color w:val="auto"/>
              </w:rPr>
              <w:t>(420)</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7300" w:type="dxa"/>
            <w:vAlign w:val="bottom"/>
          </w:tcPr>
          <w:p>
            <w:pPr>
              <w:ind w:left="700"/>
              <w:spacing w:after="0"/>
              <w:rPr>
                <w:sz w:val="20"/>
                <w:szCs w:val="20"/>
                <w:color w:val="auto"/>
              </w:rPr>
            </w:pPr>
            <w:r>
              <w:rPr>
                <w:rFonts w:ascii="Arial" w:cs="Arial" w:eastAsia="Arial" w:hAnsi="Arial"/>
                <w:sz w:val="14"/>
                <w:szCs w:val="14"/>
                <w:color w:val="auto"/>
              </w:rPr>
              <w:t>Excess tax benefit of options exercised</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(944)</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287</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392</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(887)</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1,795</w:t>
            </w:r>
          </w:p>
        </w:tc>
      </w:tr>
      <w:tr>
        <w:trPr>
          <w:trHeight w:val="486"/>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0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 net of business divestitures: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5,759</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3,655</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Accounts receivable</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(479)</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(6,870)</w:t>
            </w:r>
          </w:p>
        </w:tc>
      </w:tr>
      <w:tr>
        <w:trPr>
          <w:trHeight w:val="243"/>
        </w:trPr>
        <w:tc>
          <w:tcPr>
            <w:tcW w:w="90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8,505</w:t>
            </w:r>
          </w:p>
        </w:tc>
        <w:tc>
          <w:tcPr>
            <w:tcW w:w="7300" w:type="dxa"/>
            <w:vAlign w:val="bottom"/>
          </w:tcPr>
          <w:p>
            <w:pPr>
              <w:ind w:left="700"/>
              <w:spacing w:after="0"/>
              <w:rPr>
                <w:sz w:val="20"/>
                <w:szCs w:val="20"/>
                <w:color w:val="auto"/>
              </w:rPr>
            </w:pPr>
            <w:r>
              <w:rPr>
                <w:rFonts w:ascii="Arial" w:cs="Arial" w:eastAsia="Arial" w:hAnsi="Arial"/>
                <w:sz w:val="14"/>
                <w:szCs w:val="14"/>
                <w:color w:val="auto"/>
              </w:rPr>
              <w:t>Inventories</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8,376</w:t>
            </w: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327</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746</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(1,706)</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(251)</w:t>
            </w:r>
          </w:p>
        </w:tc>
      </w:tr>
      <w:tr>
        <w:trPr>
          <w:trHeight w:val="243"/>
        </w:trPr>
        <w:tc>
          <w:tcPr>
            <w:tcW w:w="90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2,840</w:t>
            </w:r>
          </w:p>
        </w:tc>
        <w:tc>
          <w:tcPr>
            <w:tcW w:w="7300" w:type="dxa"/>
            <w:vAlign w:val="bottom"/>
          </w:tcPr>
          <w:p>
            <w:pPr>
              <w:ind w:left="700"/>
              <w:spacing w:after="0"/>
              <w:rPr>
                <w:sz w:val="20"/>
                <w:szCs w:val="20"/>
                <w:color w:val="auto"/>
              </w:rPr>
            </w:pPr>
            <w:r>
              <w:rPr>
                <w:rFonts w:ascii="Arial" w:cs="Arial" w:eastAsia="Arial" w:hAnsi="Arial"/>
                <w:sz w:val="14"/>
                <w:szCs w:val="14"/>
                <w:color w:val="auto"/>
              </w:rPr>
              <w:t>Income taxes prepaid and receivable</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10,232</w:t>
            </w: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4,516</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(4,216)</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Accounts payable</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3,924</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(4,241)</w:t>
            </w:r>
          </w:p>
        </w:tc>
      </w:tr>
      <w:tr>
        <w:trPr>
          <w:trHeight w:val="243"/>
        </w:trPr>
        <w:tc>
          <w:tcPr>
            <w:tcW w:w="900" w:type="dxa"/>
            <w:vAlign w:val="bottom"/>
          </w:tcPr>
          <w:p>
            <w:pPr>
              <w:jc w:val="right"/>
              <w:ind w:right="28"/>
              <w:spacing w:after="0"/>
              <w:rPr>
                <w:sz w:val="20"/>
                <w:szCs w:val="20"/>
                <w:color w:val="auto"/>
              </w:rPr>
            </w:pPr>
            <w:r>
              <w:rPr>
                <w:rFonts w:ascii="Arial" w:cs="Arial" w:eastAsia="Arial" w:hAnsi="Arial"/>
                <w:sz w:val="14"/>
                <w:szCs w:val="14"/>
                <w:color w:val="auto"/>
              </w:rPr>
              <w:t>4,076</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5,707</w:t>
            </w:r>
          </w:p>
        </w:tc>
        <w:tc>
          <w:tcPr>
            <w:tcW w:w="7300" w:type="dxa"/>
            <w:vAlign w:val="bottom"/>
          </w:tcPr>
          <w:p>
            <w:pPr>
              <w:ind w:left="700"/>
              <w:spacing w:after="0"/>
              <w:rPr>
                <w:sz w:val="20"/>
                <w:szCs w:val="20"/>
                <w:color w:val="auto"/>
              </w:rPr>
            </w:pPr>
            <w:r>
              <w:rPr>
                <w:rFonts w:ascii="Arial" w:cs="Arial" w:eastAsia="Arial" w:hAnsi="Arial"/>
                <w:sz w:val="14"/>
                <w:szCs w:val="14"/>
                <w:color w:val="auto"/>
              </w:rPr>
              <w:t>Accrued liabilities</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25,005</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13,071</w:t>
            </w: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(4,101)</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1,768</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Income taxes payable</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(8,978)</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(762)</w:t>
            </w:r>
          </w:p>
        </w:tc>
      </w:tr>
      <w:tr>
        <w:trPr>
          <w:trHeight w:val="243"/>
        </w:trPr>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w:t>
            </w:r>
          </w:p>
        </w:tc>
        <w:tc>
          <w:tcPr>
            <w:tcW w:w="260" w:type="dxa"/>
            <w:vAlign w:val="bottom"/>
            <w:tcBorders>
              <w:bottom w:val="single" w:sz="8" w:color="BFBFB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(359)</w:t>
            </w:r>
          </w:p>
        </w:tc>
        <w:tc>
          <w:tcPr>
            <w:tcW w:w="7300" w:type="dxa"/>
            <w:vAlign w:val="bottom"/>
            <w:tcBorders>
              <w:bottom w:val="single" w:sz="8" w:color="BFBFBF"/>
            </w:tcBorders>
          </w:tcPr>
          <w:p>
            <w:pPr>
              <w:ind w:left="700"/>
              <w:spacing w:after="0"/>
              <w:rPr>
                <w:sz w:val="20"/>
                <w:szCs w:val="20"/>
                <w:color w:val="auto"/>
              </w:rPr>
            </w:pPr>
            <w:r>
              <w:rPr>
                <w:rFonts w:ascii="Arial" w:cs="Arial" w:eastAsia="Arial" w:hAnsi="Arial"/>
                <w:sz w:val="14"/>
                <w:szCs w:val="14"/>
                <w:color w:val="auto"/>
              </w:rPr>
              <w:t>Other, net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(1,824)</w:t>
            </w:r>
          </w:p>
        </w:tc>
        <w:tc>
          <w:tcPr>
            <w:tcW w:w="260" w:type="dxa"/>
            <w:vAlign w:val="bottom"/>
            <w:tcBorders>
              <w:bottom w:val="single" w:sz="8" w:color="BFBFB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(2,242)</w:t>
            </w:r>
          </w:p>
        </w:tc>
      </w:tr>
      <w:tr>
        <w:trPr>
          <w:trHeight w:val="156"/>
        </w:trPr>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30,746</w:t>
            </w:r>
          </w:p>
        </w:tc>
        <w:tc>
          <w:tcPr>
            <w:tcW w:w="260" w:type="dxa"/>
            <w:vAlign w:val="bottom"/>
            <w:shd w:val="clear" w:color="auto" w:fill="BFBFBF"/>
          </w:tcPr>
          <w:p>
            <w:pPr>
              <w:spacing w:after="0"/>
              <w:rPr>
                <w:sz w:val="13"/>
                <w:szCs w:val="13"/>
                <w:color w:val="auto"/>
              </w:rPr>
            </w:pPr>
          </w:p>
        </w:tc>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43,170</w:t>
            </w:r>
          </w:p>
        </w:tc>
        <w:tc>
          <w:tcPr>
            <w:tcW w:w="7300" w:type="dxa"/>
            <w:vAlign w:val="bottom"/>
            <w:shd w:val="clear" w:color="auto" w:fill="BFBFBF"/>
          </w:tcPr>
          <w:p>
            <w:pPr>
              <w:ind w:left="700"/>
              <w:spacing w:after="0" w:line="155" w:lineRule="exact"/>
              <w:rPr>
                <w:sz w:val="20"/>
                <w:szCs w:val="20"/>
                <w:color w:val="auto"/>
              </w:rPr>
            </w:pPr>
            <w:r>
              <w:rPr>
                <w:rFonts w:ascii="Arial" w:cs="Arial" w:eastAsia="Arial" w:hAnsi="Arial"/>
                <w:sz w:val="14"/>
                <w:szCs w:val="14"/>
                <w:color w:val="auto"/>
              </w:rPr>
              <w:t>Net cash provided by/(used in) operating activities</w:t>
            </w:r>
          </w:p>
        </w:tc>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63,054</w:t>
            </w:r>
          </w:p>
        </w:tc>
        <w:tc>
          <w:tcPr>
            <w:tcW w:w="260" w:type="dxa"/>
            <w:vAlign w:val="bottom"/>
            <w:shd w:val="clear" w:color="auto" w:fill="BFBFBF"/>
          </w:tcPr>
          <w:p>
            <w:pPr>
              <w:spacing w:after="0"/>
              <w:rPr>
                <w:sz w:val="13"/>
                <w:szCs w:val="13"/>
                <w:color w:val="auto"/>
              </w:rPr>
            </w:pPr>
          </w:p>
        </w:tc>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(10,278)</w:t>
            </w:r>
          </w:p>
        </w:tc>
      </w:tr>
      <w:tr>
        <w:trPr>
          <w:trHeight w:val="480"/>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00" w:type="dxa"/>
            <w:vAlign w:val="bottom"/>
          </w:tcPr>
          <w:p>
            <w:pPr>
              <w:ind w:left="360"/>
              <w:spacing w:after="0"/>
              <w:rPr>
                <w:sz w:val="20"/>
                <w:szCs w:val="20"/>
                <w:color w:val="auto"/>
              </w:rPr>
            </w:pPr>
            <w:r>
              <w:rPr>
                <w:rFonts w:ascii="Arial" w:cs="Arial" w:eastAsia="Arial" w:hAnsi="Arial"/>
                <w:sz w:val="14"/>
                <w:szCs w:val="14"/>
                <w:color w:val="auto"/>
              </w:rPr>
              <w:t>INVESTING ACTIVITIES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(18,378)</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(11,047)</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Purchases of property, plant and equipment</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(46,186)</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(25,237)</w:t>
            </w:r>
          </w:p>
        </w:tc>
      </w:tr>
      <w:tr>
        <w:trPr>
          <w:trHeight w:val="243"/>
        </w:trPr>
        <w:tc>
          <w:tcPr>
            <w:tcW w:w="900" w:type="dxa"/>
            <w:vAlign w:val="bottom"/>
          </w:tcPr>
          <w:p>
            <w:pPr>
              <w:jc w:val="right"/>
              <w:ind w:right="28"/>
              <w:spacing w:after="0"/>
              <w:rPr>
                <w:sz w:val="20"/>
                <w:szCs w:val="20"/>
                <w:color w:val="auto"/>
              </w:rPr>
            </w:pPr>
            <w:r>
              <w:rPr>
                <w:rFonts w:ascii="Arial" w:cs="Arial" w:eastAsia="Arial" w:hAnsi="Arial"/>
                <w:sz w:val="14"/>
                <w:szCs w:val="14"/>
                <w:color w:val="auto"/>
              </w:rPr>
              <w:t>(728)</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7300" w:type="dxa"/>
            <w:vAlign w:val="bottom"/>
          </w:tcPr>
          <w:p>
            <w:pPr>
              <w:ind w:left="700"/>
              <w:spacing w:after="0"/>
              <w:rPr>
                <w:sz w:val="20"/>
                <w:szCs w:val="20"/>
                <w:color w:val="auto"/>
              </w:rPr>
            </w:pPr>
            <w:r>
              <w:rPr>
                <w:rFonts w:ascii="Arial" w:cs="Arial" w:eastAsia="Arial" w:hAnsi="Arial"/>
                <w:sz w:val="14"/>
                <w:szCs w:val="14"/>
                <w:color w:val="auto"/>
              </w:rPr>
              <w:t>Purchased software</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(1,376)</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(154)</w:t>
            </w: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Proceeds from sale of assets</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6,268</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13,000</w:t>
            </w:r>
          </w:p>
        </w:tc>
        <w:tc>
          <w:tcPr>
            <w:tcW w:w="260" w:type="dxa"/>
            <w:vAlign w:val="bottom"/>
            <w:tcBorders>
              <w:bottom w:val="single" w:sz="8" w:color="BFBFB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300" w:type="dxa"/>
            <w:vAlign w:val="bottom"/>
            <w:tcBorders>
              <w:bottom w:val="single" w:sz="8" w:color="BFBFBF"/>
            </w:tcBorders>
          </w:tcPr>
          <w:p>
            <w:pPr>
              <w:ind w:left="700"/>
              <w:spacing w:after="0"/>
              <w:rPr>
                <w:sz w:val="20"/>
                <w:szCs w:val="20"/>
                <w:color w:val="auto"/>
              </w:rPr>
            </w:pPr>
            <w:r>
              <w:rPr>
                <w:rFonts w:ascii="Arial" w:cs="Arial" w:eastAsia="Arial" w:hAnsi="Arial"/>
                <w:sz w:val="14"/>
                <w:szCs w:val="14"/>
                <w:color w:val="auto"/>
              </w:rPr>
              <w:t>Proceeds from sale of discontinued operations, net of expenses</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13,000</w:t>
            </w:r>
          </w:p>
        </w:tc>
        <w:tc>
          <w:tcPr>
            <w:tcW w:w="260" w:type="dxa"/>
            <w:vAlign w:val="bottom"/>
            <w:tcBorders>
              <w:bottom w:val="single" w:sz="8" w:color="BFBFB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150,654</w:t>
            </w:r>
          </w:p>
        </w:tc>
      </w:tr>
      <w:tr>
        <w:trPr>
          <w:trHeight w:val="156"/>
        </w:trPr>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(6,106)</w:t>
            </w:r>
          </w:p>
        </w:tc>
        <w:tc>
          <w:tcPr>
            <w:tcW w:w="260" w:type="dxa"/>
            <w:vAlign w:val="bottom"/>
            <w:shd w:val="clear" w:color="auto" w:fill="BFBFBF"/>
          </w:tcPr>
          <w:p>
            <w:pPr>
              <w:spacing w:after="0"/>
              <w:rPr>
                <w:sz w:val="13"/>
                <w:szCs w:val="13"/>
                <w:color w:val="auto"/>
              </w:rPr>
            </w:pPr>
          </w:p>
        </w:tc>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(11,193)</w:t>
            </w:r>
          </w:p>
        </w:tc>
        <w:tc>
          <w:tcPr>
            <w:tcW w:w="7300" w:type="dxa"/>
            <w:vAlign w:val="bottom"/>
            <w:shd w:val="clear" w:color="auto" w:fill="BFBFBF"/>
          </w:tcPr>
          <w:p>
            <w:pPr>
              <w:ind w:left="700"/>
              <w:spacing w:after="0" w:line="155" w:lineRule="exact"/>
              <w:rPr>
                <w:sz w:val="20"/>
                <w:szCs w:val="20"/>
                <w:color w:val="auto"/>
              </w:rPr>
            </w:pPr>
            <w:r>
              <w:rPr>
                <w:rFonts w:ascii="Arial" w:cs="Arial" w:eastAsia="Arial" w:hAnsi="Arial"/>
                <w:sz w:val="14"/>
                <w:szCs w:val="14"/>
                <w:color w:val="auto"/>
              </w:rPr>
              <w:t>Net cash (used in)/provided by investing activities</w:t>
            </w:r>
          </w:p>
        </w:tc>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(28,294)</w:t>
            </w:r>
          </w:p>
        </w:tc>
        <w:tc>
          <w:tcPr>
            <w:tcW w:w="260" w:type="dxa"/>
            <w:vAlign w:val="bottom"/>
            <w:shd w:val="clear" w:color="auto" w:fill="BFBFBF"/>
          </w:tcPr>
          <w:p>
            <w:pPr>
              <w:spacing w:after="0"/>
              <w:rPr>
                <w:sz w:val="13"/>
                <w:szCs w:val="13"/>
                <w:color w:val="auto"/>
              </w:rPr>
            </w:pPr>
          </w:p>
        </w:tc>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125,263</w:t>
            </w:r>
          </w:p>
        </w:tc>
      </w:tr>
      <w:tr>
        <w:trPr>
          <w:trHeight w:val="480"/>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00" w:type="dxa"/>
            <w:vAlign w:val="bottom"/>
          </w:tcPr>
          <w:p>
            <w:pPr>
              <w:ind w:left="360"/>
              <w:spacing w:after="0"/>
              <w:rPr>
                <w:sz w:val="20"/>
                <w:szCs w:val="20"/>
                <w:color w:val="auto"/>
              </w:rPr>
            </w:pPr>
            <w:r>
              <w:rPr>
                <w:rFonts w:ascii="Arial" w:cs="Arial" w:eastAsia="Arial" w:hAnsi="Arial"/>
                <w:sz w:val="14"/>
                <w:szCs w:val="14"/>
                <w:color w:val="auto"/>
              </w:rPr>
              <w:t>FINANCING ACTIVITIES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5,271</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7,000</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Proceeds from borrowings</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57,176</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45,164</w:t>
            </w:r>
          </w:p>
        </w:tc>
      </w:tr>
      <w:tr>
        <w:trPr>
          <w:trHeight w:val="243"/>
        </w:trPr>
        <w:tc>
          <w:tcPr>
            <w:tcW w:w="900" w:type="dxa"/>
            <w:vAlign w:val="bottom"/>
          </w:tcPr>
          <w:p>
            <w:pPr>
              <w:jc w:val="right"/>
              <w:ind w:right="28"/>
              <w:spacing w:after="0"/>
              <w:rPr>
                <w:sz w:val="20"/>
                <w:szCs w:val="20"/>
                <w:color w:val="auto"/>
              </w:rPr>
            </w:pPr>
            <w:r>
              <w:rPr>
                <w:rFonts w:ascii="Arial" w:cs="Arial" w:eastAsia="Arial" w:hAnsi="Arial"/>
                <w:sz w:val="14"/>
                <w:szCs w:val="14"/>
                <w:color w:val="auto"/>
              </w:rPr>
              <w:t>(18,562)</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(29,131)</w:t>
            </w:r>
          </w:p>
        </w:tc>
        <w:tc>
          <w:tcPr>
            <w:tcW w:w="7300" w:type="dxa"/>
            <w:vAlign w:val="bottom"/>
          </w:tcPr>
          <w:p>
            <w:pPr>
              <w:ind w:left="700"/>
              <w:spacing w:after="0"/>
              <w:rPr>
                <w:sz w:val="20"/>
                <w:szCs w:val="20"/>
                <w:color w:val="auto"/>
              </w:rPr>
            </w:pPr>
            <w:r>
              <w:rPr>
                <w:rFonts w:ascii="Arial" w:cs="Arial" w:eastAsia="Arial" w:hAnsi="Arial"/>
                <w:sz w:val="14"/>
                <w:szCs w:val="14"/>
                <w:color w:val="auto"/>
              </w:rPr>
              <w:t>Principal payments on debt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(69,221)</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(98,354)</w:t>
            </w: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1,661</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811</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Proceeds from options exercised</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4,629</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1,079</w:t>
            </w:r>
          </w:p>
        </w:tc>
      </w:tr>
      <w:tr>
        <w:trPr>
          <w:trHeight w:val="243"/>
        </w:trPr>
        <w:tc>
          <w:tcPr>
            <w:tcW w:w="900" w:type="dxa"/>
            <w:vAlign w:val="bottom"/>
          </w:tcPr>
          <w:p>
            <w:pPr>
              <w:jc w:val="right"/>
              <w:ind w:right="28"/>
              <w:spacing w:after="0"/>
              <w:rPr>
                <w:sz w:val="20"/>
                <w:szCs w:val="20"/>
                <w:color w:val="auto"/>
              </w:rPr>
            </w:pPr>
            <w:r>
              <w:rPr>
                <w:rFonts w:ascii="Arial" w:cs="Arial" w:eastAsia="Arial" w:hAnsi="Arial"/>
                <w:sz w:val="14"/>
                <w:szCs w:val="14"/>
                <w:color w:val="auto"/>
              </w:rPr>
              <w:t>420</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7300" w:type="dxa"/>
            <w:vAlign w:val="bottom"/>
          </w:tcPr>
          <w:p>
            <w:pPr>
              <w:ind w:left="700"/>
              <w:spacing w:after="0"/>
              <w:rPr>
                <w:sz w:val="20"/>
                <w:szCs w:val="20"/>
                <w:color w:val="auto"/>
              </w:rPr>
            </w:pPr>
            <w:r>
              <w:rPr>
                <w:rFonts w:ascii="Arial" w:cs="Arial" w:eastAsia="Arial" w:hAnsi="Arial"/>
                <w:sz w:val="14"/>
                <w:szCs w:val="14"/>
                <w:color w:val="auto"/>
              </w:rPr>
              <w:t>Excess tax benefit of options exercised</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944</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c>
          <w:tcPr>
            <w:tcW w:w="7300" w:type="dxa"/>
            <w:vAlign w:val="bottom"/>
            <w:shd w:val="clear" w:color="auto" w:fill="BFBFBF"/>
          </w:tcPr>
          <w:p>
            <w:pPr>
              <w:ind w:left="700"/>
              <w:spacing w:after="0"/>
              <w:rPr>
                <w:sz w:val="20"/>
                <w:szCs w:val="20"/>
                <w:color w:val="auto"/>
              </w:rPr>
            </w:pPr>
            <w:r>
              <w:rPr>
                <w:rFonts w:ascii="Arial" w:cs="Arial" w:eastAsia="Arial" w:hAnsi="Arial"/>
                <w:sz w:val="14"/>
                <w:szCs w:val="14"/>
                <w:color w:val="auto"/>
              </w:rPr>
              <w:t>Debt acquisition costs</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(1,639)</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(4,747)</w:t>
            </w:r>
          </w:p>
        </w:tc>
        <w:tc>
          <w:tcPr>
            <w:tcW w:w="260" w:type="dxa"/>
            <w:vAlign w:val="bottom"/>
            <w:tcBorders>
              <w:bottom w:val="single" w:sz="8" w:color="BFBFB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(4,390)</w:t>
            </w:r>
          </w:p>
        </w:tc>
        <w:tc>
          <w:tcPr>
            <w:tcW w:w="7300" w:type="dxa"/>
            <w:vAlign w:val="bottom"/>
            <w:tcBorders>
              <w:bottom w:val="single" w:sz="8" w:color="BFBFBF"/>
            </w:tcBorders>
          </w:tcPr>
          <w:p>
            <w:pPr>
              <w:ind w:left="700"/>
              <w:spacing w:after="0"/>
              <w:rPr>
                <w:sz w:val="20"/>
                <w:szCs w:val="20"/>
                <w:color w:val="auto"/>
              </w:rPr>
            </w:pPr>
            <w:r>
              <w:rPr>
                <w:rFonts w:ascii="Arial" w:cs="Arial" w:eastAsia="Arial" w:hAnsi="Arial"/>
                <w:sz w:val="14"/>
                <w:szCs w:val="14"/>
                <w:color w:val="auto"/>
              </w:rPr>
              <w:t>Dividends paid</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(9,170)</w:t>
            </w:r>
          </w:p>
        </w:tc>
        <w:tc>
          <w:tcPr>
            <w:tcW w:w="260" w:type="dxa"/>
            <w:vAlign w:val="bottom"/>
            <w:tcBorders>
              <w:bottom w:val="single" w:sz="8" w:color="BFBFB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(12,528)</w:t>
            </w:r>
          </w:p>
        </w:tc>
      </w:tr>
      <w:tr>
        <w:trPr>
          <w:trHeight w:val="156"/>
        </w:trPr>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(15,957)</w:t>
            </w:r>
          </w:p>
        </w:tc>
        <w:tc>
          <w:tcPr>
            <w:tcW w:w="260" w:type="dxa"/>
            <w:vAlign w:val="bottom"/>
            <w:shd w:val="clear" w:color="auto" w:fill="BFBFBF"/>
          </w:tcPr>
          <w:p>
            <w:pPr>
              <w:spacing w:after="0"/>
              <w:rPr>
                <w:sz w:val="13"/>
                <w:szCs w:val="13"/>
                <w:color w:val="auto"/>
              </w:rPr>
            </w:pPr>
          </w:p>
        </w:tc>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(25,684)</w:t>
            </w:r>
          </w:p>
        </w:tc>
        <w:tc>
          <w:tcPr>
            <w:tcW w:w="7300" w:type="dxa"/>
            <w:vAlign w:val="bottom"/>
            <w:shd w:val="clear" w:color="auto" w:fill="BFBFBF"/>
          </w:tcPr>
          <w:p>
            <w:pPr>
              <w:ind w:left="700"/>
              <w:spacing w:after="0" w:line="155" w:lineRule="exact"/>
              <w:rPr>
                <w:sz w:val="20"/>
                <w:szCs w:val="20"/>
                <w:color w:val="auto"/>
              </w:rPr>
            </w:pPr>
            <w:r>
              <w:rPr>
                <w:rFonts w:ascii="Arial" w:cs="Arial" w:eastAsia="Arial" w:hAnsi="Arial"/>
                <w:sz w:val="14"/>
                <w:szCs w:val="14"/>
                <w:color w:val="auto"/>
              </w:rPr>
              <w:t>Net cash (used in)/provided by financing activities</w:t>
            </w:r>
          </w:p>
        </w:tc>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(17,281)</w:t>
            </w:r>
          </w:p>
        </w:tc>
        <w:tc>
          <w:tcPr>
            <w:tcW w:w="260" w:type="dxa"/>
            <w:vAlign w:val="bottom"/>
            <w:shd w:val="clear" w:color="auto" w:fill="BFBFBF"/>
          </w:tcPr>
          <w:p>
            <w:pPr>
              <w:spacing w:after="0"/>
              <w:rPr>
                <w:sz w:val="13"/>
                <w:szCs w:val="13"/>
                <w:color w:val="auto"/>
              </w:rPr>
            </w:pPr>
          </w:p>
        </w:tc>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(64,602)</w:t>
            </w:r>
          </w:p>
        </w:tc>
      </w:tr>
      <w:tr>
        <w:trPr>
          <w:trHeight w:val="237"/>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62"/>
        </w:trPr>
        <w:tc>
          <w:tcPr>
            <w:tcW w:w="900" w:type="dxa"/>
            <w:vAlign w:val="bottom"/>
            <w:tcBorders>
              <w:bottom w:val="single" w:sz="8" w:color="auto"/>
            </w:tcBorders>
            <w:shd w:val="clear" w:color="auto" w:fill="BFBFBF"/>
          </w:tcPr>
          <w:p>
            <w:pPr>
              <w:jc w:val="right"/>
              <w:ind w:right="28"/>
              <w:spacing w:after="0"/>
              <w:rPr>
                <w:sz w:val="20"/>
                <w:szCs w:val="20"/>
                <w:color w:val="auto"/>
              </w:rPr>
            </w:pPr>
            <w:r>
              <w:rPr>
                <w:rFonts w:ascii="Arial" w:cs="Arial" w:eastAsia="Arial" w:hAnsi="Arial"/>
                <w:sz w:val="14"/>
                <w:szCs w:val="14"/>
                <w:color w:val="auto"/>
              </w:rPr>
              <w:t>6,805</w:t>
            </w:r>
          </w:p>
        </w:tc>
        <w:tc>
          <w:tcPr>
            <w:tcW w:w="260" w:type="dxa"/>
            <w:vAlign w:val="bottom"/>
            <w:shd w:val="clear" w:color="auto" w:fill="BFBFBF"/>
          </w:tcPr>
          <w:p>
            <w:pPr>
              <w:spacing w:after="0"/>
              <w:rPr>
                <w:sz w:val="14"/>
                <w:szCs w:val="14"/>
                <w:color w:val="auto"/>
              </w:rPr>
            </w:pPr>
          </w:p>
        </w:tc>
        <w:tc>
          <w:tcPr>
            <w:tcW w:w="900" w:type="dxa"/>
            <w:vAlign w:val="bottom"/>
            <w:tcBorders>
              <w:bottom w:val="single" w:sz="8" w:color="auto"/>
            </w:tcBorders>
            <w:shd w:val="clear" w:color="auto" w:fill="BFBFBF"/>
          </w:tcPr>
          <w:p>
            <w:pPr>
              <w:jc w:val="right"/>
              <w:ind w:right="28"/>
              <w:spacing w:after="0"/>
              <w:rPr>
                <w:sz w:val="20"/>
                <w:szCs w:val="20"/>
                <w:color w:val="auto"/>
              </w:rPr>
            </w:pPr>
            <w:r>
              <w:rPr>
                <w:rFonts w:ascii="Arial" w:cs="Arial" w:eastAsia="Arial" w:hAnsi="Arial"/>
                <w:sz w:val="14"/>
                <w:szCs w:val="14"/>
                <w:color w:val="auto"/>
              </w:rPr>
              <w:t>3,054</w:t>
            </w:r>
          </w:p>
        </w:tc>
        <w:tc>
          <w:tcPr>
            <w:tcW w:w="7300" w:type="dxa"/>
            <w:vAlign w:val="bottom"/>
            <w:shd w:val="clear" w:color="auto" w:fill="BFBFBF"/>
          </w:tcPr>
          <w:p>
            <w:pPr>
              <w:ind w:left="360"/>
              <w:spacing w:after="0"/>
              <w:rPr>
                <w:sz w:val="20"/>
                <w:szCs w:val="20"/>
                <w:color w:val="auto"/>
              </w:rPr>
            </w:pPr>
            <w:r>
              <w:rPr>
                <w:rFonts w:ascii="Arial" w:cs="Arial" w:eastAsia="Arial" w:hAnsi="Arial"/>
                <w:sz w:val="14"/>
                <w:szCs w:val="14"/>
                <w:color w:val="auto"/>
              </w:rPr>
              <w:t>Effect of exchange rate changes on cash and cash equivalents</w:t>
            </w:r>
          </w:p>
        </w:tc>
        <w:tc>
          <w:tcPr>
            <w:tcW w:w="900" w:type="dxa"/>
            <w:vAlign w:val="bottom"/>
            <w:tcBorders>
              <w:bottom w:val="single" w:sz="8" w:color="auto"/>
            </w:tcBorders>
            <w:shd w:val="clear" w:color="auto" w:fill="BFBFBF"/>
          </w:tcPr>
          <w:p>
            <w:pPr>
              <w:jc w:val="right"/>
              <w:ind w:right="28"/>
              <w:spacing w:after="0"/>
              <w:rPr>
                <w:sz w:val="20"/>
                <w:szCs w:val="20"/>
                <w:color w:val="auto"/>
              </w:rPr>
            </w:pPr>
            <w:r>
              <w:rPr>
                <w:rFonts w:ascii="Arial" w:cs="Arial" w:eastAsia="Arial" w:hAnsi="Arial"/>
                <w:sz w:val="14"/>
                <w:szCs w:val="14"/>
                <w:color w:val="auto"/>
              </w:rPr>
              <w:t>4,612</w:t>
            </w:r>
          </w:p>
        </w:tc>
        <w:tc>
          <w:tcPr>
            <w:tcW w:w="260" w:type="dxa"/>
            <w:vAlign w:val="bottom"/>
            <w:shd w:val="clear" w:color="auto" w:fill="BFBFBF"/>
          </w:tcPr>
          <w:p>
            <w:pPr>
              <w:spacing w:after="0"/>
              <w:rPr>
                <w:sz w:val="14"/>
                <w:szCs w:val="14"/>
                <w:color w:val="auto"/>
              </w:rPr>
            </w:pPr>
          </w:p>
        </w:tc>
        <w:tc>
          <w:tcPr>
            <w:tcW w:w="900" w:type="dxa"/>
            <w:vAlign w:val="bottom"/>
            <w:tcBorders>
              <w:bottom w:val="single" w:sz="8" w:color="auto"/>
            </w:tcBorders>
            <w:shd w:val="clear" w:color="auto" w:fill="BFBFBF"/>
          </w:tcPr>
          <w:p>
            <w:pPr>
              <w:jc w:val="right"/>
              <w:ind w:right="28"/>
              <w:spacing w:after="0"/>
              <w:rPr>
                <w:sz w:val="20"/>
                <w:szCs w:val="20"/>
                <w:color w:val="auto"/>
              </w:rPr>
            </w:pPr>
            <w:r>
              <w:rPr>
                <w:rFonts w:ascii="Arial" w:cs="Arial" w:eastAsia="Arial" w:hAnsi="Arial"/>
                <w:sz w:val="14"/>
                <w:szCs w:val="14"/>
                <w:color w:val="auto"/>
              </w:rPr>
              <w:t>4,647</w:t>
            </w:r>
          </w:p>
        </w:tc>
      </w:tr>
      <w:tr>
        <w:trPr>
          <w:trHeight w:val="237"/>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62"/>
        </w:trPr>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15,488</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9,347</w:t>
            </w:r>
          </w:p>
        </w:tc>
        <w:tc>
          <w:tcPr>
            <w:tcW w:w="7300" w:type="dxa"/>
            <w:vAlign w:val="bottom"/>
            <w:shd w:val="clear" w:color="auto" w:fill="BFBFBF"/>
          </w:tcPr>
          <w:p>
            <w:pPr>
              <w:ind w:left="360"/>
              <w:spacing w:after="0"/>
              <w:rPr>
                <w:sz w:val="20"/>
                <w:szCs w:val="20"/>
                <w:color w:val="auto"/>
              </w:rPr>
            </w:pPr>
            <w:r>
              <w:rPr>
                <w:rFonts w:ascii="Arial" w:cs="Arial" w:eastAsia="Arial" w:hAnsi="Arial"/>
                <w:sz w:val="14"/>
                <w:szCs w:val="14"/>
                <w:color w:val="auto"/>
              </w:rPr>
              <w:t>Increase/(decrease) in cash and cash equivalents</w:t>
            </w: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22,091</w:t>
            </w:r>
          </w:p>
        </w:tc>
        <w:tc>
          <w:tcPr>
            <w:tcW w:w="260" w:type="dxa"/>
            <w:vAlign w:val="bottom"/>
            <w:shd w:val="clear" w:color="auto" w:fill="BFBFBF"/>
          </w:tcPr>
          <w:p>
            <w:pPr>
              <w:spacing w:after="0"/>
              <w:rPr>
                <w:sz w:val="14"/>
                <w:szCs w:val="14"/>
                <w:color w:val="auto"/>
              </w:rPr>
            </w:pPr>
          </w:p>
        </w:tc>
        <w:tc>
          <w:tcPr>
            <w:tcW w:w="9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55,030</w:t>
            </w:r>
          </w:p>
        </w:tc>
      </w:tr>
      <w:tr>
        <w:trPr>
          <w:trHeight w:val="243"/>
        </w:trPr>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197,321</w:t>
            </w:r>
          </w:p>
        </w:tc>
        <w:tc>
          <w:tcPr>
            <w:tcW w:w="260" w:type="dxa"/>
            <w:vAlign w:val="bottom"/>
            <w:tcBorders>
              <w:bottom w:val="single" w:sz="8" w:color="BFBFB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164,592</w:t>
            </w:r>
          </w:p>
        </w:tc>
        <w:tc>
          <w:tcPr>
            <w:tcW w:w="7300" w:type="dxa"/>
            <w:vAlign w:val="bottom"/>
            <w:tcBorders>
              <w:bottom w:val="single" w:sz="8" w:color="BFBFBF"/>
            </w:tcBorders>
          </w:tcPr>
          <w:p>
            <w:pPr>
              <w:ind w:left="360"/>
              <w:spacing w:after="0"/>
              <w:rPr>
                <w:sz w:val="20"/>
                <w:szCs w:val="20"/>
                <w:color w:val="auto"/>
              </w:rPr>
            </w:pPr>
            <w:r>
              <w:rPr>
                <w:rFonts w:ascii="Arial" w:cs="Arial" w:eastAsia="Arial" w:hAnsi="Arial"/>
                <w:sz w:val="14"/>
                <w:szCs w:val="14"/>
                <w:color w:val="auto"/>
              </w:rPr>
              <w:t>Cash and cash equivalents at beginning of period</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190,718</w:t>
            </w:r>
          </w:p>
        </w:tc>
        <w:tc>
          <w:tcPr>
            <w:tcW w:w="260" w:type="dxa"/>
            <w:vAlign w:val="bottom"/>
            <w:tcBorders>
              <w:bottom w:val="single" w:sz="8" w:color="BFBFB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118,909</w:t>
            </w:r>
          </w:p>
        </w:tc>
      </w:tr>
      <w:tr>
        <w:trPr>
          <w:trHeight w:val="156"/>
        </w:trPr>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$212,809</w:t>
            </w:r>
          </w:p>
        </w:tc>
        <w:tc>
          <w:tcPr>
            <w:tcW w:w="260" w:type="dxa"/>
            <w:vAlign w:val="bottom"/>
            <w:tcBorders>
              <w:bottom w:val="single" w:sz="8" w:color="BFBFBF"/>
            </w:tcBorders>
            <w:shd w:val="clear" w:color="auto" w:fill="BFBFBF"/>
          </w:tcPr>
          <w:p>
            <w:pPr>
              <w:spacing w:after="0"/>
              <w:rPr>
                <w:sz w:val="13"/>
                <w:szCs w:val="13"/>
                <w:color w:val="auto"/>
              </w:rPr>
            </w:pPr>
          </w:p>
        </w:tc>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$173,939</w:t>
            </w:r>
          </w:p>
        </w:tc>
        <w:tc>
          <w:tcPr>
            <w:tcW w:w="7300" w:type="dxa"/>
            <w:vAlign w:val="bottom"/>
            <w:tcBorders>
              <w:bottom w:val="single" w:sz="8" w:color="BFBFBF"/>
            </w:tcBorders>
            <w:shd w:val="clear" w:color="auto" w:fill="BFBFBF"/>
          </w:tcPr>
          <w:p>
            <w:pPr>
              <w:ind w:left="360"/>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$212,809</w:t>
            </w:r>
          </w:p>
        </w:tc>
        <w:tc>
          <w:tcPr>
            <w:tcW w:w="260" w:type="dxa"/>
            <w:vAlign w:val="bottom"/>
            <w:tcBorders>
              <w:bottom w:val="single" w:sz="8" w:color="BFBFBF"/>
            </w:tcBorders>
            <w:shd w:val="clear" w:color="auto" w:fill="BFBFBF"/>
          </w:tcPr>
          <w:p>
            <w:pPr>
              <w:spacing w:after="0"/>
              <w:rPr>
                <w:sz w:val="13"/>
                <w:szCs w:val="13"/>
                <w:color w:val="auto"/>
              </w:rPr>
            </w:pPr>
          </w:p>
        </w:tc>
        <w:tc>
          <w:tcPr>
            <w:tcW w:w="90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$173,939</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color w:val="auto"/>
        </w:rPr>
        <w:t>ALBANY INTERNATIONAL CORP.</w:t>
      </w:r>
    </w:p>
    <w:p>
      <w:pPr>
        <w:jc w:val="center"/>
        <w:ind w:right="-59"/>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Basis of Presentation</w:t>
      </w:r>
    </w:p>
    <w:p>
      <w:pPr>
        <w:spacing w:after="0" w:line="193" w:lineRule="exact"/>
        <w:rPr>
          <w:sz w:val="20"/>
          <w:szCs w:val="20"/>
          <w:color w:val="auto"/>
        </w:rPr>
      </w:pPr>
    </w:p>
    <w:p>
      <w:pPr>
        <w:ind w:right="180" w:firstLine="648"/>
        <w:spacing w:after="0" w:line="236"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only normal recurring adjustments and elimination of intercompany transactions necessary for a fair presentation of results for such periods. Albany International Corp. consolidates the financial results of its subsidiaries for all periods presented. The results for any interim period are not necessarily indicative of results for the full year. The information included in this Quarterly Report on Form 10-Q should be read in conjunction with “Risk Factors,” “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fiscal year ended December 31, 2012.</w:t>
      </w:r>
    </w:p>
    <w:p>
      <w:pPr>
        <w:spacing w:after="0" w:line="181" w:lineRule="exact"/>
        <w:rPr>
          <w:sz w:val="20"/>
          <w:szCs w:val="20"/>
          <w:color w:val="auto"/>
        </w:rPr>
      </w:pPr>
    </w:p>
    <w:p>
      <w:pPr>
        <w:ind w:right="460" w:firstLine="648"/>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Discontinued Operations</w:t>
      </w:r>
    </w:p>
    <w:p>
      <w:pPr>
        <w:spacing w:after="0" w:line="207"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October 2011 we entered into a contract to sell the assets and liabilities of our Albany Door Systems (ADS) business to Assa Abloy AB for $130 million. Closing on the transaction occurred on January 11, 2012. Under the terms of the contract, Assa Abloy AB acquired our equity ownership of Albany Doors Systems GmbH in Germany, Albany Door Systems AB in Sweden, and other ADS affiliates in Germany, France, the Netherlands, Turkey, Poland, Belgium, New Zealand, and other countries, as well as the remaining ADS business assets, most of which were located in the United States, Australia, China, and Italy. In January 2012, the Company completed the sale of Albany Door Systems, and in March 2012, we finalized certain post-closing adjustments that increased the sale price by $ 5.0 million. As of December 31, 2012, $122 million of the total $135 million sale price had been received, with the remainder received in July 2013.</w:t>
      </w:r>
    </w:p>
    <w:p>
      <w:pPr>
        <w:spacing w:after="0" w:line="163" w:lineRule="exact"/>
        <w:rPr>
          <w:sz w:val="20"/>
          <w:szCs w:val="20"/>
          <w:color w:val="auto"/>
        </w:rPr>
      </w:pPr>
    </w:p>
    <w:p>
      <w:pPr>
        <w:ind w:right="60" w:firstLine="567"/>
        <w:spacing w:after="0" w:line="218" w:lineRule="auto"/>
        <w:rPr>
          <w:sz w:val="20"/>
          <w:szCs w:val="20"/>
          <w:color w:val="auto"/>
        </w:rPr>
      </w:pPr>
      <w:r>
        <w:rPr>
          <w:rFonts w:ascii="Arial" w:cs="Arial" w:eastAsia="Arial" w:hAnsi="Arial"/>
          <w:sz w:val="18"/>
          <w:szCs w:val="18"/>
          <w:color w:val="auto"/>
        </w:rPr>
        <w:t>In May 2012, we announced an agreement to sell our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and that transaction closed on June 29, 2012. Under the terms of the agreement, the purchaser acquired all of the assets of that business, which were located in the United States, Italy and Germany. The purchase price of $38.0 million included $3.8 million held in an escrow account which is included in Accounts receivable and is expected to be received in December 2013. The Company recorded a pre-tax gain in the second quarter of 2012 of $34.9 million as result of that sale.</w:t>
      </w:r>
    </w:p>
    <w:p>
      <w:pPr>
        <w:spacing w:after="0" w:line="190" w:lineRule="exact"/>
        <w:rPr>
          <w:sz w:val="20"/>
          <w:szCs w:val="20"/>
          <w:color w:val="auto"/>
        </w:rPr>
      </w:pPr>
    </w:p>
    <w:p>
      <w:pPr>
        <w:ind w:right="260" w:firstLine="567"/>
        <w:spacing w:after="0"/>
        <w:rPr>
          <w:sz w:val="20"/>
          <w:szCs w:val="20"/>
          <w:color w:val="auto"/>
        </w:rPr>
      </w:pPr>
      <w:r>
        <w:rPr>
          <w:rFonts w:ascii="Arial" w:cs="Arial" w:eastAsia="Arial" w:hAnsi="Arial"/>
          <w:sz w:val="18"/>
          <w:szCs w:val="18"/>
          <w:color w:val="auto"/>
        </w:rPr>
        <w:t>The Company recorded a charge of $0.6 million for pre-closing liabilities that arose during the second quarter of 2013. In the third quarter of 2012, the Company recorded various adjustments that reduced the gains on disposition by $0.3 million, and also adjusted the tax expense allocated to discontinued operations by $0.7 million.</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We have provided customary representations and warranties in the sale of both of these businesses but we do not expect any material negative financial consequence will result from these</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1147" w:right="299" w:bottom="1440" w:gutter="0" w:footer="0" w:header="0"/>
        </w:sectPr>
      </w:pPr>
    </w:p>
    <w:bookmarkStart w:id="7" w:name="page8"/>
    <w:bookmarkEnd w:id="7"/>
    <w:p>
      <w:pPr>
        <w:ind w:right="280"/>
        <w:spacing w:after="0"/>
        <w:rPr>
          <w:sz w:val="20"/>
          <w:szCs w:val="20"/>
          <w:color w:val="auto"/>
        </w:rPr>
      </w:pPr>
      <w:r>
        <w:rPr>
          <w:rFonts w:ascii="Arial" w:cs="Arial" w:eastAsia="Arial" w:hAnsi="Arial"/>
          <w:sz w:val="18"/>
          <w:szCs w:val="18"/>
          <w:color w:val="auto"/>
        </w:rPr>
        <w:t>arrangements. In accordance with the applicable accounting guidance for discontinued businesses, the associated results of operations and financial position are reported separately in the accompanying Consolidated Statements of Income and Balance Sheets. Cash flows of the discontinued operation were combined with cash flows from continuing operations in the Consolidated Statements of Cash Flows.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operating results of the discontinued operations:</w:t>
      </w:r>
    </w:p>
    <w:p>
      <w:pPr>
        <w:spacing w:after="0" w:line="84" w:lineRule="exact"/>
        <w:rPr>
          <w:sz w:val="20"/>
          <w:szCs w:val="20"/>
          <w:color w:val="auto"/>
        </w:rPr>
      </w:pPr>
    </w:p>
    <w:tbl>
      <w:tblPr>
        <w:tblLayout w:type="fixed"/>
        <w:tblInd w:w="580" w:type="dxa"/>
        <w:tblCellMar>
          <w:top w:w="0" w:type="dxa"/>
          <w:left w:w="0" w:type="dxa"/>
          <w:bottom w:w="0" w:type="dxa"/>
          <w:right w:w="0" w:type="dxa"/>
        </w:tblCellMar>
      </w:tblPr>
      <w:tr>
        <w:trPr>
          <w:trHeight w:val="193"/>
        </w:trPr>
        <w:tc>
          <w:tcPr>
            <w:tcW w:w="38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left="54"/>
              <w:spacing w:after="0" w:line="194" w:lineRule="exact"/>
              <w:rPr>
                <w:sz w:val="20"/>
                <w:szCs w:val="20"/>
                <w:color w:val="auto"/>
              </w:rPr>
            </w:pPr>
            <w:r>
              <w:rPr>
                <w:rFonts w:ascii="Arial" w:cs="Arial" w:eastAsia="Arial" w:hAnsi="Arial"/>
                <w:sz w:val="18"/>
                <w:szCs w:val="18"/>
                <w:b w:val="1"/>
                <w:bCs w:val="1"/>
                <w:color w:val="auto"/>
                <w:w w:val="99"/>
              </w:rPr>
              <w:t>Three months</w:t>
            </w: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150"/>
              <w:spacing w:after="0" w:line="194" w:lineRule="exact"/>
              <w:rPr>
                <w:sz w:val="20"/>
                <w:szCs w:val="20"/>
                <w:color w:val="auto"/>
              </w:rPr>
            </w:pPr>
            <w:r>
              <w:rPr>
                <w:rFonts w:ascii="Arial" w:cs="Arial" w:eastAsia="Arial" w:hAnsi="Arial"/>
                <w:sz w:val="18"/>
                <w:szCs w:val="18"/>
                <w:color w:val="auto"/>
                <w:w w:val="99"/>
              </w:rPr>
              <w:t>Three months</w:t>
            </w: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50"/>
              <w:spacing w:after="0" w:line="194" w:lineRule="exact"/>
              <w:rPr>
                <w:sz w:val="20"/>
                <w:szCs w:val="20"/>
                <w:color w:val="auto"/>
              </w:rPr>
            </w:pPr>
            <w:r>
              <w:rPr>
                <w:rFonts w:ascii="Arial" w:cs="Arial" w:eastAsia="Arial" w:hAnsi="Arial"/>
                <w:sz w:val="18"/>
                <w:szCs w:val="18"/>
                <w:b w:val="1"/>
                <w:bCs w:val="1"/>
                <w:color w:val="auto"/>
                <w:w w:val="99"/>
              </w:rPr>
              <w:t>Nine months</w:t>
            </w: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170"/>
              <w:spacing w:after="0" w:line="194" w:lineRule="exact"/>
              <w:rPr>
                <w:sz w:val="20"/>
                <w:szCs w:val="20"/>
                <w:color w:val="auto"/>
              </w:rPr>
            </w:pPr>
            <w:r>
              <w:rPr>
                <w:rFonts w:ascii="Arial" w:cs="Arial" w:eastAsia="Arial" w:hAnsi="Arial"/>
                <w:sz w:val="18"/>
                <w:szCs w:val="18"/>
                <w:color w:val="auto"/>
                <w:w w:val="98"/>
              </w:rPr>
              <w:t>Nine months</w:t>
            </w:r>
          </w:p>
        </w:tc>
      </w:tr>
      <w:tr>
        <w:trPr>
          <w:trHeight w:val="212"/>
        </w:trPr>
        <w:tc>
          <w:tcPr>
            <w:tcW w:w="3840" w:type="dxa"/>
            <w:vAlign w:val="bottom"/>
          </w:tcPr>
          <w:p>
            <w:pPr>
              <w:spacing w:after="0"/>
              <w:rPr>
                <w:sz w:val="18"/>
                <w:szCs w:val="18"/>
                <w:color w:val="auto"/>
              </w:rPr>
            </w:pPr>
          </w:p>
        </w:tc>
        <w:tc>
          <w:tcPr>
            <w:tcW w:w="1520" w:type="dxa"/>
            <w:vAlign w:val="bottom"/>
          </w:tcPr>
          <w:p>
            <w:pPr>
              <w:jc w:val="center"/>
              <w:ind w:left="54"/>
              <w:spacing w:after="0"/>
              <w:rPr>
                <w:sz w:val="20"/>
                <w:szCs w:val="20"/>
                <w:color w:val="auto"/>
              </w:rPr>
            </w:pPr>
            <w:r>
              <w:rPr>
                <w:rFonts w:ascii="Arial" w:cs="Arial" w:eastAsia="Arial" w:hAnsi="Arial"/>
                <w:sz w:val="18"/>
                <w:szCs w:val="18"/>
                <w:b w:val="1"/>
                <w:bCs w:val="1"/>
                <w:color w:val="auto"/>
              </w:rPr>
              <w:t>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color w:val="auto"/>
                <w:w w:val="99"/>
              </w:rPr>
              <w:t>ended</w:t>
            </w:r>
          </w:p>
        </w:tc>
        <w:tc>
          <w:tcPr>
            <w:tcW w:w="18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ended</w:t>
            </w:r>
          </w:p>
        </w:tc>
        <w:tc>
          <w:tcPr>
            <w:tcW w:w="22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color w:val="auto"/>
                <w:w w:val="99"/>
              </w:rPr>
              <w:t>ended</w:t>
            </w:r>
          </w:p>
        </w:tc>
      </w:tr>
      <w:tr>
        <w:trPr>
          <w:trHeight w:val="175"/>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b w:val="1"/>
                <w:bCs w:val="1"/>
                <w:color w:val="auto"/>
              </w:rPr>
              <w:t>September 30, 2013</w:t>
            </w: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September 30, 2012</w:t>
            </w: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 2013</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September 30, 2012</w:t>
            </w:r>
          </w:p>
        </w:tc>
      </w:tr>
      <w:tr>
        <w:trPr>
          <w:trHeight w:val="426"/>
        </w:trPr>
        <w:tc>
          <w:tcPr>
            <w:tcW w:w="38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520" w:type="dxa"/>
            <w:vAlign w:val="bottom"/>
          </w:tcPr>
          <w:p>
            <w:pPr>
              <w:jc w:val="right"/>
              <w:ind w:right="121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19,774</w:t>
            </w:r>
          </w:p>
        </w:tc>
      </w:tr>
      <w:tr>
        <w:trPr>
          <w:trHeight w:val="391"/>
        </w:trPr>
        <w:tc>
          <w:tcPr>
            <w:tcW w:w="3840" w:type="dxa"/>
            <w:vAlign w:val="bottom"/>
          </w:tcPr>
          <w:p>
            <w:pPr>
              <w:ind w:left="20"/>
              <w:spacing w:after="0"/>
              <w:rPr>
                <w:sz w:val="20"/>
                <w:szCs w:val="20"/>
                <w:color w:val="auto"/>
              </w:rPr>
            </w:pPr>
            <w:r>
              <w:rPr>
                <w:rFonts w:ascii="Arial" w:cs="Arial" w:eastAsia="Arial" w:hAnsi="Arial"/>
                <w:sz w:val="18"/>
                <w:szCs w:val="18"/>
                <w:color w:val="auto"/>
              </w:rPr>
              <w:t>(Loss)/Income from operations of discontinued</w:t>
            </w:r>
          </w:p>
        </w:tc>
        <w:tc>
          <w:tcPr>
            <w:tcW w:w="15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(575)</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4,776</w:t>
            </w:r>
          </w:p>
        </w:tc>
      </w:tr>
      <w:tr>
        <w:trPr>
          <w:trHeight w:val="217"/>
        </w:trPr>
        <w:tc>
          <w:tcPr>
            <w:tcW w:w="3840" w:type="dxa"/>
            <w:vAlign w:val="bottom"/>
          </w:tcPr>
          <w:p>
            <w:pPr>
              <w:ind w:left="20"/>
              <w:spacing w:after="0"/>
              <w:rPr>
                <w:sz w:val="20"/>
                <w:szCs w:val="20"/>
                <w:color w:val="auto"/>
              </w:rPr>
            </w:pPr>
            <w:r>
              <w:rPr>
                <w:rFonts w:ascii="Arial" w:cs="Arial" w:eastAsia="Arial" w:hAnsi="Arial"/>
                <w:sz w:val="18"/>
                <w:szCs w:val="18"/>
                <w:color w:val="auto"/>
              </w:rPr>
              <w:t>business before tax</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05"/>
        </w:trPr>
        <w:tc>
          <w:tcPr>
            <w:tcW w:w="3840" w:type="dxa"/>
            <w:vAlign w:val="bottom"/>
          </w:tcPr>
          <w:p>
            <w:pPr>
              <w:ind w:left="20"/>
              <w:spacing w:after="0"/>
              <w:rPr>
                <w:sz w:val="20"/>
                <w:szCs w:val="20"/>
                <w:color w:val="auto"/>
              </w:rPr>
            </w:pPr>
            <w:r>
              <w:rPr>
                <w:rFonts w:ascii="Arial" w:cs="Arial" w:eastAsia="Arial" w:hAnsi="Arial"/>
                <w:sz w:val="18"/>
                <w:szCs w:val="18"/>
                <w:color w:val="auto"/>
              </w:rPr>
              <w:t>Gain on disposition of discontinued operations</w:t>
            </w:r>
          </w:p>
        </w:tc>
        <w:tc>
          <w:tcPr>
            <w:tcW w:w="15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92,376</w:t>
            </w:r>
          </w:p>
        </w:tc>
      </w:tr>
      <w:tr>
        <w:trPr>
          <w:trHeight w:val="392"/>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(benefit)/expense</w:t>
            </w: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25,570</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50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Three months ended</w:t>
            </w:r>
          </w:p>
        </w:tc>
        <w:tc>
          <w:tcPr>
            <w:tcW w:w="220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Nine months ended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020" w:type="dxa"/>
            <w:vAlign w:val="bottom"/>
            <w:gridSpan w:val="2"/>
          </w:tcPr>
          <w:p>
            <w:pPr>
              <w:jc w:val="right"/>
              <w:ind w:right="570"/>
              <w:spacing w:after="0" w:line="181" w:lineRule="exact"/>
              <w:rPr>
                <w:sz w:val="20"/>
                <w:szCs w:val="20"/>
                <w:color w:val="auto"/>
              </w:rPr>
            </w:pPr>
            <w:r>
              <w:rPr>
                <w:rFonts w:ascii="Arial" w:cs="Arial" w:eastAsia="Arial" w:hAnsi="Arial"/>
                <w:sz w:val="18"/>
                <w:szCs w:val="18"/>
                <w:color w:val="auto"/>
              </w:rPr>
              <w:t>September 30,</w:t>
            </w:r>
          </w:p>
        </w:tc>
        <w:tc>
          <w:tcPr>
            <w:tcW w:w="2200" w:type="dxa"/>
            <w:vAlign w:val="bottom"/>
            <w:gridSpan w:val="2"/>
          </w:tcPr>
          <w:p>
            <w:pPr>
              <w:jc w:val="right"/>
              <w:ind w:right="490"/>
              <w:spacing w:after="0" w:line="181" w:lineRule="exact"/>
              <w:rPr>
                <w:sz w:val="20"/>
                <w:szCs w:val="20"/>
                <w:color w:val="auto"/>
              </w:rPr>
            </w:pPr>
            <w:r>
              <w:rPr>
                <w:rFonts w:ascii="Arial" w:cs="Arial" w:eastAsia="Arial" w:hAnsi="Arial"/>
                <w:sz w:val="18"/>
                <w:szCs w:val="18"/>
                <w:color w:val="auto"/>
              </w:rPr>
              <w:t>September 30,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1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060" w:type="dxa"/>
            <w:vAlign w:val="bottom"/>
          </w:tcPr>
          <w:p>
            <w:pPr>
              <w:ind w:left="100"/>
              <w:spacing w:after="0"/>
              <w:rPr>
                <w:sz w:val="20"/>
                <w:szCs w:val="20"/>
                <w:color w:val="auto"/>
              </w:rPr>
            </w:pPr>
            <w:r>
              <w:rPr>
                <w:rFonts w:ascii="Arial" w:cs="Arial" w:eastAsia="Arial" w:hAnsi="Arial"/>
                <w:sz w:val="18"/>
                <w:szCs w:val="18"/>
                <w:b w:val="1"/>
                <w:bCs w:val="1"/>
                <w:color w:val="auto"/>
              </w:rPr>
              <w:t>Net sales</w:t>
            </w:r>
          </w:p>
        </w:tc>
        <w:tc>
          <w:tcPr>
            <w:tcW w:w="18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$162,864</w:t>
            </w:r>
          </w:p>
        </w:tc>
        <w:tc>
          <w:tcPr>
            <w:tcW w:w="1140" w:type="dxa"/>
            <w:vAlign w:val="bottom"/>
          </w:tcPr>
          <w:p>
            <w:pPr>
              <w:spacing w:after="0"/>
              <w:rPr>
                <w:sz w:val="20"/>
                <w:szCs w:val="20"/>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$507,809</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5060" w:type="dxa"/>
            <w:vAlign w:val="bottom"/>
          </w:tcPr>
          <w:p>
            <w:pPr>
              <w:ind w:left="100"/>
              <w:spacing w:after="0" w:line="181" w:lineRule="exact"/>
              <w:rPr>
                <w:sz w:val="20"/>
                <w:szCs w:val="20"/>
                <w:color w:val="auto"/>
              </w:rPr>
            </w:pPr>
            <w:r>
              <w:rPr>
                <w:rFonts w:ascii="Arial" w:cs="Arial" w:eastAsia="Arial" w:hAnsi="Arial"/>
                <w:sz w:val="18"/>
                <w:szCs w:val="18"/>
                <w:color w:val="auto"/>
              </w:rPr>
              <w:t>Machine Clothing (MC)</w:t>
            </w:r>
          </w:p>
        </w:tc>
        <w:tc>
          <w:tcPr>
            <w:tcW w:w="1880" w:type="dxa"/>
            <w:vAlign w:val="bottom"/>
            <w:vMerge w:val="continue"/>
          </w:tcPr>
          <w:p>
            <w:pPr>
              <w:spacing w:after="0"/>
              <w:rPr>
                <w:sz w:val="15"/>
                <w:szCs w:val="15"/>
                <w:color w:val="auto"/>
              </w:rPr>
            </w:pPr>
          </w:p>
        </w:tc>
        <w:tc>
          <w:tcPr>
            <w:tcW w:w="114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$177,471</w:t>
            </w:r>
          </w:p>
        </w:tc>
        <w:tc>
          <w:tcPr>
            <w:tcW w:w="1120" w:type="dxa"/>
            <w:vAlign w:val="bottom"/>
            <w:vMerge w:val="continue"/>
          </w:tcPr>
          <w:p>
            <w:pPr>
              <w:spacing w:after="0"/>
              <w:rPr>
                <w:sz w:val="15"/>
                <w:szCs w:val="15"/>
                <w:color w:val="auto"/>
              </w:rPr>
            </w:pPr>
          </w:p>
        </w:tc>
        <w:tc>
          <w:tcPr>
            <w:tcW w:w="10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$518,881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Engineered Composites (AEC)</w:t>
            </w:r>
          </w:p>
        </w:tc>
        <w:tc>
          <w:tcPr>
            <w:tcW w:w="1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20,283</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17,118</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59,966</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47,725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0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Consolidated total</w:t>
            </w:r>
          </w:p>
        </w:tc>
        <w:tc>
          <w:tcPr>
            <w:tcW w:w="18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$183,147</w:t>
            </w:r>
          </w:p>
        </w:tc>
        <w:tc>
          <w:tcPr>
            <w:tcW w:w="11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$194,589</w:t>
            </w: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$567,775</w:t>
            </w: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$566,606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060" w:type="dxa"/>
            <w:vAlign w:val="bottom"/>
          </w:tcPr>
          <w:p>
            <w:pPr>
              <w:ind w:left="100"/>
              <w:spacing w:after="0"/>
              <w:rPr>
                <w:sz w:val="20"/>
                <w:szCs w:val="20"/>
                <w:color w:val="auto"/>
              </w:rPr>
            </w:pPr>
            <w:r>
              <w:rPr>
                <w:rFonts w:ascii="Arial" w:cs="Arial" w:eastAsia="Arial" w:hAnsi="Arial"/>
                <w:sz w:val="18"/>
                <w:szCs w:val="18"/>
                <w:b w:val="1"/>
                <w:bCs w:val="1"/>
                <w:color w:val="auto"/>
              </w:rPr>
              <w:t>Operating income/(loss)</w:t>
            </w:r>
          </w:p>
        </w:tc>
        <w:tc>
          <w:tcPr>
            <w:tcW w:w="18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$33,196</w:t>
            </w:r>
          </w:p>
        </w:tc>
        <w:tc>
          <w:tcPr>
            <w:tcW w:w="1140" w:type="dxa"/>
            <w:vAlign w:val="bottom"/>
          </w:tcPr>
          <w:p>
            <w:pPr>
              <w:spacing w:after="0"/>
              <w:rPr>
                <w:sz w:val="20"/>
                <w:szCs w:val="20"/>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$96,803</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5060" w:type="dxa"/>
            <w:vAlign w:val="bottom"/>
          </w:tcPr>
          <w:p>
            <w:pPr>
              <w:ind w:left="100"/>
              <w:spacing w:after="0" w:line="181" w:lineRule="exact"/>
              <w:rPr>
                <w:sz w:val="20"/>
                <w:szCs w:val="20"/>
                <w:color w:val="auto"/>
              </w:rPr>
            </w:pPr>
            <w:r>
              <w:rPr>
                <w:rFonts w:ascii="Arial" w:cs="Arial" w:eastAsia="Arial" w:hAnsi="Arial"/>
                <w:sz w:val="18"/>
                <w:szCs w:val="18"/>
                <w:color w:val="auto"/>
              </w:rPr>
              <w:t>Machine Clothing</w:t>
            </w:r>
          </w:p>
        </w:tc>
        <w:tc>
          <w:tcPr>
            <w:tcW w:w="1880" w:type="dxa"/>
            <w:vAlign w:val="bottom"/>
            <w:vMerge w:val="continue"/>
          </w:tcPr>
          <w:p>
            <w:pPr>
              <w:spacing w:after="0"/>
              <w:rPr>
                <w:sz w:val="15"/>
                <w:szCs w:val="15"/>
                <w:color w:val="auto"/>
              </w:rPr>
            </w:pPr>
          </w:p>
        </w:tc>
        <w:tc>
          <w:tcPr>
            <w:tcW w:w="114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$44,918</w:t>
            </w:r>
          </w:p>
        </w:tc>
        <w:tc>
          <w:tcPr>
            <w:tcW w:w="1120" w:type="dxa"/>
            <w:vAlign w:val="bottom"/>
            <w:vMerge w:val="continue"/>
          </w:tcPr>
          <w:p>
            <w:pPr>
              <w:spacing w:after="0"/>
              <w:rPr>
                <w:sz w:val="15"/>
                <w:szCs w:val="15"/>
                <w:color w:val="auto"/>
              </w:rPr>
            </w:pPr>
          </w:p>
        </w:tc>
        <w:tc>
          <w:tcPr>
            <w:tcW w:w="10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$120,760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06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18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(572)</w:t>
            </w: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(312)</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(4,460)</w:t>
            </w: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(653)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060" w:type="dxa"/>
            <w:vAlign w:val="bottom"/>
          </w:tcPr>
          <w:p>
            <w:pPr>
              <w:ind w:left="100"/>
              <w:spacing w:after="0" w:line="202" w:lineRule="exact"/>
              <w:rPr>
                <w:sz w:val="20"/>
                <w:szCs w:val="20"/>
                <w:color w:val="auto"/>
              </w:rPr>
            </w:pPr>
            <w:r>
              <w:rPr>
                <w:rFonts w:ascii="Arial" w:cs="Arial" w:eastAsia="Arial" w:hAnsi="Arial"/>
                <w:sz w:val="18"/>
                <w:szCs w:val="18"/>
                <w:color w:val="auto"/>
              </w:rPr>
              <w:t>Research expense</w:t>
            </w:r>
          </w:p>
        </w:tc>
        <w:tc>
          <w:tcPr>
            <w:tcW w:w="18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(7,418)</w:t>
            </w: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(6,734)</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(22,082)</w:t>
            </w: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(20,052)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1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(11,951)</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(14,760)</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(38,001)</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(163,856)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Operating income/(loss) before reconciling items</w:t>
            </w:r>
          </w:p>
        </w:tc>
        <w:tc>
          <w:tcPr>
            <w:tcW w:w="1880" w:type="dxa"/>
            <w:vAlign w:val="bottom"/>
          </w:tcPr>
          <w:p>
            <w:pPr>
              <w:jc w:val="right"/>
              <w:ind w:right="110"/>
              <w:spacing w:after="0"/>
              <w:rPr>
                <w:sz w:val="20"/>
                <w:szCs w:val="20"/>
                <w:color w:val="auto"/>
              </w:rPr>
            </w:pPr>
            <w:r>
              <w:rPr>
                <w:rFonts w:ascii="Arial" w:cs="Arial" w:eastAsia="Arial" w:hAnsi="Arial"/>
                <w:sz w:val="18"/>
                <w:szCs w:val="18"/>
                <w:b w:val="1"/>
                <w:bCs w:val="1"/>
                <w:color w:val="auto"/>
              </w:rPr>
              <w:t>13,255</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23,112</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32,260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(63,801)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5060" w:type="dxa"/>
            <w:vAlign w:val="bottom"/>
          </w:tcPr>
          <w:p>
            <w:pPr>
              <w:ind w:left="100"/>
              <w:spacing w:after="0" w:line="206" w:lineRule="exact"/>
              <w:rPr>
                <w:sz w:val="20"/>
                <w:szCs w:val="20"/>
                <w:color w:val="auto"/>
              </w:rPr>
            </w:pPr>
            <w:r>
              <w:rPr>
                <w:rFonts w:ascii="Arial" w:cs="Arial" w:eastAsia="Arial" w:hAnsi="Arial"/>
                <w:sz w:val="18"/>
                <w:szCs w:val="18"/>
                <w:color w:val="auto"/>
              </w:rPr>
              <w:t>Reconciling items:</w:t>
            </w:r>
          </w:p>
        </w:tc>
        <w:tc>
          <w:tcPr>
            <w:tcW w:w="18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(351)</w:t>
            </w:r>
          </w:p>
        </w:tc>
        <w:tc>
          <w:tcPr>
            <w:tcW w:w="1140" w:type="dxa"/>
            <w:vAlign w:val="bottom"/>
          </w:tcPr>
          <w:p>
            <w:pPr>
              <w:spacing w:after="0"/>
              <w:rPr>
                <w:sz w:val="17"/>
                <w:szCs w:val="17"/>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(951)</w:t>
            </w: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5060" w:type="dxa"/>
            <w:vAlign w:val="bottom"/>
          </w:tcPr>
          <w:p>
            <w:pPr>
              <w:ind w:left="140"/>
              <w:spacing w:after="0" w:line="181" w:lineRule="exact"/>
              <w:rPr>
                <w:sz w:val="20"/>
                <w:szCs w:val="20"/>
                <w:color w:val="auto"/>
              </w:rPr>
            </w:pPr>
            <w:r>
              <w:rPr>
                <w:rFonts w:ascii="Arial" w:cs="Arial" w:eastAsia="Arial" w:hAnsi="Arial"/>
                <w:sz w:val="18"/>
                <w:szCs w:val="18"/>
                <w:color w:val="auto"/>
              </w:rPr>
              <w:t>Interest income</w:t>
            </w:r>
          </w:p>
        </w:tc>
        <w:tc>
          <w:tcPr>
            <w:tcW w:w="1880" w:type="dxa"/>
            <w:vAlign w:val="bottom"/>
            <w:vMerge w:val="continue"/>
          </w:tcPr>
          <w:p>
            <w:pPr>
              <w:spacing w:after="0"/>
              <w:rPr>
                <w:sz w:val="15"/>
                <w:szCs w:val="15"/>
                <w:color w:val="auto"/>
              </w:rPr>
            </w:pPr>
          </w:p>
        </w:tc>
        <w:tc>
          <w:tcPr>
            <w:tcW w:w="114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(395)</w:t>
            </w:r>
          </w:p>
        </w:tc>
        <w:tc>
          <w:tcPr>
            <w:tcW w:w="1120" w:type="dxa"/>
            <w:vAlign w:val="bottom"/>
            <w:vMerge w:val="continue"/>
          </w:tcPr>
          <w:p>
            <w:pPr>
              <w:spacing w:after="0"/>
              <w:rPr>
                <w:sz w:val="15"/>
                <w:szCs w:val="15"/>
                <w:color w:val="auto"/>
              </w:rPr>
            </w:pPr>
          </w:p>
        </w:tc>
        <w:tc>
          <w:tcPr>
            <w:tcW w:w="10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(1,000)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06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w:t>
            </w:r>
          </w:p>
        </w:tc>
        <w:tc>
          <w:tcPr>
            <w:tcW w:w="18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3,835</w:t>
            </w: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4,392</w:t>
            </w: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12,007</w:t>
            </w: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13,610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expense/ (income), net</w:t>
            </w:r>
          </w:p>
        </w:tc>
        <w:tc>
          <w:tcPr>
            <w:tcW w:w="1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2,692</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3,069</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5,637</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5,062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0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Income/(loss) from continuing operations before income taxes</w:t>
            </w:r>
          </w:p>
        </w:tc>
        <w:tc>
          <w:tcPr>
            <w:tcW w:w="18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$7,079</w:t>
            </w:r>
          </w:p>
        </w:tc>
        <w:tc>
          <w:tcPr>
            <w:tcW w:w="11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$16,046</w:t>
            </w: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$15,567</w:t>
            </w: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($81,473)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5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80" w:type="dxa"/>
            <w:vAlign w:val="bottom"/>
          </w:tcPr>
          <w:p>
            <w:pPr>
              <w:jc w:val="right"/>
              <w:ind w:right="1670"/>
              <w:spacing w:after="0"/>
              <w:rPr>
                <w:sz w:val="20"/>
                <w:szCs w:val="20"/>
                <w:color w:val="auto"/>
              </w:rPr>
            </w:pPr>
            <w:r>
              <w:rPr>
                <w:rFonts w:ascii="Arial" w:cs="Arial" w:eastAsia="Arial" w:hAnsi="Arial"/>
                <w:sz w:val="18"/>
                <w:szCs w:val="18"/>
                <w:color w:val="auto"/>
                <w:w w:val="99"/>
              </w:rPr>
              <w:t>8</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50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580" w:type="dxa"/>
            <w:vAlign w:val="bottom"/>
            <w:shd w:val="clear" w:color="auto" w:fill="000000"/>
          </w:tcPr>
          <w:p>
            <w:pPr>
              <w:spacing w:after="0"/>
              <w:rPr>
                <w:sz w:val="5"/>
                <w:szCs w:val="5"/>
                <w:color w:val="auto"/>
              </w:rPr>
            </w:pPr>
          </w:p>
        </w:tc>
        <w:tc>
          <w:tcPr>
            <w:tcW w:w="5060" w:type="dxa"/>
            <w:vAlign w:val="bottom"/>
            <w:shd w:val="clear" w:color="auto" w:fill="000000"/>
          </w:tcPr>
          <w:p>
            <w:pPr>
              <w:spacing w:after="0"/>
              <w:rPr>
                <w:sz w:val="5"/>
                <w:szCs w:val="5"/>
                <w:color w:val="auto"/>
              </w:rPr>
            </w:pPr>
          </w:p>
        </w:tc>
        <w:tc>
          <w:tcPr>
            <w:tcW w:w="18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8" w:name="page9"/>
    <w:bookmarkEnd w:id="8"/>
    <w:p>
      <w:pPr>
        <w:ind w:right="120" w:firstLine="648"/>
        <w:spacing w:after="0" w:line="246" w:lineRule="auto"/>
        <w:rPr>
          <w:sz w:val="20"/>
          <w:szCs w:val="20"/>
          <w:color w:val="auto"/>
        </w:rPr>
      </w:pPr>
      <w:r>
        <w:rPr>
          <w:rFonts w:ascii="Arial" w:cs="Arial" w:eastAsia="Arial" w:hAnsi="Arial"/>
          <w:sz w:val="18"/>
          <w:szCs w:val="18"/>
          <w:color w:val="auto"/>
        </w:rPr>
        <w:t>The table below presents charges related to a 2012 initiative to settle pension liabilities and restructuring costs by reportable segment (also see Note 5):</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3620" w:type="dxa"/>
            <w:vAlign w:val="bottom"/>
            <w:tcBorders>
              <w:top w:val="single" w:sz="8" w:color="auto"/>
            </w:tcBorders>
          </w:tcPr>
          <w:p>
            <w:pPr>
              <w:spacing w:after="0"/>
              <w:rPr>
                <w:sz w:val="18"/>
                <w:szCs w:val="18"/>
                <w:color w:val="auto"/>
              </w:rPr>
            </w:pPr>
          </w:p>
        </w:tc>
        <w:tc>
          <w:tcPr>
            <w:tcW w:w="3860" w:type="dxa"/>
            <w:vAlign w:val="bottom"/>
            <w:tcBorders>
              <w:top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Three months ended</w:t>
            </w:r>
          </w:p>
        </w:tc>
        <w:tc>
          <w:tcPr>
            <w:tcW w:w="280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Nine months ended September</w:t>
            </w: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3860" w:type="dxa"/>
            <w:vAlign w:val="bottom"/>
            <w:gridSpan w:val="3"/>
          </w:tcPr>
          <w:p>
            <w:pPr>
              <w:jc w:val="right"/>
              <w:ind w:right="550"/>
              <w:spacing w:after="0" w:line="181" w:lineRule="exact"/>
              <w:rPr>
                <w:sz w:val="20"/>
                <w:szCs w:val="20"/>
                <w:color w:val="auto"/>
              </w:rPr>
            </w:pPr>
            <w:r>
              <w:rPr>
                <w:rFonts w:ascii="Arial" w:cs="Arial" w:eastAsia="Arial" w:hAnsi="Arial"/>
                <w:sz w:val="18"/>
                <w:szCs w:val="18"/>
                <w:color w:val="auto"/>
              </w:rPr>
              <w:t>September 30,</w:t>
            </w:r>
          </w:p>
        </w:tc>
        <w:tc>
          <w:tcPr>
            <w:tcW w:w="560" w:type="dxa"/>
            <w:vAlign w:val="bottom"/>
          </w:tcPr>
          <w:p>
            <w:pPr>
              <w:spacing w:after="0"/>
              <w:rPr>
                <w:sz w:val="15"/>
                <w:szCs w:val="15"/>
                <w:color w:val="auto"/>
              </w:rPr>
            </w:pPr>
          </w:p>
        </w:tc>
        <w:tc>
          <w:tcPr>
            <w:tcW w:w="1100" w:type="dxa"/>
            <w:vAlign w:val="bottom"/>
          </w:tcPr>
          <w:p>
            <w:pPr>
              <w:jc w:val="right"/>
              <w:ind w:right="70"/>
              <w:spacing w:after="0" w:line="181" w:lineRule="exact"/>
              <w:rPr>
                <w:sz w:val="20"/>
                <w:szCs w:val="20"/>
                <w:color w:val="auto"/>
              </w:rPr>
            </w:pPr>
            <w:r>
              <w:rPr>
                <w:rFonts w:ascii="Arial" w:cs="Arial" w:eastAsia="Arial" w:hAnsi="Arial"/>
                <w:sz w:val="18"/>
                <w:szCs w:val="18"/>
                <w:color w:val="auto"/>
              </w:rPr>
              <w:t>30,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2940" w:type="dxa"/>
            <w:vAlign w:val="bottom"/>
            <w:tcBorders>
              <w:bottom w:val="single" w:sz="8" w:color="auto"/>
            </w:tcBorders>
            <w:gridSpan w:val="2"/>
          </w:tcPr>
          <w:p>
            <w:pPr>
              <w:jc w:val="center"/>
              <w:ind w:left="1010"/>
              <w:spacing w:after="0"/>
              <w:rPr>
                <w:sz w:val="20"/>
                <w:szCs w:val="20"/>
                <w:color w:val="auto"/>
              </w:rPr>
            </w:pPr>
            <w:r>
              <w:rPr>
                <w:rFonts w:ascii="Arial" w:cs="Arial" w:eastAsia="Arial" w:hAnsi="Arial"/>
                <w:sz w:val="18"/>
                <w:szCs w:val="18"/>
                <w:b w:val="1"/>
                <w:bCs w:val="1"/>
                <w:color w:val="auto"/>
                <w:w w:val="99"/>
              </w:rPr>
              <w:t>2013</w:t>
            </w: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66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36"/>
        </w:trPr>
        <w:tc>
          <w:tcPr>
            <w:tcW w:w="3620" w:type="dxa"/>
            <w:vAlign w:val="bottom"/>
          </w:tcPr>
          <w:p>
            <w:pPr>
              <w:ind w:left="100"/>
              <w:spacing w:after="0"/>
              <w:rPr>
                <w:sz w:val="20"/>
                <w:szCs w:val="20"/>
                <w:color w:val="auto"/>
              </w:rPr>
            </w:pPr>
            <w:r>
              <w:rPr>
                <w:rFonts w:ascii="Arial" w:cs="Arial" w:eastAsia="Arial" w:hAnsi="Arial"/>
                <w:sz w:val="18"/>
                <w:szCs w:val="18"/>
                <w:b w:val="1"/>
                <w:bCs w:val="1"/>
                <w:color w:val="auto"/>
              </w:rPr>
              <w:t>Pension settlement</w:t>
            </w:r>
          </w:p>
        </w:tc>
        <w:tc>
          <w:tcPr>
            <w:tcW w:w="20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5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Unallocated expenses</w:t>
            </w:r>
          </w:p>
        </w:tc>
        <w:tc>
          <w:tcPr>
            <w:tcW w:w="20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119,735</w:t>
            </w:r>
          </w:p>
        </w:tc>
        <w:tc>
          <w:tcPr>
            <w:tcW w:w="0" w:type="dxa"/>
            <w:vAlign w:val="bottom"/>
          </w:tcPr>
          <w:p>
            <w:pPr>
              <w:spacing w:after="0"/>
              <w:rPr>
                <w:sz w:val="1"/>
                <w:szCs w:val="1"/>
                <w:color w:val="auto"/>
              </w:rPr>
            </w:pPr>
          </w:p>
        </w:tc>
      </w:tr>
      <w:tr>
        <w:trPr>
          <w:trHeight w:val="479"/>
        </w:trPr>
        <w:tc>
          <w:tcPr>
            <w:tcW w:w="3620" w:type="dxa"/>
            <w:vAlign w:val="bottom"/>
          </w:tcPr>
          <w:p>
            <w:pPr>
              <w:ind w:left="100"/>
              <w:spacing w:after="0"/>
              <w:rPr>
                <w:sz w:val="20"/>
                <w:szCs w:val="20"/>
                <w:color w:val="auto"/>
              </w:rPr>
            </w:pPr>
            <w:r>
              <w:rPr>
                <w:rFonts w:ascii="Arial" w:cs="Arial" w:eastAsia="Arial" w:hAnsi="Arial"/>
                <w:sz w:val="18"/>
                <w:szCs w:val="18"/>
                <w:b w:val="1"/>
                <w:bCs w:val="1"/>
                <w:color w:val="auto"/>
              </w:rPr>
              <w:t>Restructuring expense</w:t>
            </w:r>
          </w:p>
        </w:tc>
        <w:tc>
          <w:tcPr>
            <w:tcW w:w="2080" w:type="dxa"/>
            <w:vAlign w:val="bottom"/>
            <w:vMerge w:val="restart"/>
          </w:tcPr>
          <w:p>
            <w:pPr>
              <w:jc w:val="center"/>
              <w:ind w:left="189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w w:val="93"/>
              </w:rPr>
              <w:t>2,250</w:t>
            </w:r>
          </w:p>
        </w:tc>
        <w:tc>
          <w:tcPr>
            <w:tcW w:w="92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w w:val="94"/>
              </w:rPr>
              <w:t>26,673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100"/>
              <w:spacing w:after="0" w:line="181" w:lineRule="exact"/>
              <w:rPr>
                <w:sz w:val="20"/>
                <w:szCs w:val="20"/>
                <w:color w:val="auto"/>
              </w:rPr>
            </w:pPr>
            <w:r>
              <w:rPr>
                <w:rFonts w:ascii="Arial" w:cs="Arial" w:eastAsia="Arial" w:hAnsi="Arial"/>
                <w:sz w:val="18"/>
                <w:szCs w:val="18"/>
                <w:color w:val="auto"/>
              </w:rPr>
              <w:t>Machine Clothing</w:t>
            </w:r>
          </w:p>
        </w:tc>
        <w:tc>
          <w:tcPr>
            <w:tcW w:w="20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20" w:type="dxa"/>
            <w:vAlign w:val="bottom"/>
          </w:tcPr>
          <w:p>
            <w:pPr>
              <w:jc w:val="right"/>
              <w:ind w:right="30"/>
              <w:spacing w:after="0" w:line="181" w:lineRule="exact"/>
              <w:rPr>
                <w:sz w:val="20"/>
                <w:szCs w:val="20"/>
                <w:color w:val="auto"/>
              </w:rPr>
            </w:pPr>
            <w:r>
              <w:rPr>
                <w:rFonts w:ascii="Arial" w:cs="Arial" w:eastAsia="Arial" w:hAnsi="Arial"/>
                <w:sz w:val="18"/>
                <w:szCs w:val="18"/>
                <w:color w:val="auto"/>
              </w:rPr>
              <w:t>$2,739</w:t>
            </w:r>
          </w:p>
        </w:tc>
        <w:tc>
          <w:tcPr>
            <w:tcW w:w="5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40" w:type="dxa"/>
            <w:vAlign w:val="bottom"/>
          </w:tcPr>
          <w:p>
            <w:pPr>
              <w:jc w:val="right"/>
              <w:ind w:right="30"/>
              <w:spacing w:after="0" w:line="181" w:lineRule="exact"/>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2080" w:type="dxa"/>
            <w:vAlign w:val="bottom"/>
          </w:tcPr>
          <w:p>
            <w:pPr>
              <w:spacing w:after="0"/>
              <w:rPr>
                <w:sz w:val="17"/>
                <w:szCs w:val="17"/>
                <w:color w:val="auto"/>
              </w:rPr>
            </w:pPr>
          </w:p>
        </w:tc>
        <w:tc>
          <w:tcPr>
            <w:tcW w:w="8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6</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0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540</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2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Consolidated total</w:t>
            </w:r>
          </w:p>
        </w:tc>
        <w:tc>
          <w:tcPr>
            <w:tcW w:w="2080" w:type="dxa"/>
            <w:vAlign w:val="bottom"/>
            <w:tcBorders>
              <w:bottom w:val="single" w:sz="8" w:color="auto"/>
            </w:tcBorders>
          </w:tcPr>
          <w:p>
            <w:pPr>
              <w:jc w:val="center"/>
              <w:ind w:left="1890"/>
              <w:spacing w:after="0" w:line="196" w:lineRule="exact"/>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w w:val="93"/>
              </w:rPr>
              <w:t>2,256</w:t>
            </w:r>
          </w:p>
        </w:tc>
        <w:tc>
          <w:tcPr>
            <w:tcW w:w="9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$2,739</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w w:val="94"/>
              </w:rPr>
              <w:t>27,213</w:t>
            </w: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Substantially all of the restructuring charges recorded during the first nine months of 2013 relate to the completion of consultations with employee works councils in Sélestat and St. Junien, France, which will result in the reduction of approximately 200 employees, most of which will leave the Company during the fourth quarter of 2013. The restructuring program was driven by the Company’s need to balance manufacturing capacity and demand.</w:t>
      </w:r>
    </w:p>
    <w:p>
      <w:pPr>
        <w:spacing w:after="0" w:line="188"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Through the first nine months of 2013, the Company incurred some restructuring costs in the Engineered Composites segment that were related to organizational changes and exiting certain aerospace programs.</w:t>
      </w:r>
    </w:p>
    <w:p>
      <w:pPr>
        <w:spacing w:after="0" w:line="183" w:lineRule="exact"/>
        <w:rPr>
          <w:sz w:val="20"/>
          <w:szCs w:val="20"/>
          <w:color w:val="auto"/>
        </w:rPr>
      </w:pPr>
    </w:p>
    <w:p>
      <w:pPr>
        <w:jc w:val="both"/>
        <w:ind w:right="80" w:firstLine="648"/>
        <w:spacing w:after="0"/>
        <w:rPr>
          <w:sz w:val="20"/>
          <w:szCs w:val="20"/>
          <w:color w:val="auto"/>
        </w:rPr>
      </w:pPr>
      <w:r>
        <w:rPr>
          <w:rFonts w:ascii="Arial" w:cs="Arial" w:eastAsia="Arial" w:hAnsi="Arial"/>
          <w:sz w:val="18"/>
          <w:szCs w:val="18"/>
          <w:color w:val="auto"/>
        </w:rPr>
        <w:t>2012 restructuring expenses were principally due to a reduction in workforce in Sweden and curtailment of manufacturing in New York and Wisconsin, driven by lower demand for paper machine clothing. Those costs were partially offset by a reduction in accruals related to the Company’s headquarters.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material changes in the total assets of the reportable segments during this period.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89"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89"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medical and dental benefits if they reach normal retirement age while working for the Company. Benefits provided under this plan are subject to change. Retirees share in the cost of these benefits. Effective January 2005, any new employees who wish to be covered under this plan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9" w:name="page10"/>
    <w:bookmarkEnd w:id="9"/>
    <w:p>
      <w:pPr>
        <w:ind w:right="80"/>
        <w:spacing w:after="0" w:line="246" w:lineRule="auto"/>
        <w:rPr>
          <w:sz w:val="20"/>
          <w:szCs w:val="20"/>
          <w:color w:val="auto"/>
        </w:rPr>
      </w:pPr>
      <w:r>
        <w:rPr>
          <w:rFonts w:ascii="Arial" w:cs="Arial" w:eastAsia="Arial" w:hAnsi="Arial"/>
          <w:sz w:val="18"/>
          <w:szCs w:val="18"/>
          <w:color w:val="auto"/>
        </w:rPr>
        <w:t>will be responsible for the full cost of such benefits. In 2008, we changed the cost sharing arrangement under this program such that increases in health care costs are the responsibility of plan participants.</w:t>
      </w:r>
    </w:p>
    <w:p>
      <w:pPr>
        <w:spacing w:after="0" w:line="156"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In the third quarter of 2013, we reduced the U.S. postretirement life insurance benefit for retirees and eliminated that benefit for active employees, which resulted in a reduction to plan liabilities of $8.0 million, and expense for the third quarter of 2013 was reduced by $0.2 million. Prior to calculating the effect of this benefit change, we remeasured the plan liabilities. Compared to the actuarial assumptions used for calculating liabilities at December 31, 2012, we increased the discount rate from 3.93 percent to 4.85 percent and updated our participant data to reflect reduced participation. These changes reduced plan liabilities by $14.4 million.</w:t>
      </w:r>
    </w:p>
    <w:p>
      <w:pPr>
        <w:spacing w:after="0" w:line="176"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The Company accrues the cost of providing postretirement benefits during the active service period of the employees. The Company currently funds the plan as claims are paid.</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composition of the net periodic benefit plan cost for the nine months ended September 30, 2013 and 2012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Pension plans</w:t>
            </w:r>
          </w:p>
        </w:tc>
        <w:tc>
          <w:tcPr>
            <w:tcW w:w="1300" w:type="dxa"/>
            <w:vAlign w:val="bottom"/>
          </w:tcPr>
          <w:p>
            <w:pPr>
              <w:spacing w:after="0"/>
              <w:rPr>
                <w:sz w:val="17"/>
                <w:szCs w:val="17"/>
                <w:color w:val="auto"/>
              </w:rPr>
            </w:pPr>
          </w:p>
        </w:tc>
        <w:tc>
          <w:tcPr>
            <w:tcW w:w="3140" w:type="dxa"/>
            <w:vAlign w:val="bottom"/>
            <w:gridSpan w:val="2"/>
          </w:tcPr>
          <w:p>
            <w:pPr>
              <w:jc w:val="right"/>
              <w:ind w:right="330"/>
              <w:spacing w:after="0"/>
              <w:rPr>
                <w:sz w:val="20"/>
                <w:szCs w:val="20"/>
                <w:color w:val="auto"/>
              </w:rPr>
            </w:pPr>
            <w:r>
              <w:rPr>
                <w:rFonts w:ascii="Arial" w:cs="Arial" w:eastAsia="Arial" w:hAnsi="Arial"/>
                <w:sz w:val="18"/>
                <w:szCs w:val="18"/>
                <w:color w:val="auto"/>
              </w:rPr>
              <w:t>Other postretirement benefits</w:t>
            </w:r>
          </w:p>
        </w:tc>
      </w:tr>
      <w:tr>
        <w:trPr>
          <w:trHeight w:val="225"/>
        </w:trPr>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26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2013</w:t>
            </w:r>
          </w:p>
        </w:tc>
        <w:tc>
          <w:tcPr>
            <w:tcW w:w="13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4"/>
              </w:rPr>
              <w:t>2012</w:t>
            </w:r>
          </w:p>
        </w:tc>
        <w:tc>
          <w:tcPr>
            <w:tcW w:w="18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2012</w:t>
            </w:r>
          </w:p>
        </w:tc>
      </w:tr>
      <w:tr>
        <w:trPr>
          <w:trHeight w:val="493"/>
        </w:trPr>
        <w:tc>
          <w:tcPr>
            <w:tcW w:w="4360" w:type="dxa"/>
            <w:vAlign w:val="bottom"/>
          </w:tcPr>
          <w:p>
            <w:pPr>
              <w:ind w:left="100"/>
              <w:spacing w:after="0"/>
              <w:rPr>
                <w:sz w:val="20"/>
                <w:szCs w:val="20"/>
                <w:color w:val="auto"/>
              </w:rPr>
            </w:pPr>
            <w:r>
              <w:rPr>
                <w:rFonts w:ascii="Arial" w:cs="Arial" w:eastAsia="Arial" w:hAnsi="Arial"/>
                <w:sz w:val="18"/>
                <w:szCs w:val="18"/>
                <w:color w:val="auto"/>
              </w:rPr>
              <w:t>Components of net periodic benefit cost:</w:t>
            </w:r>
          </w:p>
        </w:tc>
        <w:tc>
          <w:tcPr>
            <w:tcW w:w="2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4360" w:type="dxa"/>
            <w:vAlign w:val="bottom"/>
          </w:tcPr>
          <w:p>
            <w:pPr>
              <w:ind w:left="100"/>
              <w:spacing w:after="0"/>
              <w:rPr>
                <w:sz w:val="20"/>
                <w:szCs w:val="20"/>
                <w:color w:val="auto"/>
              </w:rPr>
            </w:pPr>
            <w:r>
              <w:rPr>
                <w:rFonts w:ascii="Arial" w:cs="Arial" w:eastAsia="Arial" w:hAnsi="Arial"/>
                <w:sz w:val="18"/>
                <w:szCs w:val="18"/>
                <w:color w:val="auto"/>
              </w:rPr>
              <w:t>Service cost</w:t>
            </w:r>
          </w:p>
        </w:tc>
        <w:tc>
          <w:tcPr>
            <w:tcW w:w="2620" w:type="dxa"/>
            <w:vAlign w:val="bottom"/>
          </w:tcPr>
          <w:p>
            <w:pPr>
              <w:jc w:val="right"/>
              <w:ind w:right="590"/>
              <w:spacing w:after="0"/>
              <w:rPr>
                <w:sz w:val="20"/>
                <w:szCs w:val="20"/>
                <w:color w:val="auto"/>
              </w:rPr>
            </w:pPr>
            <w:r>
              <w:rPr>
                <w:rFonts w:ascii="Arial" w:cs="Arial" w:eastAsia="Arial" w:hAnsi="Arial"/>
                <w:sz w:val="18"/>
                <w:szCs w:val="18"/>
                <w:b w:val="1"/>
                <w:bCs w:val="1"/>
                <w:color w:val="auto"/>
              </w:rPr>
              <w:t>$2,526</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$54</w:t>
            </w: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$789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$804</w:t>
            </w:r>
          </w:p>
        </w:tc>
      </w:tr>
      <w:tr>
        <w:trPr>
          <w:trHeight w:val="243"/>
        </w:trPr>
        <w:tc>
          <w:tcPr>
            <w:tcW w:w="4360" w:type="dxa"/>
            <w:vAlign w:val="bottom"/>
          </w:tcPr>
          <w:p>
            <w:pPr>
              <w:ind w:left="100"/>
              <w:spacing w:after="0"/>
              <w:rPr>
                <w:sz w:val="20"/>
                <w:szCs w:val="20"/>
                <w:color w:val="auto"/>
              </w:rPr>
            </w:pPr>
            <w:r>
              <w:rPr>
                <w:rFonts w:ascii="Arial" w:cs="Arial" w:eastAsia="Arial" w:hAnsi="Arial"/>
                <w:sz w:val="18"/>
                <w:szCs w:val="18"/>
                <w:color w:val="auto"/>
              </w:rPr>
              <w:t>Interest cost</w:t>
            </w:r>
          </w:p>
        </w:tc>
        <w:tc>
          <w:tcPr>
            <w:tcW w:w="2620" w:type="dxa"/>
            <w:vAlign w:val="bottom"/>
          </w:tcPr>
          <w:p>
            <w:pPr>
              <w:jc w:val="right"/>
              <w:ind w:right="590"/>
              <w:spacing w:after="0"/>
              <w:rPr>
                <w:sz w:val="20"/>
                <w:szCs w:val="20"/>
                <w:color w:val="auto"/>
              </w:rPr>
            </w:pPr>
            <w:r>
              <w:rPr>
                <w:rFonts w:ascii="Arial" w:cs="Arial" w:eastAsia="Arial" w:hAnsi="Arial"/>
                <w:sz w:val="18"/>
                <w:szCs w:val="18"/>
                <w:b w:val="1"/>
                <w:bCs w:val="1"/>
                <w:color w:val="auto"/>
              </w:rPr>
              <w:t>5,999</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9,824</w:t>
            </w: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2,374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2,766</w:t>
            </w:r>
          </w:p>
        </w:tc>
      </w:tr>
      <w:tr>
        <w:trPr>
          <w:trHeight w:val="243"/>
        </w:trPr>
        <w:tc>
          <w:tcPr>
            <w:tcW w:w="4360" w:type="dxa"/>
            <w:vAlign w:val="bottom"/>
          </w:tcPr>
          <w:p>
            <w:pPr>
              <w:ind w:left="100"/>
              <w:spacing w:after="0"/>
              <w:rPr>
                <w:sz w:val="20"/>
                <w:szCs w:val="20"/>
                <w:color w:val="auto"/>
              </w:rPr>
            </w:pPr>
            <w:r>
              <w:rPr>
                <w:rFonts w:ascii="Arial" w:cs="Arial" w:eastAsia="Arial" w:hAnsi="Arial"/>
                <w:sz w:val="18"/>
                <w:szCs w:val="18"/>
                <w:color w:val="auto"/>
              </w:rPr>
              <w:t>Expected return on assets</w:t>
            </w:r>
          </w:p>
        </w:tc>
        <w:tc>
          <w:tcPr>
            <w:tcW w:w="2620" w:type="dxa"/>
            <w:vAlign w:val="bottom"/>
          </w:tcPr>
          <w:p>
            <w:pPr>
              <w:jc w:val="right"/>
              <w:ind w:right="590"/>
              <w:spacing w:after="0"/>
              <w:rPr>
                <w:sz w:val="20"/>
                <w:szCs w:val="20"/>
                <w:color w:val="auto"/>
              </w:rPr>
            </w:pPr>
            <w:r>
              <w:rPr>
                <w:rFonts w:ascii="Arial" w:cs="Arial" w:eastAsia="Arial" w:hAnsi="Arial"/>
                <w:sz w:val="18"/>
                <w:szCs w:val="18"/>
                <w:b w:val="1"/>
                <w:bCs w:val="1"/>
                <w:color w:val="auto"/>
              </w:rPr>
              <w:t>(6,103)</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(9,436)</w:t>
            </w: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100"/>
              <w:spacing w:after="0"/>
              <w:rPr>
                <w:sz w:val="20"/>
                <w:szCs w:val="20"/>
                <w:color w:val="auto"/>
              </w:rPr>
            </w:pPr>
            <w:r>
              <w:rPr>
                <w:rFonts w:ascii="Arial" w:cs="Arial" w:eastAsia="Arial" w:hAnsi="Arial"/>
                <w:sz w:val="18"/>
                <w:szCs w:val="18"/>
                <w:color w:val="auto"/>
              </w:rPr>
              <w:t>Amortization of prior service cost/(credit)</w:t>
            </w:r>
          </w:p>
        </w:tc>
        <w:tc>
          <w:tcPr>
            <w:tcW w:w="2620" w:type="dxa"/>
            <w:vAlign w:val="bottom"/>
          </w:tcPr>
          <w:p>
            <w:pPr>
              <w:jc w:val="right"/>
              <w:ind w:right="590"/>
              <w:spacing w:after="0"/>
              <w:rPr>
                <w:sz w:val="20"/>
                <w:szCs w:val="20"/>
                <w:color w:val="auto"/>
              </w:rPr>
            </w:pPr>
            <w:r>
              <w:rPr>
                <w:rFonts w:ascii="Arial" w:cs="Arial" w:eastAsia="Arial" w:hAnsi="Arial"/>
                <w:sz w:val="18"/>
                <w:szCs w:val="18"/>
                <w:b w:val="1"/>
                <w:bCs w:val="1"/>
                <w:color w:val="auto"/>
              </w:rPr>
              <w:t>27</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339</w:t>
            </w: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(2,818)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(2,751)</w:t>
            </w:r>
          </w:p>
        </w:tc>
      </w:tr>
      <w:tr>
        <w:trPr>
          <w:trHeight w:val="243"/>
        </w:trPr>
        <w:tc>
          <w:tcPr>
            <w:tcW w:w="4360" w:type="dxa"/>
            <w:vAlign w:val="bottom"/>
          </w:tcPr>
          <w:p>
            <w:pPr>
              <w:ind w:left="100"/>
              <w:spacing w:after="0"/>
              <w:rPr>
                <w:sz w:val="20"/>
                <w:szCs w:val="20"/>
                <w:color w:val="auto"/>
              </w:rPr>
            </w:pPr>
            <w:r>
              <w:rPr>
                <w:rFonts w:ascii="Arial" w:cs="Arial" w:eastAsia="Arial" w:hAnsi="Arial"/>
                <w:sz w:val="18"/>
                <w:szCs w:val="18"/>
                <w:color w:val="auto"/>
              </w:rPr>
              <w:t>Amortization of transition obligation</w:t>
            </w:r>
          </w:p>
        </w:tc>
        <w:tc>
          <w:tcPr>
            <w:tcW w:w="2620" w:type="dxa"/>
            <w:vAlign w:val="bottom"/>
          </w:tcPr>
          <w:p>
            <w:pPr>
              <w:jc w:val="right"/>
              <w:ind w:right="590"/>
              <w:spacing w:after="0"/>
              <w:rPr>
                <w:sz w:val="20"/>
                <w:szCs w:val="20"/>
                <w:color w:val="auto"/>
              </w:rPr>
            </w:pPr>
            <w:r>
              <w:rPr>
                <w:rFonts w:ascii="Arial" w:cs="Arial" w:eastAsia="Arial" w:hAnsi="Arial"/>
                <w:sz w:val="18"/>
                <w:szCs w:val="18"/>
                <w:b w:val="1"/>
                <w:bCs w:val="1"/>
                <w:color w:val="auto"/>
              </w:rPr>
              <w:t>51</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59</w:t>
            </w: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100"/>
              <w:spacing w:after="0"/>
              <w:rPr>
                <w:sz w:val="20"/>
                <w:szCs w:val="20"/>
                <w:color w:val="auto"/>
              </w:rPr>
            </w:pPr>
            <w:r>
              <w:rPr>
                <w:rFonts w:ascii="Arial" w:cs="Arial" w:eastAsia="Arial" w:hAnsi="Arial"/>
                <w:sz w:val="18"/>
                <w:szCs w:val="18"/>
                <w:color w:val="auto"/>
              </w:rPr>
              <w:t>Amortization of net actuarial loss</w:t>
            </w:r>
          </w:p>
        </w:tc>
        <w:tc>
          <w:tcPr>
            <w:tcW w:w="2620" w:type="dxa"/>
            <w:vAlign w:val="bottom"/>
          </w:tcPr>
          <w:p>
            <w:pPr>
              <w:jc w:val="right"/>
              <w:ind w:right="590"/>
              <w:spacing w:after="0"/>
              <w:rPr>
                <w:sz w:val="20"/>
                <w:szCs w:val="20"/>
                <w:color w:val="auto"/>
              </w:rPr>
            </w:pPr>
            <w:r>
              <w:rPr>
                <w:rFonts w:ascii="Arial" w:cs="Arial" w:eastAsia="Arial" w:hAnsi="Arial"/>
                <w:sz w:val="18"/>
                <w:szCs w:val="18"/>
                <w:b w:val="1"/>
                <w:bCs w:val="1"/>
                <w:color w:val="auto"/>
              </w:rPr>
              <w:t>2,357</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3,774</w:t>
            </w: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2,606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2,412</w:t>
            </w:r>
          </w:p>
        </w:tc>
      </w:tr>
      <w:tr>
        <w:trPr>
          <w:trHeight w:val="230"/>
        </w:trPr>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Settlement</w:t>
            </w:r>
          </w:p>
        </w:tc>
        <w:tc>
          <w:tcPr>
            <w:tcW w:w="26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315</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119,735</w:t>
            </w:r>
          </w:p>
        </w:tc>
        <w:tc>
          <w:tcPr>
            <w:tcW w:w="1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4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Net periodic benefit cost</w:t>
            </w:r>
          </w:p>
        </w:tc>
        <w:tc>
          <w:tcPr>
            <w:tcW w:w="26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$5,172</w:t>
            </w:r>
          </w:p>
        </w:tc>
        <w:tc>
          <w:tcPr>
            <w:tcW w:w="13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$124,349</w:t>
            </w:r>
          </w:p>
        </w:tc>
        <w:tc>
          <w:tcPr>
            <w:tcW w:w="18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$2,951</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$3,231</w:t>
            </w:r>
          </w:p>
        </w:tc>
      </w:tr>
    </w:tbl>
    <w:p>
      <w:pPr>
        <w:spacing w:after="0" w:line="107"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In the first quarter of 2012, the Company announced a plan to significantly reduce its pension plan liabilities by settling certain pension obligations leading to settlement charges totaling $119.7 million, which was recorded in the first two quarters of 2012. Expense for the three and nine month periods ended September 30, 2013 includes a settlement charge of $0.3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9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During the second quarter of 2013, the Company completed consultations with employee works councils regarding a plan to restructure operations at the Company’s Machine Clothing production facilities in Sélestat and St. Junien, France, leading to restructuring charges, primarily for severance and social costs, of $2.0 million for the third quarter and $26.3 million for the nine months ending September 30, 2013. The restructuring program was driven by the Company’s need to balance manufacturing capacity and demand, and will result in the reduction of approximately 200 employees, about half of which will leave the Company during the fourth quarter of 2013. Under the terms of the restructuring plan, the Company will also provide training, outplacement and other programs. The costs for those benefits will be recorded as restructuring when they are incurred. The Company expects to record curtailment gains in future quarters related to the elimination of pension accruals. The curtailment gain will be recorded as employees terminate and, accordingly, most of the gain is expected to be recorded in the fourth quarter of 2013, with the balance to be recorded in 2014. The remaining costs for this program, net of the curtailment gain, are expected to be between $4.0 and $6.0 million, and are expected to be recorded over the next several quarters. Whereas most of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 w:name="page11"/>
    <w:bookmarkEnd w:id="10"/>
    <w:p>
      <w:pPr>
        <w:ind w:right="440"/>
        <w:spacing w:after="0" w:line="246" w:lineRule="auto"/>
        <w:rPr>
          <w:sz w:val="20"/>
          <w:szCs w:val="20"/>
          <w:color w:val="auto"/>
        </w:rPr>
      </w:pPr>
      <w:r>
        <w:rPr>
          <w:rFonts w:ascii="Arial" w:cs="Arial" w:eastAsia="Arial" w:hAnsi="Arial"/>
          <w:sz w:val="18"/>
          <w:szCs w:val="18"/>
          <w:color w:val="auto"/>
        </w:rPr>
        <w:t>affected employees were involved in the production process, the full effect of cost savings associated with the restructuring will not be fully realized until 2014.</w:t>
      </w:r>
    </w:p>
    <w:p>
      <w:pPr>
        <w:spacing w:after="0" w:line="183"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Through the first nine months of 2013, the Company incurred some restructuring costs in the Engineered Composites segment that were related to organizational changes and exiting certain aerospace programs.</w:t>
      </w:r>
    </w:p>
    <w:p>
      <w:pPr>
        <w:spacing w:after="0" w:line="197" w:lineRule="exact"/>
        <w:rPr>
          <w:sz w:val="20"/>
          <w:szCs w:val="20"/>
          <w:color w:val="auto"/>
        </w:rPr>
      </w:pPr>
    </w:p>
    <w:p>
      <w:pPr>
        <w:jc w:val="both"/>
        <w:ind w:right="120" w:firstLine="648"/>
        <w:spacing w:after="0"/>
        <w:rPr>
          <w:sz w:val="20"/>
          <w:szCs w:val="20"/>
          <w:color w:val="auto"/>
        </w:rPr>
      </w:pPr>
      <w:r>
        <w:rPr>
          <w:rFonts w:ascii="Arial" w:cs="Arial" w:eastAsia="Arial" w:hAnsi="Arial"/>
          <w:sz w:val="18"/>
          <w:szCs w:val="18"/>
          <w:color w:val="auto"/>
        </w:rPr>
        <w:t>2012 restructuring expenses were principally due to a reduction in workforce in Sweden and curtailment of manufacturing in New York and Wisconsin, driven by lower demand for paper machine clothing. Those costs were partially offset by a reduction in accruals related to the Company’s headquarters.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charges reported in the Statements of Income under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118110</wp:posOffset>
            </wp:positionV>
            <wp:extent cx="15779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Borders>
              <w:top w:val="single" w:sz="8" w:color="auto"/>
            </w:tcBorders>
          </w:tcPr>
          <w:p>
            <w:pPr>
              <w:spacing w:after="0"/>
              <w:rPr>
                <w:sz w:val="18"/>
                <w:szCs w:val="18"/>
                <w:color w:val="auto"/>
              </w:rPr>
            </w:pPr>
          </w:p>
        </w:tc>
        <w:tc>
          <w:tcPr>
            <w:tcW w:w="440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Three months ended</w:t>
            </w:r>
          </w:p>
        </w:tc>
      </w:tr>
      <w:tr>
        <w:trPr>
          <w:trHeight w:val="217"/>
        </w:trPr>
        <w:tc>
          <w:tcPr>
            <w:tcW w:w="4280" w:type="dxa"/>
            <w:vAlign w:val="bottom"/>
          </w:tcPr>
          <w:p>
            <w:pPr>
              <w:spacing w:after="0"/>
              <w:rPr>
                <w:sz w:val="18"/>
                <w:szCs w:val="18"/>
                <w:color w:val="auto"/>
              </w:rPr>
            </w:pPr>
          </w:p>
        </w:tc>
        <w:tc>
          <w:tcPr>
            <w:tcW w:w="4400" w:type="dxa"/>
            <w:vAlign w:val="bottom"/>
            <w:gridSpan w:val="2"/>
          </w:tcPr>
          <w:p>
            <w:pPr>
              <w:jc w:val="right"/>
              <w:ind w:right="690"/>
              <w:spacing w:after="0"/>
              <w:rPr>
                <w:sz w:val="20"/>
                <w:szCs w:val="20"/>
                <w:color w:val="auto"/>
              </w:rPr>
            </w:pPr>
            <w:r>
              <w:rPr>
                <w:rFonts w:ascii="Arial" w:cs="Arial" w:eastAsia="Arial" w:hAnsi="Arial"/>
                <w:sz w:val="18"/>
                <w:szCs w:val="18"/>
                <w:color w:val="auto"/>
              </w:rPr>
              <w:t>September 30,</w:t>
            </w:r>
          </w:p>
        </w:tc>
      </w:tr>
      <w:tr>
        <w:trPr>
          <w:trHeight w:val="230"/>
        </w:trPr>
        <w:tc>
          <w:tcPr>
            <w:tcW w:w="4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3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r>
      <w:tr>
        <w:trPr>
          <w:trHeight w:val="237"/>
        </w:trPr>
        <w:tc>
          <w:tcPr>
            <w:tcW w:w="4280" w:type="dxa"/>
            <w:vAlign w:val="bottom"/>
          </w:tcPr>
          <w:p>
            <w:pPr>
              <w:ind w:left="160"/>
              <w:spacing w:after="0"/>
              <w:rPr>
                <w:sz w:val="20"/>
                <w:szCs w:val="20"/>
                <w:color w:val="auto"/>
              </w:rPr>
            </w:pPr>
            <w:r>
              <w:rPr>
                <w:rFonts w:ascii="Arial" w:cs="Arial" w:eastAsia="Arial" w:hAnsi="Arial"/>
                <w:sz w:val="18"/>
                <w:szCs w:val="18"/>
                <w:color w:val="auto"/>
              </w:rPr>
              <w:t>Machine Clothing</w:t>
            </w:r>
          </w:p>
        </w:tc>
        <w:tc>
          <w:tcPr>
            <w:tcW w:w="3320" w:type="dxa"/>
            <w:vAlign w:val="bottom"/>
          </w:tcPr>
          <w:p>
            <w:pPr>
              <w:jc w:val="right"/>
              <w:ind w:right="170"/>
              <w:spacing w:after="0"/>
              <w:rPr>
                <w:sz w:val="20"/>
                <w:szCs w:val="20"/>
                <w:color w:val="auto"/>
              </w:rPr>
            </w:pPr>
            <w:r>
              <w:rPr>
                <w:rFonts w:ascii="Arial" w:cs="Arial" w:eastAsia="Arial" w:hAnsi="Arial"/>
                <w:sz w:val="18"/>
                <w:szCs w:val="18"/>
                <w:b w:val="1"/>
                <w:bCs w:val="1"/>
                <w:color w:val="auto"/>
              </w:rPr>
              <w:t>$2,250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$2,739</w:t>
            </w:r>
          </w:p>
        </w:tc>
      </w:tr>
      <w:tr>
        <w:trPr>
          <w:trHeight w:val="243"/>
        </w:trPr>
        <w:tc>
          <w:tcPr>
            <w:tcW w:w="4280" w:type="dxa"/>
            <w:vAlign w:val="bottom"/>
          </w:tcPr>
          <w:p>
            <w:pPr>
              <w:ind w:left="160"/>
              <w:spacing w:after="0"/>
              <w:rPr>
                <w:sz w:val="20"/>
                <w:szCs w:val="20"/>
                <w:color w:val="auto"/>
              </w:rPr>
            </w:pPr>
            <w:r>
              <w:rPr>
                <w:rFonts w:ascii="Arial" w:cs="Arial" w:eastAsia="Arial" w:hAnsi="Arial"/>
                <w:sz w:val="18"/>
                <w:szCs w:val="18"/>
                <w:color w:val="auto"/>
              </w:rPr>
              <w:t>Engineered Composites</w:t>
            </w:r>
          </w:p>
        </w:tc>
        <w:tc>
          <w:tcPr>
            <w:tcW w:w="3320" w:type="dxa"/>
            <w:vAlign w:val="bottom"/>
          </w:tcPr>
          <w:p>
            <w:pPr>
              <w:jc w:val="right"/>
              <w:ind w:right="170"/>
              <w:spacing w:after="0"/>
              <w:rPr>
                <w:sz w:val="20"/>
                <w:szCs w:val="20"/>
                <w:color w:val="auto"/>
              </w:rPr>
            </w:pPr>
            <w:r>
              <w:rPr>
                <w:rFonts w:ascii="Arial" w:cs="Arial" w:eastAsia="Arial" w:hAnsi="Arial"/>
                <w:sz w:val="18"/>
                <w:szCs w:val="18"/>
                <w:b w:val="1"/>
                <w:bCs w:val="1"/>
                <w:color w:val="auto"/>
              </w:rPr>
              <w:t>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Unallocated expenses</w:t>
            </w:r>
          </w:p>
        </w:tc>
        <w:tc>
          <w:tcPr>
            <w:tcW w:w="3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3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$2,256</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$2,739</w:t>
            </w:r>
          </w:p>
        </w:tc>
      </w:tr>
    </w:tbl>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Nine months ended</w:t>
      </w:r>
    </w:p>
    <w:p>
      <w:pPr>
        <w:jc w:val="center"/>
        <w:ind w:right="420"/>
        <w:spacing w:after="0"/>
        <w:rPr>
          <w:sz w:val="20"/>
          <w:szCs w:val="20"/>
          <w:color w:val="auto"/>
        </w:rPr>
      </w:pPr>
      <w:r>
        <w:rPr>
          <w:rFonts w:ascii="Arial" w:cs="Arial" w:eastAsia="Arial" w:hAnsi="Arial"/>
          <w:sz w:val="18"/>
          <w:szCs w:val="18"/>
          <w:color w:val="auto"/>
        </w:rPr>
        <w:t>September 30,</w:t>
      </w:r>
    </w:p>
    <w:p>
      <w:pPr>
        <w:spacing w:after="0" w:line="1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11430</wp:posOffset>
            </wp:positionV>
            <wp:extent cx="15779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6"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$26,673</w:t>
      </w:r>
      <w:r>
        <w:rPr>
          <w:sz w:val="20"/>
          <w:szCs w:val="20"/>
          <w:color w:val="auto"/>
        </w:rPr>
        <w:tab/>
      </w:r>
      <w:r>
        <w:rPr>
          <w:rFonts w:ascii="Arial" w:cs="Arial" w:eastAsia="Arial" w:hAnsi="Arial"/>
          <w:sz w:val="17"/>
          <w:szCs w:val="17"/>
          <w:color w:val="auto"/>
        </w:rPr>
        <w:t>$6,315</w:t>
      </w:r>
    </w:p>
    <w:p>
      <w:pPr>
        <w:spacing w:after="0" w:line="58" w:lineRule="exact"/>
        <w:rPr>
          <w:sz w:val="20"/>
          <w:szCs w:val="20"/>
          <w:color w:val="auto"/>
        </w:rPr>
      </w:pPr>
    </w:p>
    <w:p>
      <w:pPr>
        <w:ind w:left="1900" w:hanging="1480"/>
        <w:spacing w:after="0"/>
        <w:tabs>
          <w:tab w:leader="none" w:pos="1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11430</wp:posOffset>
            </wp:positionV>
            <wp:extent cx="15779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6"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$27,213</w:t>
      </w:r>
      <w:r>
        <w:rPr>
          <w:sz w:val="20"/>
          <w:szCs w:val="20"/>
          <w:color w:val="auto"/>
        </w:rPr>
        <w:tab/>
      </w:r>
      <w:r>
        <w:rPr>
          <w:rFonts w:ascii="Arial" w:cs="Arial" w:eastAsia="Arial" w:hAnsi="Arial"/>
          <w:sz w:val="17"/>
          <w:szCs w:val="17"/>
          <w:color w:val="auto"/>
        </w:rPr>
        <w:t>$6,149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11430</wp:posOffset>
            </wp:positionV>
            <wp:extent cx="15779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8680" w:space="680"/>
            <w:col w:w="2060"/>
          </w:cols>
          <w:pgMar w:left="240" w:top="490" w:right="239" w:bottom="1440" w:gutter="0" w:footer="0" w:header="0"/>
          <w:type w:val="continuous"/>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Borders>
              <w:top w:val="single" w:sz="8" w:color="auto"/>
            </w:tcBorders>
          </w:tcPr>
          <w:p>
            <w:pPr>
              <w:ind w:left="100"/>
              <w:spacing w:after="0" w:line="194" w:lineRule="exact"/>
              <w:rPr>
                <w:sz w:val="20"/>
                <w:szCs w:val="20"/>
                <w:color w:val="auto"/>
              </w:rPr>
            </w:pPr>
            <w:r>
              <w:rPr>
                <w:rFonts w:ascii="Arial" w:cs="Arial" w:eastAsia="Arial" w:hAnsi="Arial"/>
                <w:sz w:val="18"/>
                <w:szCs w:val="18"/>
                <w:b w:val="1"/>
                <w:bCs w:val="1"/>
                <w:color w:val="auto"/>
              </w:rPr>
              <w:t>Nine months ended September 30, 2013</w:t>
            </w:r>
          </w:p>
        </w:tc>
        <w:tc>
          <w:tcPr>
            <w:tcW w:w="25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Termination</w:t>
            </w:r>
          </w:p>
        </w:tc>
        <w:tc>
          <w:tcPr>
            <w:tcW w:w="1700" w:type="dxa"/>
            <w:vAlign w:val="bottom"/>
            <w:tcBorders>
              <w:top w:val="single" w:sz="8" w:color="auto"/>
            </w:tcBorders>
            <w:gridSpan w:val="2"/>
          </w:tcPr>
          <w:p>
            <w:pPr>
              <w:jc w:val="center"/>
              <w:ind w:right="50"/>
              <w:spacing w:after="0" w:line="194" w:lineRule="exact"/>
              <w:rPr>
                <w:sz w:val="20"/>
                <w:szCs w:val="20"/>
                <w:color w:val="auto"/>
              </w:rPr>
            </w:pPr>
            <w:r>
              <w:rPr>
                <w:rFonts w:ascii="Arial" w:cs="Arial" w:eastAsia="Arial" w:hAnsi="Arial"/>
                <w:sz w:val="18"/>
                <w:szCs w:val="18"/>
                <w:b w:val="1"/>
                <w:bCs w:val="1"/>
                <w:color w:val="auto"/>
              </w:rPr>
              <w:t>Impairment of</w:t>
            </w:r>
          </w:p>
        </w:tc>
        <w:tc>
          <w:tcPr>
            <w:tcW w:w="15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Benefit plan</w:t>
            </w:r>
          </w:p>
        </w:tc>
      </w:tr>
      <w:tr>
        <w:trPr>
          <w:trHeight w:val="203"/>
        </w:trPr>
        <w:tc>
          <w:tcPr>
            <w:tcW w:w="4220" w:type="dxa"/>
            <w:vAlign w:val="bottom"/>
          </w:tcPr>
          <w:p>
            <w:pPr>
              <w:spacing w:after="0"/>
              <w:rPr>
                <w:sz w:val="17"/>
                <w:szCs w:val="17"/>
                <w:color w:val="auto"/>
              </w:rPr>
            </w:pPr>
          </w:p>
        </w:tc>
        <w:tc>
          <w:tcPr>
            <w:tcW w:w="25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Total restructuring</w:t>
            </w: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and other</w:t>
            </w:r>
          </w:p>
        </w:tc>
        <w:tc>
          <w:tcPr>
            <w:tcW w:w="128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plant and</w:t>
            </w:r>
          </w:p>
        </w:tc>
        <w:tc>
          <w:tcPr>
            <w:tcW w:w="420" w:type="dxa"/>
            <w:vAlign w:val="bottom"/>
          </w:tcPr>
          <w:p>
            <w:pPr>
              <w:spacing w:after="0"/>
              <w:rPr>
                <w:sz w:val="17"/>
                <w:szCs w:val="17"/>
                <w:color w:val="auto"/>
              </w:rPr>
            </w:pPr>
          </w:p>
        </w:tc>
        <w:tc>
          <w:tcPr>
            <w:tcW w:w="15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curtailment/</w:t>
            </w:r>
          </w:p>
        </w:tc>
      </w:tr>
      <w:tr>
        <w:trPr>
          <w:trHeight w:val="225"/>
        </w:trPr>
        <w:tc>
          <w:tcPr>
            <w:tcW w:w="4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2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costs incurred</w:t>
            </w: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costs</w:t>
            </w:r>
          </w:p>
        </w:tc>
        <w:tc>
          <w:tcPr>
            <w:tcW w:w="12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rPr>
              <w:t>equipment</w:t>
            </w: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settlement</w:t>
            </w:r>
          </w:p>
        </w:tc>
      </w:tr>
      <w:tr>
        <w:trPr>
          <w:trHeight w:val="195"/>
        </w:trPr>
        <w:tc>
          <w:tcPr>
            <w:tcW w:w="4220" w:type="dxa"/>
            <w:vAlign w:val="bottom"/>
          </w:tcPr>
          <w:p>
            <w:pPr>
              <w:ind w:left="160"/>
              <w:spacing w:after="0" w:line="195" w:lineRule="exact"/>
              <w:rPr>
                <w:sz w:val="20"/>
                <w:szCs w:val="20"/>
                <w:color w:val="auto"/>
              </w:rPr>
            </w:pPr>
            <w:r>
              <w:rPr>
                <w:rFonts w:ascii="Arial" w:cs="Arial" w:eastAsia="Arial" w:hAnsi="Arial"/>
                <w:sz w:val="18"/>
                <w:szCs w:val="18"/>
                <w:color w:val="auto"/>
              </w:rPr>
              <w:t>Machine Clothing</w:t>
            </w:r>
          </w:p>
        </w:tc>
        <w:tc>
          <w:tcPr>
            <w:tcW w:w="25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$26,673</w:t>
            </w:r>
          </w:p>
        </w:tc>
        <w:tc>
          <w:tcPr>
            <w:tcW w:w="14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$26,837</w:t>
            </w:r>
          </w:p>
        </w:tc>
        <w:tc>
          <w:tcPr>
            <w:tcW w:w="1280" w:type="dxa"/>
            <w:vAlign w:val="bottom"/>
          </w:tcPr>
          <w:p>
            <w:pPr>
              <w:jc w:val="right"/>
              <w:ind w:right="950"/>
              <w:spacing w:after="0" w:line="195"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($164)</w:t>
            </w:r>
          </w:p>
        </w:tc>
      </w:tr>
      <w:tr>
        <w:trPr>
          <w:trHeight w:val="203"/>
        </w:trPr>
        <w:tc>
          <w:tcPr>
            <w:tcW w:w="4220" w:type="dxa"/>
            <w:vAlign w:val="bottom"/>
          </w:tcPr>
          <w:p>
            <w:pPr>
              <w:ind w:left="160"/>
              <w:spacing w:after="0" w:line="202" w:lineRule="exact"/>
              <w:rPr>
                <w:sz w:val="20"/>
                <w:szCs w:val="20"/>
                <w:color w:val="auto"/>
              </w:rPr>
            </w:pPr>
            <w:r>
              <w:rPr>
                <w:rFonts w:ascii="Arial" w:cs="Arial" w:eastAsia="Arial" w:hAnsi="Arial"/>
                <w:sz w:val="18"/>
                <w:szCs w:val="18"/>
                <w:color w:val="auto"/>
              </w:rPr>
              <w:t>Engineered Composites</w:t>
            </w:r>
          </w:p>
        </w:tc>
        <w:tc>
          <w:tcPr>
            <w:tcW w:w="25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540</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452</w:t>
            </w:r>
          </w:p>
        </w:tc>
        <w:tc>
          <w:tcPr>
            <w:tcW w:w="1280" w:type="dxa"/>
            <w:vAlign w:val="bottom"/>
          </w:tcPr>
          <w:p>
            <w:pPr>
              <w:spacing w:after="0"/>
              <w:rPr>
                <w:sz w:val="17"/>
                <w:szCs w:val="17"/>
                <w:color w:val="auto"/>
              </w:rPr>
            </w:pPr>
          </w:p>
        </w:tc>
        <w:tc>
          <w:tcPr>
            <w:tcW w:w="4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89"/>
              </w:rPr>
              <w:t>88</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22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Unallocated expenses</w:t>
            </w:r>
          </w:p>
        </w:tc>
        <w:tc>
          <w:tcPr>
            <w:tcW w:w="25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42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25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$27,213</w:t>
            </w:r>
          </w:p>
        </w:tc>
        <w:tc>
          <w:tcPr>
            <w:tcW w:w="14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$27,289</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89"/>
              </w:rPr>
              <w:t>88</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($164)</w:t>
            </w: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40" w:type="dxa"/>
            <w:vAlign w:val="bottom"/>
            <w:tcBorders>
              <w:top w:val="single" w:sz="8" w:color="auto"/>
            </w:tcBorders>
          </w:tcPr>
          <w:p>
            <w:pPr>
              <w:ind w:left="100"/>
              <w:spacing w:after="0" w:line="194" w:lineRule="exact"/>
              <w:rPr>
                <w:sz w:val="20"/>
                <w:szCs w:val="20"/>
                <w:color w:val="auto"/>
              </w:rPr>
            </w:pPr>
            <w:r>
              <w:rPr>
                <w:rFonts w:ascii="Arial" w:cs="Arial" w:eastAsia="Arial" w:hAnsi="Arial"/>
                <w:sz w:val="18"/>
                <w:szCs w:val="18"/>
                <w:b w:val="1"/>
                <w:bCs w:val="1"/>
                <w:color w:val="auto"/>
              </w:rPr>
              <w:t>Nine months ended September 30, 2012</w:t>
            </w:r>
          </w:p>
        </w:tc>
        <w:tc>
          <w:tcPr>
            <w:tcW w:w="2320" w:type="dxa"/>
            <w:vAlign w:val="bottom"/>
            <w:tcBorders>
              <w:top w:val="single" w:sz="8" w:color="auto"/>
            </w:tcBorders>
          </w:tcPr>
          <w:p>
            <w:pPr>
              <w:jc w:val="center"/>
              <w:ind w:left="470"/>
              <w:spacing w:after="0" w:line="194" w:lineRule="exact"/>
              <w:rPr>
                <w:sz w:val="20"/>
                <w:szCs w:val="20"/>
                <w:color w:val="auto"/>
              </w:rPr>
            </w:pPr>
            <w:r>
              <w:rPr>
                <w:rFonts w:ascii="Arial" w:cs="Arial" w:eastAsia="Arial" w:hAnsi="Arial"/>
                <w:sz w:val="18"/>
                <w:szCs w:val="18"/>
                <w:b w:val="1"/>
                <w:bCs w:val="1"/>
                <w:color w:val="auto"/>
                <w:w w:val="92"/>
              </w:rPr>
              <w:t>Total</w:t>
            </w:r>
          </w:p>
        </w:tc>
        <w:tc>
          <w:tcPr>
            <w:tcW w:w="16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w w:val="99"/>
              </w:rPr>
              <w:t>Impairment of</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30"/>
              <w:spacing w:after="0" w:line="194" w:lineRule="exact"/>
              <w:rPr>
                <w:sz w:val="20"/>
                <w:szCs w:val="20"/>
                <w:color w:val="auto"/>
              </w:rPr>
            </w:pPr>
            <w:r>
              <w:rPr>
                <w:rFonts w:ascii="Arial" w:cs="Arial" w:eastAsia="Arial" w:hAnsi="Arial"/>
                <w:sz w:val="18"/>
                <w:szCs w:val="18"/>
                <w:b w:val="1"/>
                <w:bCs w:val="1"/>
                <w:color w:val="auto"/>
                <w:w w:val="98"/>
              </w:rPr>
              <w:t>Benefit plan</w:t>
            </w:r>
          </w:p>
        </w:tc>
      </w:tr>
      <w:tr>
        <w:trPr>
          <w:trHeight w:val="203"/>
        </w:trPr>
        <w:tc>
          <w:tcPr>
            <w:tcW w:w="4340" w:type="dxa"/>
            <w:vAlign w:val="bottom"/>
          </w:tcPr>
          <w:p>
            <w:pPr>
              <w:spacing w:after="0"/>
              <w:rPr>
                <w:sz w:val="17"/>
                <w:szCs w:val="17"/>
                <w:color w:val="auto"/>
              </w:rPr>
            </w:pPr>
          </w:p>
        </w:tc>
        <w:tc>
          <w:tcPr>
            <w:tcW w:w="2320" w:type="dxa"/>
            <w:vAlign w:val="bottom"/>
          </w:tcPr>
          <w:p>
            <w:pPr>
              <w:jc w:val="center"/>
              <w:ind w:left="47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6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Termination</w:t>
            </w:r>
          </w:p>
        </w:tc>
        <w:tc>
          <w:tcPr>
            <w:tcW w:w="260" w:type="dxa"/>
            <w:vAlign w:val="bottom"/>
          </w:tcPr>
          <w:p>
            <w:pPr>
              <w:spacing w:after="0"/>
              <w:rPr>
                <w:sz w:val="17"/>
                <w:szCs w:val="17"/>
                <w:color w:val="auto"/>
              </w:rPr>
            </w:pPr>
          </w:p>
        </w:tc>
        <w:tc>
          <w:tcPr>
            <w:tcW w:w="1340" w:type="dxa"/>
            <w:vAlign w:val="bottom"/>
          </w:tcPr>
          <w:p>
            <w:pPr>
              <w:jc w:val="center"/>
              <w:ind w:right="250"/>
              <w:spacing w:after="0" w:line="202" w:lineRule="exact"/>
              <w:rPr>
                <w:sz w:val="20"/>
                <w:szCs w:val="20"/>
                <w:color w:val="auto"/>
              </w:rPr>
            </w:pPr>
            <w:r>
              <w:rPr>
                <w:rFonts w:ascii="Arial" w:cs="Arial" w:eastAsia="Arial" w:hAnsi="Arial"/>
                <w:sz w:val="18"/>
                <w:szCs w:val="18"/>
                <w:b w:val="1"/>
                <w:bCs w:val="1"/>
                <w:color w:val="auto"/>
                <w:w w:val="99"/>
              </w:rPr>
              <w:t>plant and</w:t>
            </w:r>
          </w:p>
        </w:tc>
        <w:tc>
          <w:tcPr>
            <w:tcW w:w="240" w:type="dxa"/>
            <w:vAlign w:val="bottom"/>
          </w:tcPr>
          <w:p>
            <w:pPr>
              <w:spacing w:after="0"/>
              <w:rPr>
                <w:sz w:val="17"/>
                <w:szCs w:val="17"/>
                <w:color w:val="auto"/>
              </w:rPr>
            </w:pPr>
          </w:p>
        </w:tc>
        <w:tc>
          <w:tcPr>
            <w:tcW w:w="13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curtailment/</w:t>
            </w:r>
          </w:p>
        </w:tc>
      </w:tr>
      <w:tr>
        <w:trPr>
          <w:trHeight w:val="225"/>
        </w:trPr>
        <w:tc>
          <w:tcPr>
            <w:tcW w:w="4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23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99"/>
              </w:rPr>
              <w:t>costs incurred</w:t>
            </w: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and other costs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8"/>
              </w:rPr>
              <w:t>equipment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settlement</w:t>
            </w:r>
          </w:p>
        </w:tc>
      </w:tr>
      <w:tr>
        <w:trPr>
          <w:trHeight w:val="195"/>
        </w:trPr>
        <w:tc>
          <w:tcPr>
            <w:tcW w:w="4340" w:type="dxa"/>
            <w:vAlign w:val="bottom"/>
          </w:tcPr>
          <w:p>
            <w:pPr>
              <w:ind w:left="160"/>
              <w:spacing w:after="0" w:line="195" w:lineRule="exact"/>
              <w:rPr>
                <w:sz w:val="20"/>
                <w:szCs w:val="20"/>
                <w:color w:val="auto"/>
              </w:rPr>
            </w:pPr>
            <w:r>
              <w:rPr>
                <w:rFonts w:ascii="Arial" w:cs="Arial" w:eastAsia="Arial" w:hAnsi="Arial"/>
                <w:sz w:val="18"/>
                <w:szCs w:val="18"/>
                <w:color w:val="auto"/>
              </w:rPr>
              <w:t>Machine Clothing</w:t>
            </w:r>
          </w:p>
        </w:tc>
        <w:tc>
          <w:tcPr>
            <w:tcW w:w="23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$6,315</w:t>
            </w:r>
          </w:p>
        </w:tc>
        <w:tc>
          <w:tcPr>
            <w:tcW w:w="16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$6,315</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tcPr>
          <w:p>
            <w:pPr>
              <w:ind w:left="160"/>
              <w:spacing w:after="0" w:line="202" w:lineRule="exact"/>
              <w:rPr>
                <w:sz w:val="20"/>
                <w:szCs w:val="20"/>
                <w:color w:val="auto"/>
              </w:rPr>
            </w:pPr>
            <w:r>
              <w:rPr>
                <w:rFonts w:ascii="Arial" w:cs="Arial" w:eastAsia="Arial" w:hAnsi="Arial"/>
                <w:sz w:val="18"/>
                <w:szCs w:val="18"/>
                <w:color w:val="auto"/>
              </w:rPr>
              <w:t>Engineered Composites</w:t>
            </w:r>
          </w:p>
        </w:tc>
        <w:tc>
          <w:tcPr>
            <w:tcW w:w="2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Unallocated expenses</w:t>
            </w:r>
          </w:p>
        </w:tc>
        <w:tc>
          <w:tcPr>
            <w:tcW w:w="23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(166)</w:t>
            </w:r>
          </w:p>
        </w:tc>
        <w:tc>
          <w:tcPr>
            <w:tcW w:w="16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380</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(546)</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43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$6,149</w:t>
            </w:r>
          </w:p>
        </w:tc>
        <w:tc>
          <w:tcPr>
            <w:tcW w:w="16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$6,695</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($546)</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We expect that substantially all accruals for restructuring liabilities will be paid within one year. The table below presents year-to-date changes in restructuring liabilities for 2013 and 2012 all of which related to termination costs: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jc w:val="right"/>
              <w:ind w:right="30"/>
              <w:spacing w:after="0" w:line="194" w:lineRule="exact"/>
              <w:rPr>
                <w:sz w:val="20"/>
                <w:szCs w:val="20"/>
                <w:color w:val="auto"/>
              </w:rPr>
            </w:pPr>
            <w:r>
              <w:rPr>
                <w:rFonts w:ascii="Arial" w:cs="Arial" w:eastAsia="Arial" w:hAnsi="Arial"/>
                <w:sz w:val="18"/>
                <w:szCs w:val="18"/>
                <w:b w:val="1"/>
                <w:bCs w:val="1"/>
                <w:color w:val="auto"/>
              </w:rPr>
              <w:t>December 31,</w:t>
            </w:r>
          </w:p>
        </w:tc>
        <w:tc>
          <w:tcPr>
            <w:tcW w:w="17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Restructuring</w:t>
            </w:r>
          </w:p>
        </w:tc>
        <w:tc>
          <w:tcPr>
            <w:tcW w:w="124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center"/>
              <w:ind w:right="30"/>
              <w:spacing w:after="0" w:line="194" w:lineRule="exact"/>
              <w:rPr>
                <w:sz w:val="20"/>
                <w:szCs w:val="20"/>
                <w:color w:val="auto"/>
              </w:rPr>
            </w:pPr>
            <w:r>
              <w:rPr>
                <w:rFonts w:ascii="Arial" w:cs="Arial" w:eastAsia="Arial" w:hAnsi="Arial"/>
                <w:sz w:val="18"/>
                <w:szCs w:val="18"/>
                <w:b w:val="1"/>
                <w:bCs w:val="1"/>
                <w:color w:val="auto"/>
              </w:rPr>
              <w:t>Currency</w:t>
            </w:r>
          </w:p>
        </w:tc>
        <w:tc>
          <w:tcPr>
            <w:tcW w:w="13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September</w:t>
            </w:r>
          </w:p>
        </w:tc>
      </w:tr>
      <w:tr>
        <w:trPr>
          <w:trHeight w:val="225"/>
        </w:trPr>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2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charges accrued</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Payments</w:t>
            </w:r>
          </w:p>
        </w:tc>
        <w:tc>
          <w:tcPr>
            <w:tcW w:w="1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translation/other</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30, 2013</w:t>
            </w:r>
          </w:p>
        </w:tc>
      </w:tr>
      <w:tr>
        <w:trPr>
          <w:trHeight w:val="196"/>
        </w:trPr>
        <w:tc>
          <w:tcPr>
            <w:tcW w:w="26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26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$4,947</w:t>
            </w:r>
          </w:p>
        </w:tc>
        <w:tc>
          <w:tcPr>
            <w:tcW w:w="1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$25,860</w:t>
            </w:r>
          </w:p>
        </w:tc>
        <w:tc>
          <w:tcPr>
            <w:tcW w:w="1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($5,529)</w:t>
            </w:r>
          </w:p>
        </w:tc>
        <w:tc>
          <w:tcPr>
            <w:tcW w:w="18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$609</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$25,887</w:t>
            </w:r>
          </w:p>
        </w:tc>
      </w:tr>
      <w:tr>
        <w:trPr>
          <w:trHeight w:val="601"/>
        </w:trPr>
        <w:tc>
          <w:tcPr>
            <w:tcW w:w="2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740" w:type="dxa"/>
            <w:vAlign w:val="bottom"/>
          </w:tcPr>
          <w:p>
            <w:pPr>
              <w:jc w:val="right"/>
              <w:ind w:right="1130"/>
              <w:spacing w:after="0"/>
              <w:rPr>
                <w:sz w:val="20"/>
                <w:szCs w:val="20"/>
                <w:color w:val="auto"/>
              </w:rPr>
            </w:pPr>
            <w:r>
              <w:rPr>
                <w:rFonts w:ascii="Arial" w:cs="Arial" w:eastAsia="Arial" w:hAnsi="Arial"/>
                <w:sz w:val="18"/>
                <w:szCs w:val="18"/>
                <w:color w:val="auto"/>
              </w:rPr>
              <w:t>11</w:t>
            </w: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26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68"/>
        </w:trPr>
        <w:tc>
          <w:tcPr>
            <w:tcW w:w="2680" w:type="dxa"/>
            <w:vAlign w:val="bottom"/>
            <w:shd w:val="clear" w:color="auto" w:fill="000000"/>
          </w:tcPr>
          <w:p>
            <w:pPr>
              <w:spacing w:after="0"/>
              <w:rPr>
                <w:sz w:val="5"/>
                <w:szCs w:val="5"/>
                <w:color w:val="auto"/>
              </w:rPr>
            </w:pPr>
          </w:p>
        </w:tc>
        <w:tc>
          <w:tcPr>
            <w:tcW w:w="262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90" w:right="239" w:bottom="144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center"/>
              <w:ind w:left="430"/>
              <w:spacing w:after="0" w:line="194" w:lineRule="exact"/>
              <w:rPr>
                <w:sz w:val="20"/>
                <w:szCs w:val="20"/>
                <w:color w:val="auto"/>
              </w:rPr>
            </w:pPr>
            <w:r>
              <w:rPr>
                <w:rFonts w:ascii="Arial" w:cs="Arial" w:eastAsia="Arial" w:hAnsi="Arial"/>
                <w:sz w:val="18"/>
                <w:szCs w:val="18"/>
                <w:b w:val="1"/>
                <w:bCs w:val="1"/>
                <w:color w:val="auto"/>
                <w:w w:val="99"/>
              </w:rPr>
              <w:t>December 31,</w:t>
            </w:r>
          </w:p>
        </w:tc>
        <w:tc>
          <w:tcPr>
            <w:tcW w:w="1600" w:type="dxa"/>
            <w:vAlign w:val="bottom"/>
            <w:tcBorders>
              <w:top w:val="single" w:sz="8" w:color="auto"/>
            </w:tcBorders>
          </w:tcPr>
          <w:p>
            <w:pPr>
              <w:jc w:val="center"/>
              <w:ind w:left="10"/>
              <w:spacing w:after="0" w:line="194" w:lineRule="exact"/>
              <w:rPr>
                <w:sz w:val="20"/>
                <w:szCs w:val="20"/>
                <w:color w:val="auto"/>
              </w:rPr>
            </w:pPr>
            <w:r>
              <w:rPr>
                <w:rFonts w:ascii="Arial" w:cs="Arial" w:eastAsia="Arial" w:hAnsi="Arial"/>
                <w:sz w:val="18"/>
                <w:szCs w:val="18"/>
                <w:b w:val="1"/>
                <w:bCs w:val="1"/>
                <w:color w:val="auto"/>
                <w:w w:val="99"/>
              </w:rPr>
              <w:t>Restructuring</w:t>
            </w:r>
          </w:p>
        </w:tc>
        <w:tc>
          <w:tcPr>
            <w:tcW w:w="120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2"/>
          </w:tcPr>
          <w:p>
            <w:pPr>
              <w:jc w:val="right"/>
              <w:ind w:right="550"/>
              <w:spacing w:after="0" w:line="194" w:lineRule="exact"/>
              <w:rPr>
                <w:sz w:val="20"/>
                <w:szCs w:val="20"/>
                <w:color w:val="auto"/>
              </w:rPr>
            </w:pPr>
            <w:r>
              <w:rPr>
                <w:rFonts w:ascii="Arial" w:cs="Arial" w:eastAsia="Arial" w:hAnsi="Arial"/>
                <w:sz w:val="18"/>
                <w:szCs w:val="18"/>
                <w:b w:val="1"/>
                <w:bCs w:val="1"/>
                <w:color w:val="auto"/>
              </w:rPr>
              <w:t>Currency</w:t>
            </w:r>
          </w:p>
        </w:tc>
        <w:tc>
          <w:tcPr>
            <w:tcW w:w="1240" w:type="dxa"/>
            <w:vAlign w:val="bottom"/>
            <w:tcBorders>
              <w:top w:val="single" w:sz="8" w:color="auto"/>
            </w:tcBorders>
          </w:tcPr>
          <w:p>
            <w:pPr>
              <w:jc w:val="right"/>
              <w:ind w:right="130"/>
              <w:spacing w:after="0" w:line="194" w:lineRule="exact"/>
              <w:rPr>
                <w:sz w:val="20"/>
                <w:szCs w:val="20"/>
                <w:color w:val="auto"/>
              </w:rPr>
            </w:pPr>
            <w:r>
              <w:rPr>
                <w:rFonts w:ascii="Arial" w:cs="Arial" w:eastAsia="Arial" w:hAnsi="Arial"/>
                <w:sz w:val="18"/>
                <w:szCs w:val="18"/>
                <w:b w:val="1"/>
                <w:bCs w:val="1"/>
                <w:color w:val="auto"/>
              </w:rPr>
              <w:t>September</w:t>
            </w:r>
          </w:p>
        </w:tc>
      </w:tr>
      <w:tr>
        <w:trPr>
          <w:trHeight w:val="225"/>
        </w:trPr>
        <w:tc>
          <w:tcPr>
            <w:tcW w:w="33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charges accrued</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Payments</w:t>
            </w:r>
          </w:p>
        </w:tc>
        <w:tc>
          <w:tcPr>
            <w:tcW w:w="19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translation/other</w:t>
            </w: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30, 2012</w:t>
            </w:r>
          </w:p>
        </w:tc>
      </w:tr>
      <w:tr>
        <w:trPr>
          <w:trHeight w:val="196"/>
        </w:trPr>
        <w:tc>
          <w:tcPr>
            <w:tcW w:w="3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$6,979</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$6,579</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($6,395)</w:t>
            </w:r>
          </w:p>
        </w:tc>
        <w:tc>
          <w:tcPr>
            <w:tcW w:w="9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$6</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$7,169</w:t>
            </w:r>
          </w:p>
        </w:tc>
      </w:tr>
      <w:tr>
        <w:trPr>
          <w:trHeight w:val="601"/>
        </w:trPr>
        <w:tc>
          <w:tcPr>
            <w:tcW w:w="3360" w:type="dxa"/>
            <w:vAlign w:val="bottom"/>
          </w:tcPr>
          <w:p>
            <w:pPr>
              <w:spacing w:after="0"/>
              <w:rPr>
                <w:sz w:val="20"/>
                <w:szCs w:val="20"/>
                <w:color w:val="auto"/>
              </w:rPr>
            </w:pPr>
            <w:r>
              <w:rPr>
                <w:rFonts w:ascii="Arial" w:cs="Arial" w:eastAsia="Arial" w:hAnsi="Arial"/>
                <w:sz w:val="18"/>
                <w:szCs w:val="18"/>
                <w:b w:val="1"/>
                <w:bCs w:val="1"/>
                <w:i w:val="1"/>
                <w:iCs w:val="1"/>
                <w:color w:val="auto"/>
              </w:rPr>
              <w:t>6. Other Expense/(Income), net</w:t>
            </w:r>
          </w:p>
        </w:tc>
        <w:tc>
          <w:tcPr>
            <w:tcW w:w="2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5400" w:type="dxa"/>
            <w:vAlign w:val="bottom"/>
            <w:gridSpan w:val="2"/>
          </w:tcPr>
          <w:p>
            <w:pPr>
              <w:ind w:left="660"/>
              <w:spacing w:after="0"/>
              <w:rPr>
                <w:sz w:val="20"/>
                <w:szCs w:val="20"/>
                <w:color w:val="auto"/>
              </w:rPr>
            </w:pPr>
            <w:r>
              <w:rPr>
                <w:rFonts w:ascii="Arial" w:cs="Arial" w:eastAsia="Arial" w:hAnsi="Arial"/>
                <w:sz w:val="18"/>
                <w:szCs w:val="18"/>
                <w:color w:val="auto"/>
              </w:rPr>
              <w:t>The components of Other expense/(income), net, are:</w:t>
            </w: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2"/>
        </w:trPr>
        <w:tc>
          <w:tcPr>
            <w:tcW w:w="3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spacing w:after="0"/>
              <w:rPr>
                <w:sz w:val="14"/>
                <w:szCs w:val="14"/>
                <w:color w:val="auto"/>
              </w:rPr>
            </w:pPr>
          </w:p>
        </w:tc>
        <w:tc>
          <w:tcPr>
            <w:tcW w:w="2240" w:type="dxa"/>
            <w:vAlign w:val="bottom"/>
            <w:tcBorders>
              <w:bottom w:val="single" w:sz="8" w:color="auto"/>
            </w:tcBorders>
            <w:gridSpan w:val="2"/>
          </w:tcPr>
          <w:p>
            <w:pPr>
              <w:spacing w:after="0"/>
              <w:rPr>
                <w:sz w:val="14"/>
                <w:szCs w:val="14"/>
                <w:color w:val="auto"/>
              </w:rPr>
            </w:pPr>
          </w:p>
        </w:tc>
      </w:tr>
      <w:tr>
        <w:trPr>
          <w:trHeight w:val="195"/>
        </w:trPr>
        <w:tc>
          <w:tcPr>
            <w:tcW w:w="3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80" w:type="dxa"/>
            <w:vAlign w:val="bottom"/>
            <w:gridSpan w:val="2"/>
          </w:tcPr>
          <w:p>
            <w:pPr>
              <w:jc w:val="right"/>
              <w:ind w:right="410"/>
              <w:spacing w:after="0" w:line="195" w:lineRule="exact"/>
              <w:rPr>
                <w:sz w:val="20"/>
                <w:szCs w:val="20"/>
                <w:color w:val="auto"/>
              </w:rPr>
            </w:pPr>
            <w:r>
              <w:rPr>
                <w:rFonts w:ascii="Arial" w:cs="Arial" w:eastAsia="Arial" w:hAnsi="Arial"/>
                <w:sz w:val="18"/>
                <w:szCs w:val="18"/>
                <w:color w:val="auto"/>
                <w:w w:val="99"/>
              </w:rPr>
              <w:t>Three months ended</w:t>
            </w:r>
          </w:p>
        </w:tc>
        <w:tc>
          <w:tcPr>
            <w:tcW w:w="2240" w:type="dxa"/>
            <w:vAlign w:val="bottom"/>
            <w:gridSpan w:val="2"/>
          </w:tcPr>
          <w:p>
            <w:pPr>
              <w:jc w:val="right"/>
              <w:ind w:right="310"/>
              <w:spacing w:after="0" w:line="195" w:lineRule="exact"/>
              <w:rPr>
                <w:sz w:val="20"/>
                <w:szCs w:val="20"/>
                <w:color w:val="auto"/>
              </w:rPr>
            </w:pPr>
            <w:r>
              <w:rPr>
                <w:rFonts w:ascii="Arial" w:cs="Arial" w:eastAsia="Arial" w:hAnsi="Arial"/>
                <w:sz w:val="18"/>
                <w:szCs w:val="18"/>
                <w:color w:val="auto"/>
              </w:rPr>
              <w:t>Nine months ended</w:t>
            </w:r>
          </w:p>
        </w:tc>
      </w:tr>
      <w:tr>
        <w:trPr>
          <w:trHeight w:val="181"/>
        </w:trPr>
        <w:tc>
          <w:tcPr>
            <w:tcW w:w="3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80" w:type="dxa"/>
            <w:vAlign w:val="bottom"/>
            <w:gridSpan w:val="2"/>
          </w:tcPr>
          <w:p>
            <w:pPr>
              <w:jc w:val="right"/>
              <w:ind w:right="650"/>
              <w:spacing w:after="0" w:line="181" w:lineRule="exact"/>
              <w:rPr>
                <w:sz w:val="20"/>
                <w:szCs w:val="20"/>
                <w:color w:val="auto"/>
              </w:rPr>
            </w:pPr>
            <w:r>
              <w:rPr>
                <w:rFonts w:ascii="Arial" w:cs="Arial" w:eastAsia="Arial" w:hAnsi="Arial"/>
                <w:sz w:val="18"/>
                <w:szCs w:val="18"/>
                <w:color w:val="auto"/>
              </w:rPr>
              <w:t>September 30,</w:t>
            </w:r>
          </w:p>
        </w:tc>
        <w:tc>
          <w:tcPr>
            <w:tcW w:w="2240" w:type="dxa"/>
            <w:vAlign w:val="bottom"/>
            <w:gridSpan w:val="2"/>
          </w:tcPr>
          <w:p>
            <w:pPr>
              <w:jc w:val="right"/>
              <w:ind w:right="510"/>
              <w:spacing w:after="0" w:line="181" w:lineRule="exact"/>
              <w:rPr>
                <w:sz w:val="20"/>
                <w:szCs w:val="20"/>
                <w:color w:val="auto"/>
              </w:rPr>
            </w:pPr>
            <w:r>
              <w:rPr>
                <w:rFonts w:ascii="Arial" w:cs="Arial" w:eastAsia="Arial" w:hAnsi="Arial"/>
                <w:sz w:val="18"/>
                <w:szCs w:val="18"/>
                <w:color w:val="auto"/>
              </w:rPr>
              <w:t>September 30,</w:t>
            </w:r>
          </w:p>
        </w:tc>
      </w:tr>
      <w:tr>
        <w:trPr>
          <w:trHeight w:val="225"/>
        </w:trPr>
        <w:tc>
          <w:tcPr>
            <w:tcW w:w="3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(in thousands)</w:t>
            </w:r>
          </w:p>
        </w:tc>
        <w:tc>
          <w:tcPr>
            <w:tcW w:w="20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r>
      <w:tr>
        <w:trPr>
          <w:trHeight w:val="173"/>
        </w:trPr>
        <w:tc>
          <w:tcPr>
            <w:tcW w:w="3360" w:type="dxa"/>
            <w:vAlign w:val="bottom"/>
          </w:tcPr>
          <w:p>
            <w:pPr>
              <w:ind w:left="160"/>
              <w:spacing w:after="0" w:line="173" w:lineRule="exact"/>
              <w:rPr>
                <w:sz w:val="20"/>
                <w:szCs w:val="20"/>
                <w:color w:val="auto"/>
              </w:rPr>
            </w:pPr>
            <w:r>
              <w:rPr>
                <w:rFonts w:ascii="Arial" w:cs="Arial" w:eastAsia="Arial" w:hAnsi="Arial"/>
                <w:sz w:val="18"/>
                <w:szCs w:val="18"/>
                <w:color w:val="auto"/>
              </w:rPr>
              <w:t>Currency transactions</w:t>
            </w:r>
          </w:p>
        </w:tc>
        <w:tc>
          <w:tcPr>
            <w:tcW w:w="2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$1,975</w:t>
            </w:r>
          </w:p>
        </w:tc>
        <w:tc>
          <w:tcPr>
            <w:tcW w:w="98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$2,174</w:t>
            </w:r>
          </w:p>
        </w:tc>
        <w:tc>
          <w:tcPr>
            <w:tcW w:w="100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$3,879</w:t>
            </w:r>
          </w:p>
        </w:tc>
        <w:tc>
          <w:tcPr>
            <w:tcW w:w="12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$2,873</w:t>
            </w:r>
          </w:p>
        </w:tc>
      </w:tr>
      <w:tr>
        <w:trPr>
          <w:trHeight w:val="203"/>
        </w:trPr>
        <w:tc>
          <w:tcPr>
            <w:tcW w:w="54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1600" w:type="dxa"/>
            <w:vAlign w:val="bottom"/>
          </w:tcPr>
          <w:p>
            <w:pPr>
              <w:spacing w:after="0"/>
              <w:rPr>
                <w:sz w:val="17"/>
                <w:szCs w:val="17"/>
                <w:color w:val="auto"/>
              </w:rPr>
            </w:pPr>
          </w:p>
        </w:tc>
        <w:tc>
          <w:tcPr>
            <w:tcW w:w="12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203</w:t>
            </w:r>
          </w:p>
        </w:tc>
        <w:tc>
          <w:tcPr>
            <w:tcW w:w="9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605</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1,201</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1,814</w:t>
            </w:r>
          </w:p>
        </w:tc>
      </w:tr>
      <w:tr>
        <w:trPr>
          <w:trHeight w:val="239"/>
        </w:trPr>
        <w:tc>
          <w:tcPr>
            <w:tcW w:w="3360" w:type="dxa"/>
            <w:vAlign w:val="bottom"/>
          </w:tcPr>
          <w:p>
            <w:pPr>
              <w:ind w:left="160"/>
              <w:spacing w:after="0"/>
              <w:rPr>
                <w:sz w:val="20"/>
                <w:szCs w:val="20"/>
                <w:color w:val="auto"/>
              </w:rPr>
            </w:pPr>
            <w:r>
              <w:rPr>
                <w:rFonts w:ascii="Arial" w:cs="Arial" w:eastAsia="Arial" w:hAnsi="Arial"/>
                <w:sz w:val="18"/>
                <w:szCs w:val="18"/>
                <w:color w:val="auto"/>
              </w:rPr>
              <w:t>Letter of credit fees</w:t>
            </w:r>
          </w:p>
        </w:tc>
        <w:tc>
          <w:tcPr>
            <w:tcW w:w="2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961</w:t>
            </w:r>
          </w:p>
        </w:tc>
      </w:tr>
      <w:tr>
        <w:trPr>
          <w:trHeight w:val="207"/>
        </w:trPr>
        <w:tc>
          <w:tcPr>
            <w:tcW w:w="5400" w:type="dxa"/>
            <w:vAlign w:val="bottom"/>
            <w:gridSpan w:val="2"/>
          </w:tcPr>
          <w:p>
            <w:pPr>
              <w:ind w:left="160"/>
              <w:spacing w:after="0"/>
              <w:rPr>
                <w:sz w:val="20"/>
                <w:szCs w:val="20"/>
                <w:color w:val="auto"/>
              </w:rPr>
            </w:pPr>
            <w:r>
              <w:rPr>
                <w:rFonts w:ascii="Arial" w:cs="Arial" w:eastAsia="Arial" w:hAnsi="Arial"/>
                <w:sz w:val="18"/>
                <w:szCs w:val="18"/>
                <w:color w:val="auto"/>
              </w:rPr>
              <w:t>Organizational costs related to Albany Safran Composites</w:t>
            </w:r>
          </w:p>
        </w:tc>
        <w:tc>
          <w:tcPr>
            <w:tcW w:w="1600" w:type="dxa"/>
            <w:vAlign w:val="bottom"/>
          </w:tcPr>
          <w:p>
            <w:pPr>
              <w:spacing w:after="0"/>
              <w:rPr>
                <w:sz w:val="17"/>
                <w:szCs w:val="17"/>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500</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240" w:type="dxa"/>
            <w:vAlign w:val="bottom"/>
          </w:tcPr>
          <w:p>
            <w:pPr>
              <w:spacing w:after="0"/>
              <w:rPr>
                <w:sz w:val="17"/>
                <w:szCs w:val="17"/>
                <w:color w:val="auto"/>
              </w:rPr>
            </w:pPr>
          </w:p>
        </w:tc>
      </w:tr>
      <w:tr>
        <w:trPr>
          <w:trHeight w:val="225"/>
        </w:trPr>
        <w:tc>
          <w:tcPr>
            <w:tcW w:w="3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14</w:t>
            </w: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99</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(586)</w:t>
            </w:r>
          </w:p>
        </w:tc>
      </w:tr>
      <w:tr>
        <w:trPr>
          <w:trHeight w:val="196"/>
        </w:trPr>
        <w:tc>
          <w:tcPr>
            <w:tcW w:w="336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$2,692</w:t>
            </w:r>
          </w:p>
        </w:tc>
        <w:tc>
          <w:tcPr>
            <w:tcW w:w="9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$3,069</w:t>
            </w: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$5,637</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$5,062</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components of income tax expense/(benefit) for the three and nine month periods ended September 30,</w:t>
      </w:r>
    </w:p>
    <w:p>
      <w:pPr>
        <w:spacing w:after="0"/>
        <w:rPr>
          <w:sz w:val="20"/>
          <w:szCs w:val="20"/>
          <w:color w:val="auto"/>
        </w:rPr>
      </w:pPr>
      <w:r>
        <w:rPr>
          <w:rFonts w:ascii="Arial" w:cs="Arial" w:eastAsia="Arial" w:hAnsi="Arial"/>
          <w:sz w:val="18"/>
          <w:szCs w:val="18"/>
          <w:color w:val="auto"/>
        </w:rPr>
        <w:t>2013 and 2012: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8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Three months ended</w:t>
            </w:r>
          </w:p>
        </w:tc>
        <w:tc>
          <w:tcPr>
            <w:tcW w:w="214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81"/>
        </w:trPr>
        <w:tc>
          <w:tcPr>
            <w:tcW w:w="6880" w:type="dxa"/>
            <w:vAlign w:val="bottom"/>
          </w:tcPr>
          <w:p>
            <w:pPr>
              <w:spacing w:after="0"/>
              <w:rPr>
                <w:sz w:val="15"/>
                <w:szCs w:val="15"/>
                <w:color w:val="auto"/>
              </w:rPr>
            </w:pPr>
          </w:p>
        </w:tc>
        <w:tc>
          <w:tcPr>
            <w:tcW w:w="2400" w:type="dxa"/>
            <w:vAlign w:val="bottom"/>
            <w:gridSpan w:val="2"/>
          </w:tcPr>
          <w:p>
            <w:pPr>
              <w:jc w:val="right"/>
              <w:ind w:right="590"/>
              <w:spacing w:after="0" w:line="181" w:lineRule="exact"/>
              <w:rPr>
                <w:sz w:val="20"/>
                <w:szCs w:val="20"/>
                <w:color w:val="auto"/>
              </w:rPr>
            </w:pPr>
            <w:r>
              <w:rPr>
                <w:rFonts w:ascii="Arial" w:cs="Arial" w:eastAsia="Arial" w:hAnsi="Arial"/>
                <w:sz w:val="18"/>
                <w:szCs w:val="18"/>
                <w:color w:val="auto"/>
              </w:rPr>
              <w:t>September 30,</w:t>
            </w:r>
          </w:p>
        </w:tc>
        <w:tc>
          <w:tcPr>
            <w:tcW w:w="2140" w:type="dxa"/>
            <w:vAlign w:val="bottom"/>
            <w:gridSpan w:val="2"/>
          </w:tcPr>
          <w:p>
            <w:pPr>
              <w:jc w:val="right"/>
              <w:ind w:right="450"/>
              <w:spacing w:after="0" w:line="181"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5"/>
        </w:trPr>
        <w:tc>
          <w:tcPr>
            <w:tcW w:w="6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38"/>
        </w:trPr>
        <w:tc>
          <w:tcPr>
            <w:tcW w:w="6880" w:type="dxa"/>
            <w:vAlign w:val="bottom"/>
          </w:tcPr>
          <w:p>
            <w:pPr>
              <w:ind w:left="100"/>
              <w:spacing w:after="0"/>
              <w:rPr>
                <w:sz w:val="20"/>
                <w:szCs w:val="20"/>
                <w:color w:val="auto"/>
              </w:rPr>
            </w:pPr>
            <w:r>
              <w:rPr>
                <w:rFonts w:ascii="Arial" w:cs="Arial" w:eastAsia="Arial" w:hAnsi="Arial"/>
                <w:sz w:val="18"/>
                <w:szCs w:val="18"/>
                <w:color w:val="auto"/>
              </w:rPr>
              <w:t>Income tax based on income from continuing operations, at estimated tax rates of</w:t>
            </w: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$2,902</w:t>
            </w:r>
          </w:p>
        </w:tc>
        <w:tc>
          <w:tcPr>
            <w:tcW w:w="1120" w:type="dxa"/>
            <w:vAlign w:val="bottom"/>
          </w:tcPr>
          <w:p>
            <w:pPr>
              <w:spacing w:after="0"/>
              <w:rPr>
                <w:sz w:val="24"/>
                <w:szCs w:val="24"/>
                <w:color w:val="auto"/>
              </w:rPr>
            </w:pP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$6,382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880" w:type="dxa"/>
            <w:vAlign w:val="bottom"/>
          </w:tcPr>
          <w:p>
            <w:pPr>
              <w:ind w:left="100"/>
              <w:spacing w:after="0" w:line="181" w:lineRule="exact"/>
              <w:rPr>
                <w:sz w:val="20"/>
                <w:szCs w:val="20"/>
                <w:color w:val="auto"/>
              </w:rPr>
            </w:pPr>
            <w:r>
              <w:rPr>
                <w:rFonts w:ascii="Arial" w:cs="Arial" w:eastAsia="Arial" w:hAnsi="Arial"/>
                <w:sz w:val="18"/>
                <w:szCs w:val="18"/>
                <w:color w:val="auto"/>
              </w:rPr>
              <w:t>41.0% and 35.4%, respectively</w:t>
            </w:r>
          </w:p>
        </w:tc>
        <w:tc>
          <w:tcPr>
            <w:tcW w:w="1280" w:type="dxa"/>
            <w:vAlign w:val="bottom"/>
            <w:vMerge w:val="continue"/>
          </w:tcPr>
          <w:p>
            <w:pPr>
              <w:spacing w:after="0"/>
              <w:rPr>
                <w:sz w:val="15"/>
                <w:szCs w:val="15"/>
                <w:color w:val="auto"/>
              </w:rPr>
            </w:pPr>
          </w:p>
        </w:tc>
        <w:tc>
          <w:tcPr>
            <w:tcW w:w="112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$5,681</w:t>
            </w:r>
          </w:p>
        </w:tc>
        <w:tc>
          <w:tcPr>
            <w:tcW w:w="1100" w:type="dxa"/>
            <w:vAlign w:val="bottom"/>
            <w:vMerge w:val="continue"/>
          </w:tcPr>
          <w:p>
            <w:pPr>
              <w:spacing w:after="0"/>
              <w:rPr>
                <w:sz w:val="15"/>
                <w:szCs w:val="15"/>
                <w:color w:val="auto"/>
              </w:rPr>
            </w:pPr>
          </w:p>
        </w:tc>
        <w:tc>
          <w:tcPr>
            <w:tcW w:w="10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$13,545</w:t>
            </w:r>
          </w:p>
        </w:tc>
        <w:tc>
          <w:tcPr>
            <w:tcW w:w="0" w:type="dxa"/>
            <w:vAlign w:val="bottom"/>
          </w:tcPr>
          <w:p>
            <w:pPr>
              <w:spacing w:after="0"/>
              <w:rPr>
                <w:sz w:val="1"/>
                <w:szCs w:val="1"/>
                <w:color w:val="auto"/>
              </w:rPr>
            </w:pPr>
          </w:p>
        </w:tc>
      </w:tr>
      <w:tr>
        <w:trPr>
          <w:trHeight w:val="203"/>
        </w:trPr>
        <w:tc>
          <w:tcPr>
            <w:tcW w:w="6880" w:type="dxa"/>
            <w:vAlign w:val="bottom"/>
          </w:tcPr>
          <w:p>
            <w:pPr>
              <w:ind w:left="100"/>
              <w:spacing w:after="0" w:line="202" w:lineRule="exact"/>
              <w:rPr>
                <w:sz w:val="20"/>
                <w:szCs w:val="20"/>
                <w:color w:val="auto"/>
              </w:rPr>
            </w:pPr>
            <w:r>
              <w:rPr>
                <w:rFonts w:ascii="Arial" w:cs="Arial" w:eastAsia="Arial" w:hAnsi="Arial"/>
                <w:sz w:val="18"/>
                <w:szCs w:val="18"/>
                <w:color w:val="auto"/>
              </w:rPr>
              <w:t>Pension plan settlement</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(39,460)</w:t>
            </w:r>
          </w:p>
        </w:tc>
        <w:tc>
          <w:tcPr>
            <w:tcW w:w="0" w:type="dxa"/>
            <w:vAlign w:val="bottom"/>
          </w:tcPr>
          <w:p>
            <w:pPr>
              <w:spacing w:after="0"/>
              <w:rPr>
                <w:sz w:val="1"/>
                <w:szCs w:val="1"/>
                <w:color w:val="auto"/>
              </w:rPr>
            </w:pPr>
          </w:p>
        </w:tc>
      </w:tr>
      <w:tr>
        <w:trPr>
          <w:trHeight w:val="203"/>
        </w:trPr>
        <w:tc>
          <w:tcPr>
            <w:tcW w:w="6880" w:type="dxa"/>
            <w:vAlign w:val="bottom"/>
          </w:tcPr>
          <w:p>
            <w:pPr>
              <w:ind w:left="100"/>
              <w:spacing w:after="0" w:line="202" w:lineRule="exact"/>
              <w:rPr>
                <w:sz w:val="20"/>
                <w:szCs w:val="20"/>
                <w:color w:val="auto"/>
              </w:rPr>
            </w:pPr>
            <w:r>
              <w:rPr>
                <w:rFonts w:ascii="Arial" w:cs="Arial" w:eastAsia="Arial" w:hAnsi="Arial"/>
                <w:sz w:val="18"/>
                <w:szCs w:val="18"/>
                <w:color w:val="auto"/>
              </w:rPr>
              <w:t>Tax rate adjustment on pension plan settlement</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Provision for change in estimated tax rates</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170</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1,968</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6880" w:type="dxa"/>
            <w:vAlign w:val="bottom"/>
          </w:tcPr>
          <w:p>
            <w:pPr>
              <w:ind w:left="100"/>
              <w:spacing w:after="0"/>
              <w:rPr>
                <w:sz w:val="20"/>
                <w:szCs w:val="20"/>
                <w:color w:val="auto"/>
              </w:rPr>
            </w:pPr>
            <w:r>
              <w:rPr>
                <w:rFonts w:ascii="Arial" w:cs="Arial" w:eastAsia="Arial" w:hAnsi="Arial"/>
                <w:sz w:val="18"/>
                <w:szCs w:val="18"/>
                <w:color w:val="auto"/>
              </w:rPr>
              <w:t>Income tax before discrete items</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3,072</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7,649</w:t>
            </w: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6,382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(25,915)</w:t>
            </w:r>
          </w:p>
        </w:tc>
        <w:tc>
          <w:tcPr>
            <w:tcW w:w="0" w:type="dxa"/>
            <w:vAlign w:val="bottom"/>
          </w:tcPr>
          <w:p>
            <w:pPr>
              <w:spacing w:after="0"/>
              <w:rPr>
                <w:sz w:val="1"/>
                <w:szCs w:val="1"/>
                <w:color w:val="auto"/>
              </w:rPr>
            </w:pPr>
          </w:p>
        </w:tc>
      </w:tr>
      <w:tr>
        <w:trPr>
          <w:trHeight w:val="449"/>
        </w:trPr>
        <w:tc>
          <w:tcPr>
            <w:tcW w:w="6880" w:type="dxa"/>
            <w:vAlign w:val="bottom"/>
          </w:tcPr>
          <w:p>
            <w:pPr>
              <w:ind w:left="100"/>
              <w:spacing w:after="0"/>
              <w:rPr>
                <w:sz w:val="20"/>
                <w:szCs w:val="20"/>
                <w:color w:val="auto"/>
              </w:rPr>
            </w:pPr>
            <w:r>
              <w:rPr>
                <w:rFonts w:ascii="Arial" w:cs="Arial" w:eastAsia="Arial" w:hAnsi="Arial"/>
                <w:sz w:val="18"/>
                <w:szCs w:val="18"/>
                <w:color w:val="auto"/>
              </w:rPr>
              <w:t>Discrete tax expense/(benefit):</w:t>
            </w: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(818)</w:t>
            </w:r>
          </w:p>
        </w:tc>
        <w:tc>
          <w:tcPr>
            <w:tcW w:w="1120" w:type="dxa"/>
            <w:vAlign w:val="bottom"/>
          </w:tcPr>
          <w:p>
            <w:pPr>
              <w:spacing w:after="0"/>
              <w:rPr>
                <w:sz w:val="24"/>
                <w:szCs w:val="24"/>
                <w:color w:val="auto"/>
              </w:rPr>
            </w:pP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(734)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880" w:type="dxa"/>
            <w:vAlign w:val="bottom"/>
          </w:tcPr>
          <w:p>
            <w:pPr>
              <w:ind w:left="140"/>
              <w:spacing w:after="0" w:line="181" w:lineRule="exact"/>
              <w:rPr>
                <w:sz w:val="20"/>
                <w:szCs w:val="20"/>
                <w:color w:val="auto"/>
              </w:rPr>
            </w:pPr>
            <w:r>
              <w:rPr>
                <w:rFonts w:ascii="Arial" w:cs="Arial" w:eastAsia="Arial" w:hAnsi="Arial"/>
                <w:sz w:val="18"/>
                <w:szCs w:val="18"/>
                <w:color w:val="auto"/>
              </w:rPr>
              <w:t>Adjustments to prior period tax liabilities</w:t>
            </w:r>
          </w:p>
        </w:tc>
        <w:tc>
          <w:tcPr>
            <w:tcW w:w="1280" w:type="dxa"/>
            <w:vAlign w:val="bottom"/>
            <w:vMerge w:val="continue"/>
          </w:tcPr>
          <w:p>
            <w:pPr>
              <w:spacing w:after="0"/>
              <w:rPr>
                <w:sz w:val="15"/>
                <w:szCs w:val="15"/>
                <w:color w:val="auto"/>
              </w:rPr>
            </w:pPr>
          </w:p>
        </w:tc>
        <w:tc>
          <w:tcPr>
            <w:tcW w:w="112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(912)</w:t>
            </w:r>
          </w:p>
        </w:tc>
        <w:tc>
          <w:tcPr>
            <w:tcW w:w="1100" w:type="dxa"/>
            <w:vAlign w:val="bottom"/>
            <w:vMerge w:val="continue"/>
          </w:tcPr>
          <w:p>
            <w:pPr>
              <w:spacing w:after="0"/>
              <w:rPr>
                <w:sz w:val="15"/>
                <w:szCs w:val="15"/>
                <w:color w:val="auto"/>
              </w:rPr>
            </w:pPr>
          </w:p>
        </w:tc>
        <w:tc>
          <w:tcPr>
            <w:tcW w:w="10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3"/>
        </w:trPr>
        <w:tc>
          <w:tcPr>
            <w:tcW w:w="6880" w:type="dxa"/>
            <w:vAlign w:val="bottom"/>
          </w:tcPr>
          <w:p>
            <w:pPr>
              <w:ind w:left="160"/>
              <w:spacing w:after="0" w:line="202" w:lineRule="exact"/>
              <w:rPr>
                <w:sz w:val="20"/>
                <w:szCs w:val="20"/>
                <w:color w:val="auto"/>
              </w:rPr>
            </w:pPr>
            <w:r>
              <w:rPr>
                <w:rFonts w:ascii="Arial" w:cs="Arial" w:eastAsia="Arial" w:hAnsi="Arial"/>
                <w:sz w:val="18"/>
                <w:szCs w:val="18"/>
                <w:color w:val="auto"/>
              </w:rPr>
              <w:t>Repatriation of non-US prior year earnings</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396</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582</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80" w:type="dxa"/>
            <w:vAlign w:val="bottom"/>
          </w:tcPr>
          <w:p>
            <w:pPr>
              <w:ind w:left="160"/>
              <w:spacing w:after="0" w:line="202" w:lineRule="exact"/>
              <w:rPr>
                <w:sz w:val="20"/>
                <w:szCs w:val="20"/>
                <w:color w:val="auto"/>
              </w:rPr>
            </w:pPr>
            <w:r>
              <w:rPr>
                <w:rFonts w:ascii="Arial" w:cs="Arial" w:eastAsia="Arial" w:hAnsi="Arial"/>
                <w:sz w:val="18"/>
                <w:szCs w:val="18"/>
                <w:color w:val="auto"/>
              </w:rPr>
              <w:t>Enacted legislation change</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(269)</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(226)</w:t>
            </w: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(269)</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5"/>
        </w:trPr>
        <w:tc>
          <w:tcPr>
            <w:tcW w:w="6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Provision for/resolution of tax audits and contingencies, net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454</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425</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196"/>
        </w:trPr>
        <w:tc>
          <w:tcPr>
            <w:tcW w:w="68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income tax expense/(benefit)</w:t>
            </w:r>
          </w:p>
        </w:tc>
        <w:tc>
          <w:tcPr>
            <w:tcW w:w="12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$2,381</w:t>
            </w:r>
          </w:p>
        </w:tc>
        <w:tc>
          <w:tcPr>
            <w:tcW w:w="11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$6,965</w:t>
            </w:r>
          </w:p>
        </w:tc>
        <w:tc>
          <w:tcPr>
            <w:tcW w:w="11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$6,386</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($32,650)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The third-quarter estimated effective tax rate on continuing operations was 41.0 percent in 2013, as compared to 35.4 percent for the same period in 2012. The change in the estimated effective tax rate was primarily attributable to changes in the anticipated amount and distribution of income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62" w:right="239" w:bottom="1440" w:gutter="0" w:footer="0" w:header="0"/>
        </w:sectPr>
      </w:pPr>
    </w:p>
    <w:bookmarkStart w:id="12" w:name="page13"/>
    <w:bookmarkEnd w:id="12"/>
    <w:p>
      <w:pPr>
        <w:ind w:right="760"/>
        <w:spacing w:after="0" w:line="246" w:lineRule="auto"/>
        <w:rPr>
          <w:sz w:val="20"/>
          <w:szCs w:val="20"/>
          <w:color w:val="auto"/>
        </w:rPr>
      </w:pPr>
      <w:r>
        <w:rPr>
          <w:rFonts w:ascii="Arial" w:cs="Arial" w:eastAsia="Arial" w:hAnsi="Arial"/>
          <w:sz w:val="18"/>
          <w:szCs w:val="18"/>
          <w:color w:val="auto"/>
        </w:rPr>
        <w:t>loss among the countries in which we operate. The 2012 third-quarter tax rate was also impacted by operating losses generated in tax jurisdictions where no tax benefit was recognized.</w:t>
      </w:r>
    </w:p>
    <w:p>
      <w:pPr>
        <w:spacing w:after="0" w:line="15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Company records the residual U.S. and foreign taxes on certain amounts of current foreign earnings that have been targeted for repatriation to the U.S. As a result, such amounts are not considered to be permanently reinvested, and the Company accrued for the residual taxes on these earnings to the extent they cannot be repatriated in a tax-free manner. At September 30, 2013 the Company reported a deferred tax liability of $0.6 million on $4.4 million of non-U.S. earnings that have been targeted for future repatriation to the U.S.</w:t>
      </w:r>
    </w:p>
    <w:p>
      <w:pPr>
        <w:spacing w:after="0" w:line="175" w:lineRule="exact"/>
        <w:rPr>
          <w:sz w:val="20"/>
          <w:szCs w:val="20"/>
          <w:color w:val="auto"/>
        </w:rPr>
      </w:pPr>
    </w:p>
    <w:p>
      <w:pPr>
        <w:ind w:right="240" w:firstLine="648"/>
        <w:spacing w:after="0" w:line="238" w:lineRule="auto"/>
        <w:rPr>
          <w:sz w:val="20"/>
          <w:szCs w:val="20"/>
          <w:color w:val="auto"/>
        </w:rPr>
      </w:pPr>
      <w:r>
        <w:rPr>
          <w:rFonts w:ascii="Arial" w:cs="Arial" w:eastAsia="Arial" w:hAnsi="Arial"/>
          <w:sz w:val="18"/>
          <w:szCs w:val="18"/>
          <w:color w:val="auto"/>
        </w:rPr>
        <w:t>We conduct business globally and, as a result, the Company or one or more of our subsidiaries files income tax returns in the U.S. federal jurisdiction and various state and foreign jurisdictions. In the normal course of business we are subject to examination by taxing authorities throughout the world, including major jurisdictions such as the United States, Brazil, Canada, France, Germany, Italy, Mexico, and Switzerland. Open tax years in these jurisdictions range from 2000 to 2012. We are currently under audit in the U.S. and other non-U.S. tax jurisdictions, including but not limited to Canada, Germany, and France.</w:t>
      </w:r>
    </w:p>
    <w:p>
      <w:pPr>
        <w:spacing w:after="0" w:line="16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$ 0.0 million to a net decrease of $3.5 million, from the reevaluation of uncertain tax positions arising in examinations, in appeals, or in the courts, or from the closure of tax statutes. Not included in the range is $23.0 million of tax benefits in Germany related to a 1999 reorganization that have been challenged by the German tax authorities in the course of an audit, of which $11.7 million would have a direct impact on our statement of income if resolved unfavorably.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 released its decision, in which it resolved certain tax issues that may be relevant to our audit and remanded the case to a lower court for further development. In 2012, the lower court decided in favor of the taxpayer and the government appealed the findings to the FTC. Although we were required to pay tax and interest of approximately $13.1 million to the German tax authorities in order to continue to pursue the position, when taking into consideration the ECJ decision, the latest FTC decision and the lower court decision, we believe that it is more likely than not that the relevant German law is violative of EU principles and accordingly we have not accrued tax expense on this matter. As we continue to monitor developments, it may become necessary for us to accrue tax expense and related interest.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93"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Earnings per share are computed using the weighted average number of shares of Class A Common Stock and Class B Common Stock outstanding during the period. Diluted earnings per share include the effect of all potentially dilutive securities.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5"/>
        </w:trPr>
        <w:tc>
          <w:tcPr>
            <w:tcW w:w="5380" w:type="dxa"/>
            <w:vAlign w:val="bottom"/>
            <w:tcBorders>
              <w:top w:val="single" w:sz="8" w:color="auto"/>
            </w:tcBorders>
          </w:tcPr>
          <w:p>
            <w:pPr>
              <w:spacing w:after="0"/>
              <w:rPr>
                <w:sz w:val="18"/>
                <w:szCs w:val="18"/>
                <w:color w:val="auto"/>
              </w:rPr>
            </w:pPr>
          </w:p>
        </w:tc>
        <w:tc>
          <w:tcPr>
            <w:tcW w:w="3520" w:type="dxa"/>
            <w:vAlign w:val="bottom"/>
            <w:tcBorders>
              <w:top w:val="single" w:sz="8" w:color="auto"/>
            </w:tcBorders>
            <w:gridSpan w:val="2"/>
          </w:tcPr>
          <w:p>
            <w:pPr>
              <w:jc w:val="center"/>
              <w:ind w:left="1210"/>
              <w:spacing w:after="0"/>
              <w:rPr>
                <w:sz w:val="20"/>
                <w:szCs w:val="20"/>
                <w:color w:val="auto"/>
              </w:rPr>
            </w:pPr>
            <w:r>
              <w:rPr>
                <w:rFonts w:ascii="Arial" w:cs="Arial" w:eastAsia="Arial" w:hAnsi="Arial"/>
                <w:sz w:val="18"/>
                <w:szCs w:val="18"/>
                <w:color w:val="auto"/>
                <w:w w:val="99"/>
              </w:rPr>
              <w:t>Three months ended</w:t>
            </w:r>
          </w:p>
        </w:tc>
      </w:tr>
      <w:tr>
        <w:trPr>
          <w:trHeight w:val="217"/>
        </w:trPr>
        <w:tc>
          <w:tcPr>
            <w:tcW w:w="5380" w:type="dxa"/>
            <w:vAlign w:val="bottom"/>
          </w:tcPr>
          <w:p>
            <w:pPr>
              <w:spacing w:after="0"/>
              <w:rPr>
                <w:sz w:val="18"/>
                <w:szCs w:val="18"/>
                <w:color w:val="auto"/>
              </w:rPr>
            </w:pPr>
          </w:p>
        </w:tc>
        <w:tc>
          <w:tcPr>
            <w:tcW w:w="3520" w:type="dxa"/>
            <w:vAlign w:val="bottom"/>
            <w:gridSpan w:val="2"/>
          </w:tcPr>
          <w:p>
            <w:pPr>
              <w:jc w:val="center"/>
              <w:ind w:left="1210"/>
              <w:spacing w:after="0"/>
              <w:rPr>
                <w:sz w:val="20"/>
                <w:szCs w:val="20"/>
                <w:color w:val="auto"/>
              </w:rPr>
            </w:pPr>
            <w:r>
              <w:rPr>
                <w:rFonts w:ascii="Arial" w:cs="Arial" w:eastAsia="Arial" w:hAnsi="Arial"/>
                <w:sz w:val="18"/>
                <w:szCs w:val="18"/>
                <w:color w:val="auto"/>
                <w:w w:val="99"/>
              </w:rPr>
              <w:t>September 30,</w:t>
            </w:r>
          </w:p>
        </w:tc>
      </w:tr>
      <w:tr>
        <w:trPr>
          <w:trHeight w:val="230"/>
        </w:trPr>
        <w:tc>
          <w:tcPr>
            <w:tcW w:w="5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 except market price data)</w:t>
            </w:r>
          </w:p>
        </w:tc>
        <w:tc>
          <w:tcPr>
            <w:tcW w:w="25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r>
      <w:tr>
        <w:trPr>
          <w:trHeight w:val="480"/>
        </w:trPr>
        <w:tc>
          <w:tcPr>
            <w:tcW w:w="5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income available to common shareholders</w:t>
            </w:r>
          </w:p>
        </w:tc>
        <w:tc>
          <w:tcPr>
            <w:tcW w:w="2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$4,698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w:t>
            </w:r>
          </w:p>
        </w:tc>
      </w:tr>
      <w:tr>
        <w:trPr>
          <w:trHeight w:val="493"/>
        </w:trPr>
        <w:tc>
          <w:tcPr>
            <w:tcW w:w="5380" w:type="dxa"/>
            <w:vAlign w:val="bottom"/>
          </w:tcPr>
          <w:p>
            <w:pPr>
              <w:ind w:left="100"/>
              <w:spacing w:after="0"/>
              <w:rPr>
                <w:sz w:val="20"/>
                <w:szCs w:val="20"/>
                <w:color w:val="auto"/>
              </w:rPr>
            </w:pPr>
            <w:r>
              <w:rPr>
                <w:rFonts w:ascii="Arial" w:cs="Arial" w:eastAsia="Arial" w:hAnsi="Arial"/>
                <w:sz w:val="18"/>
                <w:szCs w:val="18"/>
                <w:b w:val="1"/>
                <w:bCs w:val="1"/>
                <w:color w:val="auto"/>
              </w:rPr>
              <w:t>Weighted average number of shares:</w:t>
            </w:r>
          </w:p>
        </w:tc>
        <w:tc>
          <w:tcPr>
            <w:tcW w:w="25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-131445</wp:posOffset>
            </wp:positionV>
            <wp:extent cx="14319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18"/>
          <w:szCs w:val="18"/>
          <w:color w:val="auto"/>
        </w:rPr>
        <w:t>September 30,</w:t>
      </w:r>
    </w:p>
    <w:p>
      <w:pPr>
        <w:spacing w:after="0" w:line="1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11430</wp:posOffset>
            </wp:positionV>
            <wp:extent cx="14319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73"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b w:val="1"/>
          <w:bCs w:val="1"/>
          <w:color w:val="auto"/>
        </w:rPr>
        <w:t>$8,830</w:t>
      </w:r>
      <w:r>
        <w:rPr>
          <w:sz w:val="20"/>
          <w:szCs w:val="20"/>
          <w:color w:val="auto"/>
        </w:rPr>
        <w:tab/>
      </w:r>
      <w:r>
        <w:rPr>
          <w:rFonts w:ascii="Arial" w:cs="Arial" w:eastAsia="Arial" w:hAnsi="Arial"/>
          <w:sz w:val="17"/>
          <w:szCs w:val="17"/>
          <w:color w:val="auto"/>
        </w:rPr>
        <w:t>$22,759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11430</wp:posOffset>
            </wp:positionV>
            <wp:extent cx="14319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731" w:lineRule="exact"/>
        <w:rPr>
          <w:sz w:val="20"/>
          <w:szCs w:val="20"/>
          <w:color w:val="auto"/>
        </w:rPr>
      </w:pPr>
    </w:p>
    <w:p>
      <w:pPr>
        <w:sectPr>
          <w:pgSz w:w="11900" w:h="16838" w:orient="portrait"/>
          <w:cols w:equalWidth="0" w:num="2">
            <w:col w:w="8900" w:space="620"/>
            <w:col w:w="1900"/>
          </w:cols>
          <w:pgMar w:left="240" w:top="849" w:right="239" w:bottom="1440" w:gutter="0" w:footer="0" w:header="0"/>
        </w:sectPr>
      </w:pPr>
    </w:p>
    <w:p>
      <w:pPr>
        <w:spacing w:after="0" w:line="69"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526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2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calculating basic net income/(loss) per share</w:t>
            </w:r>
          </w:p>
        </w:tc>
        <w:tc>
          <w:tcPr>
            <w:tcW w:w="2560" w:type="dxa"/>
            <w:vAlign w:val="bottom"/>
          </w:tcPr>
          <w:p>
            <w:pPr>
              <w:jc w:val="right"/>
              <w:ind w:right="190"/>
              <w:spacing w:after="0"/>
              <w:rPr>
                <w:sz w:val="20"/>
                <w:szCs w:val="20"/>
                <w:color w:val="auto"/>
              </w:rPr>
            </w:pPr>
            <w:r>
              <w:rPr>
                <w:rFonts w:ascii="Arial" w:cs="Arial" w:eastAsia="Arial" w:hAnsi="Arial"/>
                <w:sz w:val="18"/>
                <w:szCs w:val="18"/>
                <w:b w:val="1"/>
                <w:bCs w:val="1"/>
                <w:color w:val="auto"/>
              </w:rPr>
              <w:t>31,719</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31,363</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31,615</w:t>
            </w:r>
          </w:p>
        </w:tc>
        <w:tc>
          <w:tcPr>
            <w:tcW w:w="840" w:type="dxa"/>
            <w:vAlign w:val="bottom"/>
          </w:tcPr>
          <w:p>
            <w:pPr>
              <w:jc w:val="right"/>
              <w:spacing w:after="0"/>
              <w:rPr>
                <w:sz w:val="20"/>
                <w:szCs w:val="20"/>
                <w:color w:val="auto"/>
              </w:rPr>
            </w:pPr>
            <w:r>
              <w:rPr>
                <w:rFonts w:ascii="Arial" w:cs="Arial" w:eastAsia="Arial" w:hAnsi="Arial"/>
                <w:sz w:val="18"/>
                <w:szCs w:val="18"/>
                <w:color w:val="auto"/>
              </w:rPr>
              <w:t>31,340</w:t>
            </w:r>
          </w:p>
        </w:tc>
      </w:tr>
    </w:tbl>
    <w:p>
      <w:pPr>
        <w:spacing w:after="0" w:line="24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Effect of dilutive stock-based compensation plans:</w:t>
      </w:r>
    </w:p>
    <w:p>
      <w:pPr>
        <w:sectPr>
          <w:pgSz w:w="11900" w:h="16838" w:orient="portrait"/>
          <w:cols w:equalWidth="0" w:num="1">
            <w:col w:w="11420"/>
          </w:cols>
          <w:pgMar w:left="240" w:top="849" w:right="239" w:bottom="1440" w:gutter="0" w:footer="0" w:header="0"/>
          <w:type w:val="continuous"/>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8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500" w:type="dxa"/>
            <w:vAlign w:val="bottom"/>
          </w:tcPr>
          <w:p>
            <w:pPr>
              <w:jc w:val="right"/>
              <w:ind w:right="190"/>
              <w:spacing w:after="0"/>
              <w:rPr>
                <w:sz w:val="20"/>
                <w:szCs w:val="20"/>
                <w:color w:val="auto"/>
              </w:rPr>
            </w:pPr>
            <w:r>
              <w:rPr>
                <w:rFonts w:ascii="Arial" w:cs="Arial" w:eastAsia="Arial" w:hAnsi="Arial"/>
                <w:sz w:val="18"/>
                <w:szCs w:val="18"/>
                <w:b w:val="1"/>
                <w:bCs w:val="1"/>
                <w:color w:val="auto"/>
              </w:rPr>
              <w:t>122</w:t>
            </w: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73"/>
        </w:trPr>
        <w:tc>
          <w:tcPr>
            <w:tcW w:w="54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Long-term incentive plan</w:t>
            </w:r>
          </w:p>
        </w:tc>
        <w:tc>
          <w:tcPr>
            <w:tcW w:w="2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169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493"/>
        </w:trPr>
        <w:tc>
          <w:tcPr>
            <w:tcW w:w="5480" w:type="dxa"/>
            <w:vAlign w:val="bottom"/>
          </w:tcPr>
          <w:p>
            <w:pPr>
              <w:ind w:left="160"/>
              <w:spacing w:after="0"/>
              <w:rPr>
                <w:sz w:val="20"/>
                <w:szCs w:val="20"/>
                <w:color w:val="auto"/>
              </w:rPr>
            </w:pPr>
            <w:r>
              <w:rPr>
                <w:rFonts w:ascii="Arial" w:cs="Arial" w:eastAsia="Arial" w:hAnsi="Arial"/>
                <w:sz w:val="18"/>
                <w:szCs w:val="18"/>
                <w:color w:val="auto"/>
              </w:rPr>
              <w:t>Weighted average number of shares used in</w:t>
            </w:r>
          </w:p>
        </w:tc>
        <w:tc>
          <w:tcPr>
            <w:tcW w:w="2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54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calculating diluted net income/(loss) per share</w:t>
            </w:r>
          </w:p>
        </w:tc>
        <w:tc>
          <w:tcPr>
            <w:tcW w:w="2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32,010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31,550</w:t>
            </w:r>
          </w:p>
        </w:tc>
      </w:tr>
      <w:tr>
        <w:trPr>
          <w:trHeight w:val="736"/>
        </w:trPr>
        <w:tc>
          <w:tcPr>
            <w:tcW w:w="5480" w:type="dxa"/>
            <w:vAlign w:val="bottom"/>
          </w:tcPr>
          <w:p>
            <w:pPr>
              <w:ind w:left="140"/>
              <w:spacing w:after="0"/>
              <w:rPr>
                <w:sz w:val="20"/>
                <w:szCs w:val="20"/>
                <w:color w:val="auto"/>
              </w:rPr>
            </w:pPr>
            <w:r>
              <w:rPr>
                <w:rFonts w:ascii="Arial" w:cs="Arial" w:eastAsia="Arial" w:hAnsi="Arial"/>
                <w:sz w:val="18"/>
                <w:szCs w:val="18"/>
                <w:color w:val="auto"/>
              </w:rPr>
              <w:t>Average market price of common stock used</w:t>
            </w:r>
          </w:p>
        </w:tc>
        <w:tc>
          <w:tcPr>
            <w:tcW w:w="2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54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 calculation of dilutive shares</w:t>
            </w:r>
          </w:p>
        </w:tc>
        <w:tc>
          <w:tcPr>
            <w:tcW w:w="2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$34.43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w:t>
            </w:r>
          </w:p>
        </w:tc>
      </w:tr>
    </w:tbl>
    <w:p>
      <w:pPr>
        <w:spacing w:after="0" w:line="2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Net income per share:</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1480" w:hanging="1232"/>
        <w:spacing w:after="0"/>
        <w:tabs>
          <w:tab w:leader="none" w:pos="14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58</w:t>
      </w:r>
    </w:p>
    <w:p>
      <w:pPr>
        <w:spacing w:after="0" w:line="291" w:lineRule="exact"/>
        <w:rPr>
          <w:sz w:val="20"/>
          <w:szCs w:val="20"/>
          <w:color w:val="auto"/>
        </w:rPr>
      </w:pPr>
    </w:p>
    <w:p>
      <w:pPr>
        <w:ind w:left="1380" w:hanging="1132"/>
        <w:spacing w:after="0"/>
        <w:tabs>
          <w:tab w:leader="none" w:pos="138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5080</wp:posOffset>
            </wp:positionV>
            <wp:extent cx="14319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31,913</w:t>
      </w:r>
      <w:r>
        <w:rPr>
          <w:sz w:val="20"/>
          <w:szCs w:val="20"/>
          <w:color w:val="auto"/>
        </w:rPr>
        <w:tab/>
      </w:r>
      <w:r>
        <w:rPr>
          <w:rFonts w:ascii="Arial" w:cs="Arial" w:eastAsia="Arial" w:hAnsi="Arial"/>
          <w:sz w:val="17"/>
          <w:szCs w:val="17"/>
          <w:color w:val="auto"/>
        </w:rPr>
        <w:t>31,550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19050</wp:posOffset>
            </wp:positionV>
            <wp:extent cx="14319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$30.53</w:t>
      </w:r>
      <w:r>
        <w:rPr>
          <w:sz w:val="20"/>
          <w:szCs w:val="20"/>
          <w:color w:val="auto"/>
        </w:rPr>
        <w:tab/>
      </w:r>
      <w:r>
        <w:rPr>
          <w:rFonts w:ascii="Arial" w:cs="Arial" w:eastAsia="Arial" w:hAnsi="Arial"/>
          <w:sz w:val="17"/>
          <w:szCs w:val="17"/>
          <w:color w:val="auto"/>
        </w:rPr>
        <w:t>$21.46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11430</wp:posOffset>
            </wp:positionV>
            <wp:extent cx="14319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8920" w:space="720"/>
            <w:col w:w="1780"/>
          </w:cols>
          <w:pgMar w:left="240" w:top="849" w:right="2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80" w:type="dxa"/>
            <w:vAlign w:val="bottom"/>
          </w:tcPr>
          <w:p>
            <w:pPr>
              <w:ind w:left="160"/>
              <w:spacing w:after="0"/>
              <w:rPr>
                <w:sz w:val="20"/>
                <w:szCs w:val="20"/>
                <w:color w:val="auto"/>
              </w:rPr>
            </w:pPr>
            <w:r>
              <w:rPr>
                <w:rFonts w:ascii="Arial" w:cs="Arial" w:eastAsia="Arial" w:hAnsi="Arial"/>
                <w:sz w:val="18"/>
                <w:szCs w:val="18"/>
                <w:color w:val="auto"/>
              </w:rPr>
              <w:t>Basic</w:t>
            </w:r>
          </w:p>
        </w:tc>
        <w:tc>
          <w:tcPr>
            <w:tcW w:w="4040" w:type="dxa"/>
            <w:vAlign w:val="bottom"/>
          </w:tcPr>
          <w:p>
            <w:pPr>
              <w:jc w:val="right"/>
              <w:ind w:right="230"/>
              <w:spacing w:after="0"/>
              <w:rPr>
                <w:sz w:val="20"/>
                <w:szCs w:val="20"/>
                <w:color w:val="auto"/>
              </w:rPr>
            </w:pPr>
            <w:r>
              <w:rPr>
                <w:rFonts w:ascii="Arial" w:cs="Arial" w:eastAsia="Arial" w:hAnsi="Arial"/>
                <w:sz w:val="18"/>
                <w:szCs w:val="18"/>
                <w:b w:val="1"/>
                <w:bCs w:val="1"/>
                <w:color w:val="auto"/>
              </w:rPr>
              <w:t>$0.15</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$0.30</w:t>
            </w: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$0.28</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$0.73</w:t>
            </w:r>
          </w:p>
        </w:tc>
      </w:tr>
      <w:tr>
        <w:trPr>
          <w:trHeight w:val="432"/>
        </w:trPr>
        <w:tc>
          <w:tcPr>
            <w:tcW w:w="3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4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$0.15</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$0.30</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$0.28</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number of shares issued and outstanding: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Class A</w:t>
            </w:r>
          </w:p>
        </w:tc>
        <w:tc>
          <w:tcPr>
            <w:tcW w:w="15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Class B</w:t>
            </w:r>
          </w:p>
        </w:tc>
        <w:tc>
          <w:tcPr>
            <w:tcW w:w="21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Less: Treasury</w:t>
            </w:r>
          </w:p>
        </w:tc>
        <w:tc>
          <w:tcPr>
            <w:tcW w:w="19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Net shares</w:t>
            </w:r>
          </w:p>
        </w:tc>
      </w:tr>
      <w:tr>
        <w:trPr>
          <w:trHeight w:val="203"/>
        </w:trPr>
        <w:tc>
          <w:tcPr>
            <w:tcW w:w="31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ind w:left="1420"/>
              <w:spacing w:after="0" w:line="203" w:lineRule="exact"/>
              <w:rPr>
                <w:sz w:val="20"/>
                <w:szCs w:val="20"/>
                <w:color w:val="auto"/>
              </w:rPr>
            </w:pPr>
            <w:r>
              <w:rPr>
                <w:rFonts w:ascii="Arial" w:cs="Arial" w:eastAsia="Arial" w:hAnsi="Arial"/>
                <w:sz w:val="18"/>
                <w:szCs w:val="18"/>
                <w:color w:val="auto"/>
              </w:rPr>
              <w:t>Shares</w:t>
            </w:r>
          </w:p>
        </w:tc>
        <w:tc>
          <w:tcPr>
            <w:tcW w:w="1560" w:type="dxa"/>
            <w:vAlign w:val="bottom"/>
            <w:tcBorders>
              <w:bottom w:val="single" w:sz="8" w:color="auto"/>
            </w:tcBorders>
          </w:tcPr>
          <w:p>
            <w:pPr>
              <w:ind w:left="400"/>
              <w:spacing w:after="0" w:line="203" w:lineRule="exact"/>
              <w:rPr>
                <w:sz w:val="20"/>
                <w:szCs w:val="20"/>
                <w:color w:val="auto"/>
              </w:rPr>
            </w:pPr>
            <w:r>
              <w:rPr>
                <w:rFonts w:ascii="Arial" w:cs="Arial" w:eastAsia="Arial" w:hAnsi="Arial"/>
                <w:sz w:val="18"/>
                <w:szCs w:val="18"/>
                <w:color w:val="auto"/>
              </w:rPr>
              <w:t>Shares</w:t>
            </w:r>
          </w:p>
        </w:tc>
        <w:tc>
          <w:tcPr>
            <w:tcW w:w="2160" w:type="dxa"/>
            <w:vAlign w:val="bottom"/>
            <w:tcBorders>
              <w:bottom w:val="single" w:sz="8" w:color="auto"/>
            </w:tcBorders>
          </w:tcPr>
          <w:p>
            <w:pPr>
              <w:jc w:val="right"/>
              <w:ind w:right="850"/>
              <w:spacing w:after="0" w:line="203" w:lineRule="exact"/>
              <w:rPr>
                <w:sz w:val="20"/>
                <w:szCs w:val="20"/>
                <w:color w:val="auto"/>
              </w:rPr>
            </w:pPr>
            <w:r>
              <w:rPr>
                <w:rFonts w:ascii="Arial" w:cs="Arial" w:eastAsia="Arial" w:hAnsi="Arial"/>
                <w:sz w:val="18"/>
                <w:szCs w:val="18"/>
                <w:color w:val="auto"/>
              </w:rPr>
              <w:t>Shares</w:t>
            </w:r>
          </w:p>
        </w:tc>
        <w:tc>
          <w:tcPr>
            <w:tcW w:w="190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Outstanding</w:t>
            </w:r>
          </w:p>
        </w:tc>
      </w:tr>
      <w:tr>
        <w:trPr>
          <w:trHeight w:val="223"/>
        </w:trPr>
        <w:tc>
          <w:tcPr>
            <w:tcW w:w="3120" w:type="dxa"/>
            <w:vAlign w:val="bottom"/>
          </w:tcPr>
          <w:p>
            <w:pPr>
              <w:ind w:left="100"/>
              <w:spacing w:after="0"/>
              <w:rPr>
                <w:sz w:val="20"/>
                <w:szCs w:val="20"/>
                <w:color w:val="auto"/>
              </w:rPr>
            </w:pPr>
            <w:r>
              <w:rPr>
                <w:rFonts w:ascii="Arial" w:cs="Arial" w:eastAsia="Arial" w:hAnsi="Arial"/>
                <w:sz w:val="18"/>
                <w:szCs w:val="18"/>
                <w:color w:val="auto"/>
              </w:rPr>
              <w:t>September 30, 2013</w:t>
            </w:r>
          </w:p>
        </w:tc>
        <w:tc>
          <w:tcPr>
            <w:tcW w:w="2680" w:type="dxa"/>
            <w:vAlign w:val="bottom"/>
          </w:tcPr>
          <w:p>
            <w:pPr>
              <w:ind w:left="1380"/>
              <w:spacing w:after="0"/>
              <w:rPr>
                <w:sz w:val="20"/>
                <w:szCs w:val="20"/>
                <w:color w:val="auto"/>
              </w:rPr>
            </w:pPr>
            <w:r>
              <w:rPr>
                <w:rFonts w:ascii="Arial" w:cs="Arial" w:eastAsia="Arial" w:hAnsi="Arial"/>
                <w:sz w:val="18"/>
                <w:szCs w:val="18"/>
                <w:color w:val="auto"/>
              </w:rPr>
              <w:t>36,954,027</w:t>
            </w:r>
          </w:p>
        </w:tc>
        <w:tc>
          <w:tcPr>
            <w:tcW w:w="1560" w:type="dxa"/>
            <w:vAlign w:val="bottom"/>
          </w:tcPr>
          <w:p>
            <w:pPr>
              <w:ind w:left="420"/>
              <w:spacing w:after="0"/>
              <w:rPr>
                <w:sz w:val="20"/>
                <w:szCs w:val="20"/>
                <w:color w:val="auto"/>
              </w:rPr>
            </w:pPr>
            <w:r>
              <w:rPr>
                <w:rFonts w:ascii="Arial" w:cs="Arial" w:eastAsia="Arial" w:hAnsi="Arial"/>
                <w:sz w:val="18"/>
                <w:szCs w:val="18"/>
                <w:color w:val="auto"/>
              </w:rPr>
              <w:t>3,236,098</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(8,463,635)</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31,726,490</w:t>
            </w:r>
          </w:p>
        </w:tc>
      </w:tr>
      <w:tr>
        <w:trPr>
          <w:trHeight w:val="243"/>
        </w:trPr>
        <w:tc>
          <w:tcPr>
            <w:tcW w:w="3120" w:type="dxa"/>
            <w:vAlign w:val="bottom"/>
          </w:tcPr>
          <w:p>
            <w:pPr>
              <w:ind w:left="100"/>
              <w:spacing w:after="0"/>
              <w:rPr>
                <w:sz w:val="20"/>
                <w:szCs w:val="20"/>
                <w:color w:val="auto"/>
              </w:rPr>
            </w:pPr>
            <w:r>
              <w:rPr>
                <w:rFonts w:ascii="Arial" w:cs="Arial" w:eastAsia="Arial" w:hAnsi="Arial"/>
                <w:sz w:val="18"/>
                <w:szCs w:val="18"/>
                <w:color w:val="auto"/>
              </w:rPr>
              <w:t>June 30, 2013</w:t>
            </w:r>
          </w:p>
        </w:tc>
        <w:tc>
          <w:tcPr>
            <w:tcW w:w="2680" w:type="dxa"/>
            <w:vAlign w:val="bottom"/>
          </w:tcPr>
          <w:p>
            <w:pPr>
              <w:ind w:left="1380"/>
              <w:spacing w:after="0"/>
              <w:rPr>
                <w:sz w:val="20"/>
                <w:szCs w:val="20"/>
                <w:color w:val="auto"/>
              </w:rPr>
            </w:pPr>
            <w:r>
              <w:rPr>
                <w:rFonts w:ascii="Arial" w:cs="Arial" w:eastAsia="Arial" w:hAnsi="Arial"/>
                <w:sz w:val="18"/>
                <w:szCs w:val="18"/>
                <w:color w:val="auto"/>
              </w:rPr>
              <w:t>36,875,127</w:t>
            </w:r>
          </w:p>
        </w:tc>
        <w:tc>
          <w:tcPr>
            <w:tcW w:w="1560" w:type="dxa"/>
            <w:vAlign w:val="bottom"/>
          </w:tcPr>
          <w:p>
            <w:pPr>
              <w:ind w:left="420"/>
              <w:spacing w:after="0"/>
              <w:rPr>
                <w:sz w:val="20"/>
                <w:szCs w:val="20"/>
                <w:color w:val="auto"/>
              </w:rPr>
            </w:pPr>
            <w:r>
              <w:rPr>
                <w:rFonts w:ascii="Arial" w:cs="Arial" w:eastAsia="Arial" w:hAnsi="Arial"/>
                <w:sz w:val="18"/>
                <w:szCs w:val="18"/>
                <w:color w:val="auto"/>
              </w:rPr>
              <w:t>3,236,098</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(8,463,635)</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31,647,590</w:t>
            </w:r>
          </w:p>
        </w:tc>
      </w:tr>
      <w:tr>
        <w:trPr>
          <w:trHeight w:val="216"/>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September 30, 2012</w:t>
            </w:r>
          </w:p>
        </w:tc>
        <w:tc>
          <w:tcPr>
            <w:tcW w:w="268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36,629,604</w:t>
            </w: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3,236,098</w:t>
            </w:r>
          </w:p>
        </w:tc>
        <w:tc>
          <w:tcPr>
            <w:tcW w:w="2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(8,467,873)</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31,397,829</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Accumulated Other Comprehensive Income</w:t>
      </w:r>
    </w:p>
    <w:p>
      <w:pPr>
        <w:spacing w:after="0" w:line="207"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Company adopted the provisions of Accounting Standards Update 2013-02 in the first quarter of 2013, which requires enhanced disclosures of Accumulated Other Comprehensive Income (AOCI).</w:t>
      </w:r>
    </w:p>
    <w:p>
      <w:pPr>
        <w:spacing w:after="0" w:line="156"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In the third quarter of 2013, the Company modified certain provisions of its U.S. postretirement plan. The remeasurement of liabilities decreased liabilities by $14.4 million and the change in plan benefits decreased liabilities by an additional $8.0 million.</w:t>
      </w:r>
    </w:p>
    <w:p>
      <w:pPr>
        <w:spacing w:after="0" w:line="15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table below presents changes in the components of AOCI for the period December 31, 2012 to September 30, 2013: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49"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5"/>
        </w:trPr>
        <w:tc>
          <w:tcPr>
            <w:tcW w:w="5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9"/>
              </w:rPr>
              <w:t>Pension and</w:t>
            </w:r>
          </w:p>
        </w:tc>
        <w:tc>
          <w:tcPr>
            <w:tcW w:w="12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03"/>
        </w:trPr>
        <w:tc>
          <w:tcPr>
            <w:tcW w:w="5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60" w:type="dxa"/>
            <w:vAlign w:val="bottom"/>
          </w:tcPr>
          <w:p>
            <w:pPr>
              <w:jc w:val="center"/>
              <w:ind w:right="50"/>
              <w:spacing w:after="0" w:line="202" w:lineRule="exact"/>
              <w:rPr>
                <w:sz w:val="20"/>
                <w:szCs w:val="20"/>
                <w:color w:val="auto"/>
              </w:rPr>
            </w:pPr>
            <w:r>
              <w:rPr>
                <w:rFonts w:ascii="Arial" w:cs="Arial" w:eastAsia="Arial" w:hAnsi="Arial"/>
                <w:sz w:val="18"/>
                <w:szCs w:val="18"/>
                <w:color w:val="auto"/>
              </w:rPr>
              <w:t>postretirement</w:t>
            </w: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Derivative</w:t>
            </w:r>
          </w:p>
        </w:tc>
        <w:tc>
          <w:tcPr>
            <w:tcW w:w="17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7"/>
              </w:rPr>
              <w:t>Total Other</w:t>
            </w:r>
          </w:p>
        </w:tc>
      </w:tr>
      <w:tr>
        <w:trPr>
          <w:trHeight w:val="203"/>
        </w:trPr>
        <w:tc>
          <w:tcPr>
            <w:tcW w:w="5140" w:type="dxa"/>
            <w:vAlign w:val="bottom"/>
          </w:tcPr>
          <w:p>
            <w:pPr>
              <w:spacing w:after="0"/>
              <w:rPr>
                <w:sz w:val="17"/>
                <w:szCs w:val="17"/>
                <w:color w:val="auto"/>
              </w:rPr>
            </w:pPr>
          </w:p>
        </w:tc>
        <w:tc>
          <w:tcPr>
            <w:tcW w:w="16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Translation</w:t>
            </w:r>
          </w:p>
        </w:tc>
        <w:tc>
          <w:tcPr>
            <w:tcW w:w="166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liability</w:t>
            </w: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valuation</w:t>
            </w: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99"/>
              </w:rPr>
              <w:t>Comprehensive</w:t>
            </w:r>
          </w:p>
        </w:tc>
      </w:tr>
      <w:tr>
        <w:trPr>
          <w:trHeight w:val="203"/>
        </w:trPr>
        <w:tc>
          <w:tcPr>
            <w:tcW w:w="51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(in thousands)</w:t>
            </w:r>
          </w:p>
        </w:tc>
        <w:tc>
          <w:tcPr>
            <w:tcW w:w="16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adjustments</w:t>
            </w:r>
          </w:p>
        </w:tc>
        <w:tc>
          <w:tcPr>
            <w:tcW w:w="166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w w:val="98"/>
              </w:rPr>
              <w:t>adjustments</w:t>
            </w:r>
          </w:p>
        </w:tc>
        <w:tc>
          <w:tcPr>
            <w:tcW w:w="128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w w:val="99"/>
              </w:rPr>
              <w:t>adjustment</w:t>
            </w:r>
          </w:p>
        </w:tc>
        <w:tc>
          <w:tcPr>
            <w:tcW w:w="1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Income</w:t>
            </w:r>
          </w:p>
        </w:tc>
      </w:tr>
      <w:tr>
        <w:trPr>
          <w:trHeight w:val="439"/>
        </w:trPr>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Balance, December 31, 2012</w:t>
            </w: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($7,659)</w:t>
            </w: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($69,484)</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($2,878)</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($80,021)</w:t>
            </w:r>
          </w:p>
        </w:tc>
      </w:tr>
      <w:tr>
        <w:trPr>
          <w:trHeight w:val="453"/>
        </w:trPr>
        <w:tc>
          <w:tcPr>
            <w:tcW w:w="5140" w:type="dxa"/>
            <w:vAlign w:val="bottom"/>
          </w:tcPr>
          <w:p>
            <w:pPr>
              <w:ind w:left="100"/>
              <w:spacing w:after="0"/>
              <w:rPr>
                <w:sz w:val="20"/>
                <w:szCs w:val="20"/>
                <w:color w:val="auto"/>
              </w:rPr>
            </w:pPr>
            <w:r>
              <w:rPr>
                <w:rFonts w:ascii="Arial" w:cs="Arial" w:eastAsia="Arial" w:hAnsi="Arial"/>
                <w:sz w:val="18"/>
                <w:szCs w:val="18"/>
                <w:color w:val="auto"/>
              </w:rPr>
              <w:t>Other comprehensive income before reclassifications</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3,998</w:t>
            </w: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538</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2,363</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6,899</w:t>
            </w:r>
          </w:p>
        </w:tc>
      </w:tr>
      <w:tr>
        <w:trPr>
          <w:trHeight w:val="243"/>
        </w:trPr>
        <w:tc>
          <w:tcPr>
            <w:tcW w:w="5140" w:type="dxa"/>
            <w:vAlign w:val="bottom"/>
          </w:tcPr>
          <w:p>
            <w:pPr>
              <w:ind w:left="100"/>
              <w:spacing w:after="0"/>
              <w:rPr>
                <w:sz w:val="20"/>
                <w:szCs w:val="20"/>
                <w:color w:val="auto"/>
              </w:rPr>
            </w:pPr>
            <w:r>
              <w:rPr>
                <w:rFonts w:ascii="Arial" w:cs="Arial" w:eastAsia="Arial" w:hAnsi="Arial"/>
                <w:sz w:val="18"/>
                <w:szCs w:val="18"/>
                <w:color w:val="auto"/>
              </w:rPr>
              <w:t>Postretirement plan remeasurement</w:t>
            </w:r>
          </w:p>
        </w:tc>
        <w:tc>
          <w:tcPr>
            <w:tcW w:w="160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8,794</w:t>
            </w:r>
          </w:p>
        </w:tc>
        <w:tc>
          <w:tcPr>
            <w:tcW w:w="1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8,794</w:t>
            </w:r>
          </w:p>
        </w:tc>
      </w:tr>
      <w:tr>
        <w:trPr>
          <w:trHeight w:val="229"/>
        </w:trPr>
        <w:tc>
          <w:tcPr>
            <w:tcW w:w="5140" w:type="dxa"/>
            <w:vAlign w:val="bottom"/>
          </w:tcPr>
          <w:p>
            <w:pPr>
              <w:ind w:left="100"/>
              <w:spacing w:after="0"/>
              <w:rPr>
                <w:sz w:val="20"/>
                <w:szCs w:val="20"/>
                <w:color w:val="auto"/>
              </w:rPr>
            </w:pPr>
            <w:r>
              <w:rPr>
                <w:rFonts w:ascii="Arial" w:cs="Arial" w:eastAsia="Arial" w:hAnsi="Arial"/>
                <w:sz w:val="18"/>
                <w:szCs w:val="18"/>
                <w:color w:val="auto"/>
              </w:rPr>
              <w:t>Postretirement plan change in benefits</w:t>
            </w:r>
          </w:p>
        </w:tc>
        <w:tc>
          <w:tcPr>
            <w:tcW w:w="160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4,864</w:t>
            </w:r>
          </w:p>
        </w:tc>
        <w:tc>
          <w:tcPr>
            <w:tcW w:w="1280" w:type="dxa"/>
            <w:vAlign w:val="bottom"/>
          </w:tcPr>
          <w:p>
            <w:pPr>
              <w:spacing w:after="0"/>
              <w:rPr>
                <w:sz w:val="19"/>
                <w:szCs w:val="19"/>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4,864</w:t>
            </w:r>
          </w:p>
        </w:tc>
      </w:tr>
      <w:tr>
        <w:trPr>
          <w:trHeight w:val="203"/>
        </w:trPr>
        <w:tc>
          <w:tcPr>
            <w:tcW w:w="514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140" w:type="dxa"/>
            <w:vAlign w:val="bottom"/>
          </w:tcPr>
          <w:p>
            <w:pPr>
              <w:ind w:left="100"/>
              <w:spacing w:after="0" w:line="202" w:lineRule="exact"/>
              <w:rPr>
                <w:sz w:val="20"/>
                <w:szCs w:val="20"/>
                <w:color w:val="auto"/>
              </w:rPr>
            </w:pPr>
            <w:r>
              <w:rPr>
                <w:rFonts w:ascii="Arial" w:cs="Arial" w:eastAsia="Arial" w:hAnsi="Arial"/>
                <w:sz w:val="18"/>
                <w:szCs w:val="18"/>
                <w:color w:val="auto"/>
              </w:rPr>
              <w:t>Statement of Operations, net of tax</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(854)</w:t>
            </w: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(854)</w:t>
            </w:r>
          </w:p>
        </w:tc>
      </w:tr>
      <w:tr>
        <w:trPr>
          <w:trHeight w:val="203"/>
        </w:trPr>
        <w:tc>
          <w:tcPr>
            <w:tcW w:w="5140" w:type="dxa"/>
            <w:vAlign w:val="bottom"/>
          </w:tcPr>
          <w:p>
            <w:pPr>
              <w:ind w:left="100"/>
              <w:spacing w:after="0" w:line="202" w:lineRule="exact"/>
              <w:rPr>
                <w:sz w:val="20"/>
                <w:szCs w:val="20"/>
                <w:color w:val="auto"/>
              </w:rPr>
            </w:pPr>
            <w:r>
              <w:rPr>
                <w:rFonts w:ascii="Arial" w:cs="Arial" w:eastAsia="Arial" w:hAnsi="Arial"/>
                <w:sz w:val="18"/>
                <w:szCs w:val="18"/>
                <w:color w:val="auto"/>
              </w:rPr>
              <w:t>Pension and postretirement liability adjustments reclassified</w:t>
            </w:r>
          </w:p>
        </w:tc>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1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to Statement of Operations, net of tax</w:t>
            </w:r>
          </w:p>
        </w:tc>
        <w:tc>
          <w:tcPr>
            <w:tcW w:w="16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1,417</w:t>
            </w:r>
          </w:p>
        </w:tc>
        <w:tc>
          <w:tcPr>
            <w:tcW w:w="1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1,417</w:t>
            </w:r>
          </w:p>
        </w:tc>
      </w:tr>
      <w:tr>
        <w:trPr>
          <w:trHeight w:val="196"/>
        </w:trPr>
        <w:tc>
          <w:tcPr>
            <w:tcW w:w="51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3,998</w:t>
            </w:r>
          </w:p>
        </w:tc>
        <w:tc>
          <w:tcPr>
            <w:tcW w:w="16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15,613</w:t>
            </w:r>
          </w:p>
        </w:tc>
        <w:tc>
          <w:tcPr>
            <w:tcW w:w="1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1,509</w:t>
            </w:r>
          </w:p>
        </w:tc>
        <w:tc>
          <w:tcPr>
            <w:tcW w:w="1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21,120</w:t>
            </w:r>
          </w:p>
        </w:tc>
      </w:tr>
      <w:tr>
        <w:trPr>
          <w:trHeight w:val="399"/>
        </w:trPr>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Balance, September 30, 2013</w:t>
            </w: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($3,661)</w:t>
            </w: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($53,871)</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($1,369)</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($58,901)</w:t>
            </w:r>
          </w:p>
        </w:tc>
      </w:tr>
    </w:tbl>
    <w:p>
      <w:pPr>
        <w:spacing w:after="0" w:line="391"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 The table below presents the amounts reclassified, and the line items of the Statement of Income that were affected.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Expense/(income)</w:t>
            </w:r>
          </w:p>
        </w:tc>
        <w:tc>
          <w:tcPr>
            <w:tcW w:w="28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Three months ended</w:t>
            </w:r>
          </w:p>
        </w:tc>
        <w:tc>
          <w:tcPr>
            <w:tcW w:w="22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Nine months ended</w:t>
            </w:r>
          </w:p>
        </w:tc>
      </w:tr>
      <w:tr>
        <w:trPr>
          <w:trHeight w:val="203"/>
        </w:trPr>
        <w:tc>
          <w:tcPr>
            <w:tcW w:w="63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(in thousands)</w:t>
            </w:r>
          </w:p>
        </w:tc>
        <w:tc>
          <w:tcPr>
            <w:tcW w:w="280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September 30, 2013</w:t>
            </w:r>
          </w:p>
        </w:tc>
        <w:tc>
          <w:tcPr>
            <w:tcW w:w="22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September 30, 2013</w:t>
            </w:r>
          </w:p>
        </w:tc>
      </w:tr>
      <w:tr>
        <w:trPr>
          <w:trHeight w:val="173"/>
        </w:trPr>
        <w:tc>
          <w:tcPr>
            <w:tcW w:w="6380" w:type="dxa"/>
            <w:vAlign w:val="bottom"/>
          </w:tcPr>
          <w:p>
            <w:pPr>
              <w:ind w:left="100"/>
              <w:spacing w:after="0" w:line="173" w:lineRule="exact"/>
              <w:rPr>
                <w:sz w:val="20"/>
                <w:szCs w:val="20"/>
                <w:color w:val="auto"/>
              </w:rPr>
            </w:pPr>
            <w:r>
              <w:rPr>
                <w:rFonts w:ascii="Arial" w:cs="Arial" w:eastAsia="Arial" w:hAnsi="Arial"/>
                <w:sz w:val="18"/>
                <w:szCs w:val="18"/>
                <w:b w:val="1"/>
                <w:bCs w:val="1"/>
                <w:color w:val="auto"/>
              </w:rPr>
              <w:t>Pretax Derivative valuation reclassified from Accumulated Other</w:t>
            </w:r>
          </w:p>
        </w:tc>
        <w:tc>
          <w:tcPr>
            <w:tcW w:w="28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25"/>
        </w:trPr>
        <w:tc>
          <w:tcPr>
            <w:tcW w:w="6380" w:type="dxa"/>
            <w:vAlign w:val="bottom"/>
          </w:tcPr>
          <w:p>
            <w:pPr>
              <w:ind w:left="100"/>
              <w:spacing w:after="0"/>
              <w:rPr>
                <w:sz w:val="20"/>
                <w:szCs w:val="20"/>
                <w:color w:val="auto"/>
              </w:rPr>
            </w:pPr>
            <w:r>
              <w:rPr>
                <w:rFonts w:ascii="Arial" w:cs="Arial" w:eastAsia="Arial" w:hAnsi="Arial"/>
                <w:sz w:val="18"/>
                <w:szCs w:val="18"/>
                <w:b w:val="1"/>
                <w:bCs w:val="1"/>
                <w:color w:val="auto"/>
              </w:rPr>
              <w:t>Comprehensive Income:</w:t>
            </w:r>
          </w:p>
        </w:tc>
        <w:tc>
          <w:tcPr>
            <w:tcW w:w="28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3"/>
        </w:trPr>
        <w:tc>
          <w:tcPr>
            <w:tcW w:w="6380" w:type="dxa"/>
            <w:vAlign w:val="bottom"/>
          </w:tcPr>
          <w:p>
            <w:pPr>
              <w:ind w:left="160"/>
              <w:spacing w:after="0" w:line="202" w:lineRule="exact"/>
              <w:rPr>
                <w:sz w:val="20"/>
                <w:szCs w:val="20"/>
                <w:color w:val="auto"/>
              </w:rPr>
            </w:pPr>
            <w:r>
              <w:rPr>
                <w:rFonts w:ascii="Arial" w:cs="Arial" w:eastAsia="Arial" w:hAnsi="Arial"/>
                <w:sz w:val="18"/>
                <w:szCs w:val="18"/>
                <w:color w:val="auto"/>
              </w:rPr>
              <w:t>Swap interest expense</w:t>
            </w:r>
          </w:p>
        </w:tc>
        <w:tc>
          <w:tcPr>
            <w:tcW w:w="2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$500</w:t>
            </w:r>
          </w:p>
        </w:tc>
        <w:tc>
          <w:tcPr>
            <w:tcW w:w="2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$1,400</w:t>
            </w:r>
          </w:p>
        </w:tc>
      </w:tr>
      <w:tr>
        <w:trPr>
          <w:trHeight w:val="203"/>
        </w:trPr>
        <w:tc>
          <w:tcPr>
            <w:tcW w:w="638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Income tax effect</w:t>
            </w:r>
          </w:p>
        </w:tc>
        <w:tc>
          <w:tcPr>
            <w:tcW w:w="28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195</w:t>
            </w:r>
          </w:p>
        </w:tc>
        <w:tc>
          <w:tcPr>
            <w:tcW w:w="2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546</w:t>
            </w:r>
          </w:p>
        </w:tc>
      </w:tr>
      <w:tr>
        <w:trPr>
          <w:trHeight w:val="195"/>
        </w:trPr>
        <w:tc>
          <w:tcPr>
            <w:tcW w:w="6380" w:type="dxa"/>
            <w:vAlign w:val="bottom"/>
          </w:tcPr>
          <w:p>
            <w:pPr>
              <w:ind w:left="100"/>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28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3"/>
        </w:trPr>
        <w:tc>
          <w:tcPr>
            <w:tcW w:w="63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Comprehensive Income</w:t>
            </w:r>
          </w:p>
        </w:tc>
        <w:tc>
          <w:tcPr>
            <w:tcW w:w="28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$305</w:t>
            </w:r>
          </w:p>
        </w:tc>
        <w:tc>
          <w:tcPr>
            <w:tcW w:w="2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$854</w:t>
            </w:r>
          </w:p>
        </w:tc>
      </w:tr>
      <w:tr>
        <w:trPr>
          <w:trHeight w:val="376"/>
        </w:trPr>
        <w:tc>
          <w:tcPr>
            <w:tcW w:w="6380" w:type="dxa"/>
            <w:vAlign w:val="bottom"/>
          </w:tcPr>
          <w:p>
            <w:pPr>
              <w:ind w:left="100"/>
              <w:spacing w:after="0"/>
              <w:rPr>
                <w:sz w:val="20"/>
                <w:szCs w:val="20"/>
                <w:color w:val="auto"/>
              </w:rPr>
            </w:pPr>
            <w:r>
              <w:rPr>
                <w:rFonts w:ascii="Arial" w:cs="Arial" w:eastAsia="Arial" w:hAnsi="Arial"/>
                <w:sz w:val="18"/>
                <w:szCs w:val="18"/>
                <w:b w:val="1"/>
                <w:bCs w:val="1"/>
                <w:color w:val="auto"/>
              </w:rPr>
              <w:t>Pretax pension and postretirement liabilities reclassified from</w:t>
            </w:r>
          </w:p>
        </w:tc>
        <w:tc>
          <w:tcPr>
            <w:tcW w:w="28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5"/>
        </w:trPr>
        <w:tc>
          <w:tcPr>
            <w:tcW w:w="6380" w:type="dxa"/>
            <w:vAlign w:val="bottom"/>
          </w:tcPr>
          <w:p>
            <w:pPr>
              <w:ind w:left="100"/>
              <w:spacing w:after="0"/>
              <w:rPr>
                <w:sz w:val="20"/>
                <w:szCs w:val="20"/>
                <w:color w:val="auto"/>
              </w:rPr>
            </w:pPr>
            <w:r>
              <w:rPr>
                <w:rFonts w:ascii="Arial" w:cs="Arial" w:eastAsia="Arial" w:hAnsi="Arial"/>
                <w:sz w:val="18"/>
                <w:szCs w:val="18"/>
                <w:b w:val="1"/>
                <w:bCs w:val="1"/>
                <w:color w:val="auto"/>
              </w:rPr>
              <w:t>Accumulated Other Comprehensive Income:</w:t>
            </w:r>
          </w:p>
        </w:tc>
        <w:tc>
          <w:tcPr>
            <w:tcW w:w="28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3"/>
        </w:trPr>
        <w:tc>
          <w:tcPr>
            <w:tcW w:w="638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prior service cost/(credit)</w:t>
            </w:r>
          </w:p>
        </w:tc>
        <w:tc>
          <w:tcPr>
            <w:tcW w:w="28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($974)</w:t>
            </w:r>
          </w:p>
        </w:tc>
        <w:tc>
          <w:tcPr>
            <w:tcW w:w="2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($2,791)</w:t>
            </w:r>
          </w:p>
        </w:tc>
      </w:tr>
      <w:tr>
        <w:trPr>
          <w:trHeight w:val="203"/>
        </w:trPr>
        <w:tc>
          <w:tcPr>
            <w:tcW w:w="638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transition obligation</w:t>
            </w:r>
          </w:p>
        </w:tc>
        <w:tc>
          <w:tcPr>
            <w:tcW w:w="2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17</w:t>
            </w:r>
          </w:p>
        </w:tc>
        <w:tc>
          <w:tcPr>
            <w:tcW w:w="2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51</w:t>
            </w:r>
          </w:p>
        </w:tc>
      </w:tr>
      <w:tr>
        <w:trPr>
          <w:trHeight w:val="203"/>
        </w:trPr>
        <w:tc>
          <w:tcPr>
            <w:tcW w:w="638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Amortization of net actuarial loss</w:t>
            </w:r>
          </w:p>
        </w:tc>
        <w:tc>
          <w:tcPr>
            <w:tcW w:w="28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1,635</w:t>
            </w:r>
          </w:p>
        </w:tc>
        <w:tc>
          <w:tcPr>
            <w:tcW w:w="2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4,963</w:t>
            </w:r>
          </w:p>
        </w:tc>
      </w:tr>
      <w:tr>
        <w:trPr>
          <w:trHeight w:val="210"/>
        </w:trPr>
        <w:tc>
          <w:tcPr>
            <w:tcW w:w="6380" w:type="dxa"/>
            <w:vAlign w:val="bottom"/>
          </w:tcPr>
          <w:p>
            <w:pPr>
              <w:ind w:left="100"/>
              <w:spacing w:after="0"/>
              <w:rPr>
                <w:sz w:val="20"/>
                <w:szCs w:val="20"/>
                <w:color w:val="auto"/>
              </w:rPr>
            </w:pPr>
            <w:r>
              <w:rPr>
                <w:rFonts w:ascii="Arial" w:cs="Arial" w:eastAsia="Arial" w:hAnsi="Arial"/>
                <w:sz w:val="18"/>
                <w:szCs w:val="18"/>
                <w:color w:val="auto"/>
              </w:rPr>
              <w:t>Total pretax amount reclassified</w:t>
            </w:r>
          </w:p>
        </w:tc>
        <w:tc>
          <w:tcPr>
            <w:tcW w:w="2800" w:type="dxa"/>
            <w:vAlign w:val="bottom"/>
          </w:tcPr>
          <w:p>
            <w:pPr>
              <w:jc w:val="right"/>
              <w:ind w:right="210"/>
              <w:spacing w:after="0"/>
              <w:rPr>
                <w:sz w:val="20"/>
                <w:szCs w:val="20"/>
                <w:color w:val="auto"/>
              </w:rPr>
            </w:pPr>
            <w:r>
              <w:rPr>
                <w:rFonts w:ascii="Arial" w:cs="Arial" w:eastAsia="Arial" w:hAnsi="Arial"/>
                <w:sz w:val="18"/>
                <w:szCs w:val="18"/>
                <w:color w:val="auto"/>
              </w:rPr>
              <w:t>678</w:t>
            </w:r>
          </w:p>
        </w:tc>
        <w:tc>
          <w:tcPr>
            <w:tcW w:w="2240" w:type="dxa"/>
            <w:vAlign w:val="bottom"/>
          </w:tcPr>
          <w:p>
            <w:pPr>
              <w:jc w:val="right"/>
              <w:ind w:right="50"/>
              <w:spacing w:after="0"/>
              <w:rPr>
                <w:sz w:val="20"/>
                <w:szCs w:val="20"/>
                <w:color w:val="auto"/>
              </w:rPr>
            </w:pPr>
            <w:r>
              <w:rPr>
                <w:rFonts w:ascii="Arial" w:cs="Arial" w:eastAsia="Arial" w:hAnsi="Arial"/>
                <w:sz w:val="18"/>
                <w:szCs w:val="18"/>
                <w:color w:val="auto"/>
              </w:rPr>
              <w:t>2,223</w:t>
            </w:r>
          </w:p>
        </w:tc>
      </w:tr>
      <w:tr>
        <w:trPr>
          <w:trHeight w:val="391"/>
        </w:trPr>
        <w:tc>
          <w:tcPr>
            <w:tcW w:w="6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Income tax effect</w:t>
            </w:r>
          </w:p>
        </w:tc>
        <w:tc>
          <w:tcPr>
            <w:tcW w:w="2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(265)</w:t>
            </w:r>
          </w:p>
        </w:tc>
        <w:tc>
          <w:tcPr>
            <w:tcW w:w="2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(806)</w:t>
            </w:r>
          </w:p>
        </w:tc>
      </w:tr>
      <w:tr>
        <w:trPr>
          <w:trHeight w:val="195"/>
        </w:trPr>
        <w:tc>
          <w:tcPr>
            <w:tcW w:w="6380" w:type="dxa"/>
            <w:vAlign w:val="bottom"/>
          </w:tcPr>
          <w:p>
            <w:pPr>
              <w:ind w:left="100"/>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28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3"/>
        </w:trPr>
        <w:tc>
          <w:tcPr>
            <w:tcW w:w="63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Comprehensive Income</w:t>
            </w:r>
          </w:p>
        </w:tc>
        <w:tc>
          <w:tcPr>
            <w:tcW w:w="28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$413</w:t>
            </w:r>
          </w:p>
        </w:tc>
        <w:tc>
          <w:tcPr>
            <w:tcW w:w="2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$1,417</w:t>
            </w:r>
          </w:p>
        </w:tc>
      </w:tr>
      <w:tr>
        <w:trPr>
          <w:trHeight w:val="588"/>
        </w:trPr>
        <w:tc>
          <w:tcPr>
            <w:tcW w:w="6380" w:type="dxa"/>
            <w:vAlign w:val="bottom"/>
          </w:tcPr>
          <w:p>
            <w:pPr>
              <w:ind w:left="5620"/>
              <w:spacing w:after="0"/>
              <w:rPr>
                <w:sz w:val="20"/>
                <w:szCs w:val="20"/>
                <w:color w:val="auto"/>
              </w:rPr>
            </w:pPr>
            <w:r>
              <w:rPr>
                <w:rFonts w:ascii="Arial" w:cs="Arial" w:eastAsia="Arial" w:hAnsi="Arial"/>
                <w:sz w:val="18"/>
                <w:szCs w:val="18"/>
                <w:color w:val="auto"/>
              </w:rPr>
              <w:t>15</w:t>
            </w:r>
          </w:p>
        </w:tc>
        <w:tc>
          <w:tcPr>
            <w:tcW w:w="28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4"/>
        </w:trPr>
        <w:tc>
          <w:tcPr>
            <w:tcW w:w="63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68"/>
        </w:trPr>
        <w:tc>
          <w:tcPr>
            <w:tcW w:w="6380" w:type="dxa"/>
            <w:vAlign w:val="bottom"/>
            <w:shd w:val="clear" w:color="auto" w:fill="000000"/>
          </w:tcPr>
          <w:p>
            <w:pPr>
              <w:spacing w:after="0"/>
              <w:rPr>
                <w:sz w:val="5"/>
                <w:szCs w:val="5"/>
                <w:color w:val="auto"/>
              </w:rPr>
            </w:pPr>
          </w:p>
        </w:tc>
        <w:tc>
          <w:tcPr>
            <w:tcW w:w="280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84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10. Accounts Receivable</w:t>
      </w:r>
    </w:p>
    <w:p>
      <w:pPr>
        <w:spacing w:after="0" w:line="193" w:lineRule="exact"/>
        <w:rPr>
          <w:sz w:val="20"/>
          <w:szCs w:val="20"/>
          <w:color w:val="auto"/>
        </w:rPr>
      </w:pPr>
    </w:p>
    <w:p>
      <w:pPr>
        <w:ind w:right="260" w:firstLine="648"/>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Engineered Composites contracts accounted for under the percentage of completion method. The Company maintains allowances for doubtful accounts for estimated losses resulting from the inability of its customers to make required payments. The Company determines the allowance based on historical write-off experience, customer specific facts and economic conditions. If the financial condition of the Company’s customers were to deteriorate, resulting in an impairment of their ability to make payments, additional allowances may be required.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Accounts receivable are summarized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3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September 30, 2013</w:t>
            </w:r>
          </w:p>
        </w:tc>
        <w:tc>
          <w:tcPr>
            <w:tcW w:w="20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December 31, 2012</w:t>
            </w:r>
          </w:p>
        </w:tc>
      </w:tr>
      <w:tr>
        <w:trPr>
          <w:trHeight w:val="173"/>
        </w:trPr>
        <w:tc>
          <w:tcPr>
            <w:tcW w:w="6100" w:type="dxa"/>
            <w:vAlign w:val="bottom"/>
          </w:tcPr>
          <w:p>
            <w:pPr>
              <w:ind w:left="100"/>
              <w:spacing w:after="0" w:line="173" w:lineRule="exact"/>
              <w:rPr>
                <w:sz w:val="20"/>
                <w:szCs w:val="20"/>
                <w:color w:val="auto"/>
              </w:rPr>
            </w:pPr>
            <w:r>
              <w:rPr>
                <w:rFonts w:ascii="Arial" w:cs="Arial" w:eastAsia="Arial" w:hAnsi="Arial"/>
                <w:sz w:val="18"/>
                <w:szCs w:val="18"/>
                <w:color w:val="auto"/>
              </w:rPr>
              <w:t>Trade accounts receivable</w:t>
            </w:r>
          </w:p>
        </w:tc>
        <w:tc>
          <w:tcPr>
            <w:tcW w:w="326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$150,033</w:t>
            </w:r>
          </w:p>
        </w:tc>
        <w:tc>
          <w:tcPr>
            <w:tcW w:w="20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$149,737</w:t>
            </w:r>
          </w:p>
        </w:tc>
      </w:tr>
      <w:tr>
        <w:trPr>
          <w:trHeight w:val="203"/>
        </w:trPr>
        <w:tc>
          <w:tcPr>
            <w:tcW w:w="6100" w:type="dxa"/>
            <w:vAlign w:val="bottom"/>
          </w:tcPr>
          <w:p>
            <w:pPr>
              <w:ind w:left="100"/>
              <w:spacing w:after="0" w:line="202" w:lineRule="exact"/>
              <w:rPr>
                <w:sz w:val="20"/>
                <w:szCs w:val="20"/>
                <w:color w:val="auto"/>
              </w:rPr>
            </w:pPr>
            <w:r>
              <w:rPr>
                <w:rFonts w:ascii="Arial" w:cs="Arial" w:eastAsia="Arial" w:hAnsi="Arial"/>
                <w:sz w:val="18"/>
                <w:szCs w:val="18"/>
                <w:color w:val="auto"/>
              </w:rPr>
              <w:t>Revenue in excess of progress billings</w:t>
            </w:r>
          </w:p>
        </w:tc>
        <w:tc>
          <w:tcPr>
            <w:tcW w:w="32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16,868</w:t>
            </w:r>
          </w:p>
        </w:tc>
        <w:tc>
          <w:tcPr>
            <w:tcW w:w="2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17,105</w:t>
            </w:r>
          </w:p>
        </w:tc>
      </w:tr>
      <w:tr>
        <w:trPr>
          <w:trHeight w:val="203"/>
        </w:trPr>
        <w:tc>
          <w:tcPr>
            <w:tcW w:w="6100" w:type="dxa"/>
            <w:vAlign w:val="bottom"/>
          </w:tcPr>
          <w:p>
            <w:pPr>
              <w:ind w:left="100"/>
              <w:spacing w:after="0" w:line="202" w:lineRule="exact"/>
              <w:rPr>
                <w:sz w:val="20"/>
                <w:szCs w:val="20"/>
                <w:color w:val="auto"/>
              </w:rPr>
            </w:pPr>
            <w:r>
              <w:rPr>
                <w:rFonts w:ascii="Arial" w:cs="Arial" w:eastAsia="Arial" w:hAnsi="Arial"/>
                <w:sz w:val="18"/>
                <w:szCs w:val="18"/>
                <w:color w:val="auto"/>
              </w:rPr>
              <w:t>Receivables related to the sale of discontinued businesses</w:t>
            </w:r>
          </w:p>
        </w:tc>
        <w:tc>
          <w:tcPr>
            <w:tcW w:w="32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3,795</w:t>
            </w:r>
          </w:p>
        </w:tc>
        <w:tc>
          <w:tcPr>
            <w:tcW w:w="2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16,555</w:t>
            </w:r>
          </w:p>
        </w:tc>
      </w:tr>
      <w:tr>
        <w:trPr>
          <w:trHeight w:val="225"/>
        </w:trPr>
        <w:tc>
          <w:tcPr>
            <w:tcW w:w="6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allowance for doubtful accounts</w:t>
            </w:r>
          </w:p>
        </w:tc>
        <w:tc>
          <w:tcPr>
            <w:tcW w:w="3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(11,903)</w:t>
            </w:r>
          </w:p>
        </w:tc>
        <w:tc>
          <w:tcPr>
            <w:tcW w:w="2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(11,862)</w:t>
            </w:r>
          </w:p>
        </w:tc>
      </w:tr>
      <w:tr>
        <w:trPr>
          <w:trHeight w:val="196"/>
        </w:trPr>
        <w:tc>
          <w:tcPr>
            <w:tcW w:w="61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Accounts receivable, net</w:t>
            </w:r>
          </w:p>
        </w:tc>
        <w:tc>
          <w:tcPr>
            <w:tcW w:w="32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$158,793</w:t>
            </w:r>
          </w:p>
        </w:tc>
        <w:tc>
          <w:tcPr>
            <w:tcW w:w="2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$171,535</w:t>
            </w:r>
          </w:p>
        </w:tc>
      </w:tr>
      <w:tr>
        <w:trPr>
          <w:trHeight w:val="588"/>
        </w:trPr>
        <w:tc>
          <w:tcPr>
            <w:tcW w:w="6100" w:type="dxa"/>
            <w:vAlign w:val="bottom"/>
          </w:tcPr>
          <w:p>
            <w:pPr>
              <w:spacing w:after="0"/>
              <w:rPr>
                <w:sz w:val="20"/>
                <w:szCs w:val="20"/>
                <w:color w:val="auto"/>
              </w:rPr>
            </w:pPr>
            <w:r>
              <w:rPr>
                <w:rFonts w:ascii="Arial" w:cs="Arial" w:eastAsia="Arial" w:hAnsi="Arial"/>
                <w:sz w:val="18"/>
                <w:szCs w:val="18"/>
                <w:b w:val="1"/>
                <w:bCs w:val="1"/>
                <w:i w:val="1"/>
                <w:iCs w:val="1"/>
                <w:color w:val="auto"/>
              </w:rPr>
              <w:t>11. Inventories</w:t>
            </w:r>
          </w:p>
        </w:tc>
        <w:tc>
          <w:tcPr>
            <w:tcW w:w="3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92"/>
        </w:trPr>
        <w:tc>
          <w:tcPr>
            <w:tcW w:w="6100" w:type="dxa"/>
            <w:vAlign w:val="bottom"/>
          </w:tcPr>
          <w:p>
            <w:pPr>
              <w:ind w:left="660"/>
              <w:spacing w:after="0"/>
              <w:rPr>
                <w:sz w:val="20"/>
                <w:szCs w:val="20"/>
                <w:color w:val="auto"/>
              </w:rPr>
            </w:pPr>
            <w:r>
              <w:rPr>
                <w:rFonts w:ascii="Arial" w:cs="Arial" w:eastAsia="Arial" w:hAnsi="Arial"/>
                <w:sz w:val="18"/>
                <w:szCs w:val="18"/>
                <w:color w:val="auto"/>
              </w:rPr>
              <w:t>The components of Inventories are summarized below:</w:t>
            </w:r>
          </w:p>
        </w:tc>
        <w:tc>
          <w:tcPr>
            <w:tcW w:w="3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2"/>
        </w:trPr>
        <w:tc>
          <w:tcPr>
            <w:tcW w:w="61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r>
      <w:tr>
        <w:trPr>
          <w:trHeight w:val="196"/>
        </w:trPr>
        <w:tc>
          <w:tcPr>
            <w:tcW w:w="61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(in thousands)</w:t>
            </w:r>
          </w:p>
        </w:tc>
        <w:tc>
          <w:tcPr>
            <w:tcW w:w="32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September 30, 2013</w:t>
            </w:r>
          </w:p>
        </w:tc>
        <w:tc>
          <w:tcPr>
            <w:tcW w:w="20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December 31, 2012</w:t>
            </w:r>
          </w:p>
        </w:tc>
      </w:tr>
      <w:tr>
        <w:trPr>
          <w:trHeight w:val="173"/>
        </w:trPr>
        <w:tc>
          <w:tcPr>
            <w:tcW w:w="6100" w:type="dxa"/>
            <w:vAlign w:val="bottom"/>
          </w:tcPr>
          <w:p>
            <w:pPr>
              <w:ind w:left="100"/>
              <w:spacing w:after="0" w:line="173" w:lineRule="exact"/>
              <w:rPr>
                <w:sz w:val="20"/>
                <w:szCs w:val="20"/>
                <w:color w:val="auto"/>
              </w:rPr>
            </w:pPr>
            <w:r>
              <w:rPr>
                <w:rFonts w:ascii="Arial" w:cs="Arial" w:eastAsia="Arial" w:hAnsi="Arial"/>
                <w:sz w:val="18"/>
                <w:szCs w:val="18"/>
                <w:color w:val="auto"/>
              </w:rPr>
              <w:t>Finished goods</w:t>
            </w:r>
          </w:p>
        </w:tc>
        <w:tc>
          <w:tcPr>
            <w:tcW w:w="326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$45,748</w:t>
            </w:r>
          </w:p>
        </w:tc>
        <w:tc>
          <w:tcPr>
            <w:tcW w:w="20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$49,235</w:t>
            </w:r>
          </w:p>
        </w:tc>
      </w:tr>
      <w:tr>
        <w:trPr>
          <w:trHeight w:val="203"/>
        </w:trPr>
        <w:tc>
          <w:tcPr>
            <w:tcW w:w="6100" w:type="dxa"/>
            <w:vAlign w:val="bottom"/>
          </w:tcPr>
          <w:p>
            <w:pPr>
              <w:ind w:left="100"/>
              <w:spacing w:after="0" w:line="202" w:lineRule="exact"/>
              <w:rPr>
                <w:sz w:val="20"/>
                <w:szCs w:val="20"/>
                <w:color w:val="auto"/>
              </w:rPr>
            </w:pPr>
            <w:r>
              <w:rPr>
                <w:rFonts w:ascii="Arial" w:cs="Arial" w:eastAsia="Arial" w:hAnsi="Arial"/>
                <w:sz w:val="18"/>
                <w:szCs w:val="18"/>
                <w:color w:val="auto"/>
              </w:rPr>
              <w:t>Work in process</w:t>
            </w:r>
          </w:p>
        </w:tc>
        <w:tc>
          <w:tcPr>
            <w:tcW w:w="32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45,958</w:t>
            </w:r>
          </w:p>
        </w:tc>
        <w:tc>
          <w:tcPr>
            <w:tcW w:w="2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44,866</w:t>
            </w:r>
          </w:p>
        </w:tc>
      </w:tr>
      <w:tr>
        <w:trPr>
          <w:trHeight w:val="225"/>
        </w:trPr>
        <w:tc>
          <w:tcPr>
            <w:tcW w:w="6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Raw material and supplies</w:t>
            </w:r>
          </w:p>
        </w:tc>
        <w:tc>
          <w:tcPr>
            <w:tcW w:w="3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27,249</w:t>
            </w:r>
          </w:p>
        </w:tc>
        <w:tc>
          <w:tcPr>
            <w:tcW w:w="2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25,082</w:t>
            </w:r>
          </w:p>
        </w:tc>
      </w:tr>
      <w:tr>
        <w:trPr>
          <w:trHeight w:val="209"/>
        </w:trPr>
        <w:tc>
          <w:tcPr>
            <w:tcW w:w="6100" w:type="dxa"/>
            <w:vAlign w:val="bottom"/>
          </w:tcPr>
          <w:p>
            <w:pPr>
              <w:ind w:left="160"/>
              <w:spacing w:after="0"/>
              <w:rPr>
                <w:sz w:val="20"/>
                <w:szCs w:val="20"/>
                <w:color w:val="auto"/>
              </w:rPr>
            </w:pPr>
            <w:r>
              <w:rPr>
                <w:rFonts w:ascii="Arial" w:cs="Arial" w:eastAsia="Arial" w:hAnsi="Arial"/>
                <w:sz w:val="18"/>
                <w:szCs w:val="18"/>
                <w:color w:val="auto"/>
              </w:rPr>
              <w:t>Total inventories</w:t>
            </w:r>
          </w:p>
        </w:tc>
        <w:tc>
          <w:tcPr>
            <w:tcW w:w="3260" w:type="dxa"/>
            <w:vAlign w:val="bottom"/>
          </w:tcPr>
          <w:p>
            <w:pPr>
              <w:jc w:val="right"/>
              <w:ind w:right="110"/>
              <w:spacing w:after="0"/>
              <w:rPr>
                <w:sz w:val="20"/>
                <w:szCs w:val="20"/>
                <w:color w:val="auto"/>
              </w:rPr>
            </w:pPr>
            <w:r>
              <w:rPr>
                <w:rFonts w:ascii="Arial" w:cs="Arial" w:eastAsia="Arial" w:hAnsi="Arial"/>
                <w:sz w:val="18"/>
                <w:szCs w:val="18"/>
                <w:b w:val="1"/>
                <w:bCs w:val="1"/>
                <w:color w:val="auto"/>
              </w:rPr>
              <w:t>$118,955</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$119,183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right="20" w:firstLine="648"/>
        <w:spacing w:after="0" w:line="246"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We record a provision for obsolete inventory based on the age and category of the inventories.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207"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89"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88"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6" w:name="page17"/>
    <w:bookmarkEnd w:id="16"/>
    <w:p>
      <w:pPr>
        <w:ind w:right="120"/>
        <w:spacing w:after="0"/>
        <w:rPr>
          <w:sz w:val="20"/>
          <w:szCs w:val="20"/>
          <w:color w:val="auto"/>
        </w:rPr>
      </w:pPr>
      <w:r>
        <w:rPr>
          <w:rFonts w:ascii="Arial" w:cs="Arial" w:eastAsia="Arial" w:hAnsi="Arial"/>
          <w:sz w:val="18"/>
          <w:szCs w:val="18"/>
          <w:color w:val="auto"/>
        </w:rPr>
        <w:t>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89" w:lineRule="exact"/>
        <w:rPr>
          <w:sz w:val="20"/>
          <w:szCs w:val="20"/>
          <w:color w:val="auto"/>
        </w:rPr>
      </w:pPr>
    </w:p>
    <w:p>
      <w:pPr>
        <w:jc w:val="both"/>
        <w:ind w:right="40" w:firstLine="648"/>
        <w:spacing w:after="0"/>
        <w:rPr>
          <w:sz w:val="20"/>
          <w:szCs w:val="20"/>
          <w:color w:val="auto"/>
        </w:rPr>
      </w:pPr>
      <w:r>
        <w:rPr>
          <w:rFonts w:ascii="Arial" w:cs="Arial" w:eastAsia="Arial" w:hAnsi="Arial"/>
          <w:sz w:val="18"/>
          <w:szCs w:val="18"/>
          <w:color w:val="auto"/>
        </w:rPr>
        <w:t>The entire balance of goodwill is attributable to the Machine Clothing business. In the second quarter of 2013 the Company applied the quantitative assessment approach in performing its annual evaluation of goodwill and concluded that no impairment provision was required. In addition, there were no amounts at risk due to the large spread between the fair and carrying values.</w:t>
      </w:r>
    </w:p>
    <w:p>
      <w:pPr>
        <w:spacing w:after="0" w:line="189"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2012 to September 30, 2013,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b w:val="1"/>
                <w:bCs w:val="1"/>
                <w:color w:val="auto"/>
              </w:rPr>
              <w:t>Balance at</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Currency</w:t>
            </w:r>
          </w:p>
        </w:tc>
        <w:tc>
          <w:tcPr>
            <w:tcW w:w="208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25"/>
        </w:trPr>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2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 2012</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Amortization</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Translation</w:t>
            </w:r>
          </w:p>
        </w:tc>
        <w:tc>
          <w:tcPr>
            <w:tcW w:w="2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September 30, 2013</w:t>
            </w:r>
          </w:p>
        </w:tc>
        <w:tc>
          <w:tcPr>
            <w:tcW w:w="0" w:type="dxa"/>
            <w:vAlign w:val="bottom"/>
          </w:tcPr>
          <w:p>
            <w:pPr>
              <w:spacing w:after="0"/>
              <w:rPr>
                <w:sz w:val="1"/>
                <w:szCs w:val="1"/>
                <w:color w:val="auto"/>
              </w:rPr>
            </w:pPr>
          </w:p>
        </w:tc>
      </w:tr>
      <w:tr>
        <w:trPr>
          <w:trHeight w:val="479"/>
        </w:trPr>
        <w:tc>
          <w:tcPr>
            <w:tcW w:w="3400" w:type="dxa"/>
            <w:vAlign w:val="bottom"/>
          </w:tcPr>
          <w:p>
            <w:pPr>
              <w:ind w:left="100"/>
              <w:spacing w:after="0"/>
              <w:rPr>
                <w:sz w:val="20"/>
                <w:szCs w:val="20"/>
                <w:color w:val="auto"/>
              </w:rPr>
            </w:pPr>
            <w:r>
              <w:rPr>
                <w:rFonts w:ascii="Arial" w:cs="Arial" w:eastAsia="Arial" w:hAnsi="Arial"/>
                <w:sz w:val="18"/>
                <w:szCs w:val="18"/>
                <w:color w:val="auto"/>
              </w:rPr>
              <w:t>Amortized intangible assets:</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181"/>
        </w:trPr>
        <w:tc>
          <w:tcPr>
            <w:tcW w:w="3400" w:type="dxa"/>
            <w:vAlign w:val="bottom"/>
          </w:tcPr>
          <w:p>
            <w:pPr>
              <w:ind w:left="140"/>
              <w:spacing w:after="0" w:line="181" w:lineRule="exact"/>
              <w:rPr>
                <w:sz w:val="20"/>
                <w:szCs w:val="20"/>
                <w:color w:val="auto"/>
              </w:rPr>
            </w:pPr>
            <w:r>
              <w:rPr>
                <w:rFonts w:ascii="Arial" w:cs="Arial" w:eastAsia="Arial" w:hAnsi="Arial"/>
                <w:sz w:val="18"/>
                <w:szCs w:val="18"/>
                <w:color w:val="auto"/>
              </w:rPr>
              <w:t>AEC trade names</w:t>
            </w:r>
          </w:p>
        </w:tc>
        <w:tc>
          <w:tcPr>
            <w:tcW w:w="2440" w:type="dxa"/>
            <w:vAlign w:val="bottom"/>
          </w:tcPr>
          <w:p>
            <w:pPr>
              <w:jc w:val="right"/>
              <w:ind w:right="30"/>
              <w:spacing w:after="0" w:line="181"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5"/>
                <w:szCs w:val="15"/>
                <w:color w:val="auto"/>
              </w:rPr>
            </w:pPr>
          </w:p>
        </w:tc>
        <w:tc>
          <w:tcPr>
            <w:tcW w:w="14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($4)</w:t>
            </w:r>
          </w:p>
        </w:tc>
        <w:tc>
          <w:tcPr>
            <w:tcW w:w="3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w:t>
            </w: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40"/>
              <w:spacing w:after="0" w:line="202" w:lineRule="exact"/>
              <w:rPr>
                <w:sz w:val="20"/>
                <w:szCs w:val="20"/>
                <w:color w:val="auto"/>
              </w:rPr>
            </w:pPr>
            <w:r>
              <w:rPr>
                <w:rFonts w:ascii="Arial" w:cs="Arial" w:eastAsia="Arial" w:hAnsi="Arial"/>
                <w:sz w:val="18"/>
                <w:szCs w:val="18"/>
                <w:color w:val="auto"/>
              </w:rPr>
              <w:t>AEC customer contracts</w:t>
            </w:r>
          </w:p>
        </w:tc>
        <w:tc>
          <w:tcPr>
            <w:tcW w:w="2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606</w:t>
            </w:r>
          </w:p>
        </w:tc>
        <w:tc>
          <w:tcPr>
            <w:tcW w:w="26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(152)</w:t>
            </w:r>
          </w:p>
        </w:tc>
        <w:tc>
          <w:tcPr>
            <w:tcW w:w="380" w:type="dxa"/>
            <w:vAlign w:val="bottom"/>
          </w:tcPr>
          <w:p>
            <w:pPr>
              <w:spacing w:after="0"/>
              <w:rPr>
                <w:sz w:val="17"/>
                <w:szCs w:val="17"/>
                <w:color w:val="auto"/>
              </w:rPr>
            </w:pPr>
          </w:p>
        </w:tc>
        <w:tc>
          <w:tcPr>
            <w:tcW w:w="14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454</w:t>
            </w:r>
          </w:p>
        </w:tc>
        <w:tc>
          <w:tcPr>
            <w:tcW w:w="0" w:type="dxa"/>
            <w:vAlign w:val="bottom"/>
          </w:tcPr>
          <w:p>
            <w:pPr>
              <w:spacing w:after="0"/>
              <w:rPr>
                <w:sz w:val="1"/>
                <w:szCs w:val="1"/>
                <w:color w:val="auto"/>
              </w:rPr>
            </w:pPr>
          </w:p>
        </w:tc>
      </w:tr>
      <w:tr>
        <w:trPr>
          <w:trHeight w:val="225"/>
        </w:trPr>
        <w:tc>
          <w:tcPr>
            <w:tcW w:w="3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AEC technology</w:t>
            </w:r>
          </w:p>
        </w:tc>
        <w:tc>
          <w:tcPr>
            <w:tcW w:w="2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amortized intangible assets</w:t>
            </w:r>
          </w:p>
        </w:tc>
        <w:tc>
          <w:tcPr>
            <w:tcW w:w="24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$848</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($174)</w:t>
            </w:r>
          </w:p>
        </w:tc>
        <w:tc>
          <w:tcPr>
            <w:tcW w:w="3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$674</w:t>
            </w:r>
          </w:p>
        </w:tc>
        <w:tc>
          <w:tcPr>
            <w:tcW w:w="0" w:type="dxa"/>
            <w:vAlign w:val="bottom"/>
          </w:tcPr>
          <w:p>
            <w:pPr>
              <w:spacing w:after="0"/>
              <w:rPr>
                <w:sz w:val="1"/>
                <w:szCs w:val="1"/>
                <w:color w:val="auto"/>
              </w:rPr>
            </w:pPr>
          </w:p>
        </w:tc>
      </w:tr>
      <w:tr>
        <w:trPr>
          <w:trHeight w:val="479"/>
        </w:trPr>
        <w:tc>
          <w:tcPr>
            <w:tcW w:w="3400" w:type="dxa"/>
            <w:vAlign w:val="bottom"/>
          </w:tcPr>
          <w:p>
            <w:pPr>
              <w:ind w:left="100"/>
              <w:spacing w:after="0"/>
              <w:rPr>
                <w:sz w:val="20"/>
                <w:szCs w:val="20"/>
                <w:color w:val="auto"/>
              </w:rPr>
            </w:pPr>
            <w:r>
              <w:rPr>
                <w:rFonts w:ascii="Arial" w:cs="Arial" w:eastAsia="Arial" w:hAnsi="Arial"/>
                <w:sz w:val="18"/>
                <w:szCs w:val="18"/>
                <w:color w:val="auto"/>
              </w:rPr>
              <w:t>Unamortized intangible assets:</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$77,950</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Goodwill</w:t>
            </w:r>
          </w:p>
        </w:tc>
        <w:tc>
          <w:tcPr>
            <w:tcW w:w="24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$76,522</w:t>
            </w:r>
          </w:p>
        </w:tc>
        <w:tc>
          <w:tcPr>
            <w:tcW w:w="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$1,428</w:t>
            </w:r>
          </w:p>
        </w:tc>
        <w:tc>
          <w:tcPr>
            <w:tcW w:w="2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As of September 30, 2013, the balance of goodwill was $78.0 million and was completely attributable to our Machine Clothing reportable segment.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of intangibles for the years ending December 31, 2013 through 2017,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20" w:type="dxa"/>
            <w:vAlign w:val="bottom"/>
            <w:tcBorders>
              <w:top w:val="single" w:sz="8" w:color="auto"/>
            </w:tcBorders>
          </w:tcPr>
          <w:p>
            <w:pPr>
              <w:spacing w:after="0"/>
              <w:rPr>
                <w:sz w:val="14"/>
                <w:szCs w:val="14"/>
                <w:color w:val="auto"/>
              </w:rPr>
            </w:pPr>
          </w:p>
        </w:tc>
        <w:tc>
          <w:tcPr>
            <w:tcW w:w="2560" w:type="dxa"/>
            <w:vAlign w:val="bottom"/>
            <w:tcBorders>
              <w:top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Annual amortization</w:t>
            </w:r>
          </w:p>
        </w:tc>
      </w:tr>
      <w:tr>
        <w:trPr>
          <w:trHeight w:val="175"/>
        </w:trPr>
        <w:tc>
          <w:tcPr>
            <w:tcW w:w="2020" w:type="dxa"/>
            <w:vAlign w:val="bottom"/>
            <w:tcBorders>
              <w:bottom w:val="single" w:sz="8" w:color="auto"/>
            </w:tcBorders>
          </w:tcPr>
          <w:p>
            <w:pPr>
              <w:jc w:val="center"/>
              <w:ind w:right="473"/>
              <w:spacing w:after="0"/>
              <w:rPr>
                <w:sz w:val="20"/>
                <w:szCs w:val="20"/>
                <w:color w:val="auto"/>
              </w:rPr>
            </w:pPr>
            <w:r>
              <w:rPr>
                <w:rFonts w:ascii="Arial" w:cs="Arial" w:eastAsia="Arial" w:hAnsi="Arial"/>
                <w:sz w:val="14"/>
                <w:szCs w:val="14"/>
                <w:b w:val="1"/>
                <w:bCs w:val="1"/>
                <w:color w:val="auto"/>
                <w:w w:val="98"/>
              </w:rPr>
              <w:t>Year</w:t>
            </w:r>
          </w:p>
        </w:tc>
        <w:tc>
          <w:tcPr>
            <w:tcW w:w="25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2020" w:type="dxa"/>
            <w:vAlign w:val="bottom"/>
          </w:tcPr>
          <w:p>
            <w:pPr>
              <w:jc w:val="center"/>
              <w:ind w:right="453"/>
              <w:spacing w:after="0"/>
              <w:rPr>
                <w:sz w:val="20"/>
                <w:szCs w:val="20"/>
                <w:color w:val="auto"/>
              </w:rPr>
            </w:pPr>
            <w:r>
              <w:rPr>
                <w:rFonts w:ascii="Arial" w:cs="Arial" w:eastAsia="Arial" w:hAnsi="Arial"/>
                <w:sz w:val="18"/>
                <w:szCs w:val="18"/>
                <w:color w:val="auto"/>
                <w:w w:val="99"/>
              </w:rPr>
              <w:t>2013</w:t>
            </w:r>
          </w:p>
        </w:tc>
        <w:tc>
          <w:tcPr>
            <w:tcW w:w="2560" w:type="dxa"/>
            <w:vAlign w:val="bottom"/>
          </w:tcPr>
          <w:p>
            <w:pPr>
              <w:jc w:val="right"/>
              <w:ind w:right="15"/>
              <w:spacing w:after="0"/>
              <w:rPr>
                <w:sz w:val="20"/>
                <w:szCs w:val="20"/>
                <w:color w:val="auto"/>
              </w:rPr>
            </w:pPr>
            <w:r>
              <w:rPr>
                <w:rFonts w:ascii="Arial" w:cs="Arial" w:eastAsia="Arial" w:hAnsi="Arial"/>
                <w:sz w:val="18"/>
                <w:szCs w:val="18"/>
                <w:color w:val="auto"/>
              </w:rPr>
              <w:t>$231</w:t>
            </w:r>
          </w:p>
        </w:tc>
      </w:tr>
      <w:tr>
        <w:trPr>
          <w:trHeight w:val="243"/>
        </w:trPr>
        <w:tc>
          <w:tcPr>
            <w:tcW w:w="2020" w:type="dxa"/>
            <w:vAlign w:val="bottom"/>
          </w:tcPr>
          <w:p>
            <w:pPr>
              <w:jc w:val="center"/>
              <w:ind w:right="453"/>
              <w:spacing w:after="0"/>
              <w:rPr>
                <w:sz w:val="20"/>
                <w:szCs w:val="20"/>
                <w:color w:val="auto"/>
              </w:rPr>
            </w:pPr>
            <w:r>
              <w:rPr>
                <w:rFonts w:ascii="Arial" w:cs="Arial" w:eastAsia="Arial" w:hAnsi="Arial"/>
                <w:sz w:val="18"/>
                <w:szCs w:val="18"/>
                <w:color w:val="auto"/>
                <w:w w:val="99"/>
              </w:rPr>
              <w:t>2014</w:t>
            </w:r>
          </w:p>
        </w:tc>
        <w:tc>
          <w:tcPr>
            <w:tcW w:w="2560" w:type="dxa"/>
            <w:vAlign w:val="bottom"/>
          </w:tcPr>
          <w:p>
            <w:pPr>
              <w:jc w:val="right"/>
              <w:ind w:right="15"/>
              <w:spacing w:after="0"/>
              <w:rPr>
                <w:sz w:val="20"/>
                <w:szCs w:val="20"/>
                <w:color w:val="auto"/>
              </w:rPr>
            </w:pPr>
            <w:r>
              <w:rPr>
                <w:rFonts w:ascii="Arial" w:cs="Arial" w:eastAsia="Arial" w:hAnsi="Arial"/>
                <w:sz w:val="18"/>
                <w:szCs w:val="18"/>
                <w:color w:val="auto"/>
              </w:rPr>
              <w:t>231</w:t>
            </w:r>
          </w:p>
        </w:tc>
      </w:tr>
      <w:tr>
        <w:trPr>
          <w:trHeight w:val="243"/>
        </w:trPr>
        <w:tc>
          <w:tcPr>
            <w:tcW w:w="2020" w:type="dxa"/>
            <w:vAlign w:val="bottom"/>
          </w:tcPr>
          <w:p>
            <w:pPr>
              <w:jc w:val="center"/>
              <w:ind w:right="453"/>
              <w:spacing w:after="0"/>
              <w:rPr>
                <w:sz w:val="20"/>
                <w:szCs w:val="20"/>
                <w:color w:val="auto"/>
              </w:rPr>
            </w:pPr>
            <w:r>
              <w:rPr>
                <w:rFonts w:ascii="Arial" w:cs="Arial" w:eastAsia="Arial" w:hAnsi="Arial"/>
                <w:sz w:val="18"/>
                <w:szCs w:val="18"/>
                <w:color w:val="auto"/>
                <w:w w:val="99"/>
              </w:rPr>
              <w:t>2015</w:t>
            </w:r>
          </w:p>
        </w:tc>
        <w:tc>
          <w:tcPr>
            <w:tcW w:w="2560" w:type="dxa"/>
            <w:vAlign w:val="bottom"/>
          </w:tcPr>
          <w:p>
            <w:pPr>
              <w:jc w:val="right"/>
              <w:ind w:right="15"/>
              <w:spacing w:after="0"/>
              <w:rPr>
                <w:sz w:val="20"/>
                <w:szCs w:val="20"/>
                <w:color w:val="auto"/>
              </w:rPr>
            </w:pPr>
            <w:r>
              <w:rPr>
                <w:rFonts w:ascii="Arial" w:cs="Arial" w:eastAsia="Arial" w:hAnsi="Arial"/>
                <w:sz w:val="18"/>
                <w:szCs w:val="18"/>
                <w:color w:val="auto"/>
              </w:rPr>
              <w:t>231</w:t>
            </w:r>
          </w:p>
        </w:tc>
      </w:tr>
      <w:tr>
        <w:trPr>
          <w:trHeight w:val="229"/>
        </w:trPr>
        <w:tc>
          <w:tcPr>
            <w:tcW w:w="2020" w:type="dxa"/>
            <w:vAlign w:val="bottom"/>
          </w:tcPr>
          <w:p>
            <w:pPr>
              <w:jc w:val="center"/>
              <w:ind w:right="453"/>
              <w:spacing w:after="0"/>
              <w:rPr>
                <w:sz w:val="20"/>
                <w:szCs w:val="20"/>
                <w:color w:val="auto"/>
              </w:rPr>
            </w:pPr>
            <w:r>
              <w:rPr>
                <w:rFonts w:ascii="Arial" w:cs="Arial" w:eastAsia="Arial" w:hAnsi="Arial"/>
                <w:sz w:val="18"/>
                <w:szCs w:val="18"/>
                <w:color w:val="auto"/>
                <w:w w:val="99"/>
              </w:rPr>
              <w:t>2016</w:t>
            </w:r>
          </w:p>
        </w:tc>
        <w:tc>
          <w:tcPr>
            <w:tcW w:w="2560" w:type="dxa"/>
            <w:vAlign w:val="bottom"/>
          </w:tcPr>
          <w:p>
            <w:pPr>
              <w:jc w:val="right"/>
              <w:ind w:right="15"/>
              <w:spacing w:after="0"/>
              <w:rPr>
                <w:sz w:val="20"/>
                <w:szCs w:val="20"/>
                <w:color w:val="auto"/>
              </w:rPr>
            </w:pPr>
            <w:r>
              <w:rPr>
                <w:rFonts w:ascii="Arial" w:cs="Arial" w:eastAsia="Arial" w:hAnsi="Arial"/>
                <w:sz w:val="18"/>
                <w:szCs w:val="18"/>
                <w:color w:val="auto"/>
              </w:rPr>
              <w:t>29</w:t>
            </w:r>
          </w:p>
        </w:tc>
      </w:tr>
      <w:tr>
        <w:trPr>
          <w:trHeight w:val="203"/>
        </w:trPr>
        <w:tc>
          <w:tcPr>
            <w:tcW w:w="2020" w:type="dxa"/>
            <w:vAlign w:val="bottom"/>
            <w:tcBorders>
              <w:bottom w:val="single" w:sz="8" w:color="auto"/>
            </w:tcBorders>
          </w:tcPr>
          <w:p>
            <w:pPr>
              <w:jc w:val="center"/>
              <w:ind w:right="453"/>
              <w:spacing w:after="0" w:line="203" w:lineRule="exact"/>
              <w:rPr>
                <w:sz w:val="20"/>
                <w:szCs w:val="20"/>
                <w:color w:val="auto"/>
              </w:rPr>
            </w:pPr>
            <w:r>
              <w:rPr>
                <w:rFonts w:ascii="Arial" w:cs="Arial" w:eastAsia="Arial" w:hAnsi="Arial"/>
                <w:sz w:val="18"/>
                <w:szCs w:val="18"/>
                <w:color w:val="auto"/>
                <w:w w:val="99"/>
              </w:rPr>
              <w:t>2017</w:t>
            </w:r>
          </w:p>
        </w:tc>
        <w:tc>
          <w:tcPr>
            <w:tcW w:w="2560" w:type="dxa"/>
            <w:vAlign w:val="bottom"/>
            <w:tcBorders>
              <w:bottom w:val="single" w:sz="8" w:color="auto"/>
            </w:tcBorders>
          </w:tcPr>
          <w:p>
            <w:pPr>
              <w:jc w:val="right"/>
              <w:ind w:right="15"/>
              <w:spacing w:after="0" w:line="203" w:lineRule="exact"/>
              <w:rPr>
                <w:sz w:val="20"/>
                <w:szCs w:val="20"/>
                <w:color w:val="auto"/>
              </w:rPr>
            </w:pPr>
            <w:r>
              <w:rPr>
                <w:rFonts w:ascii="Arial" w:cs="Arial" w:eastAsia="Arial" w:hAnsi="Arial"/>
                <w:sz w:val="18"/>
                <w:szCs w:val="18"/>
                <w:color w:val="auto"/>
              </w:rPr>
              <w:t>29</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 except interest rates)</w:t>
            </w:r>
          </w:p>
        </w:tc>
        <w:tc>
          <w:tcPr>
            <w:tcW w:w="20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September 30, 2013</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December 31, 2012</w:t>
            </w:r>
          </w:p>
        </w:tc>
        <w:tc>
          <w:tcPr>
            <w:tcW w:w="0" w:type="dxa"/>
            <w:vAlign w:val="bottom"/>
          </w:tcPr>
          <w:p>
            <w:pPr>
              <w:spacing w:after="0"/>
              <w:rPr>
                <w:sz w:val="1"/>
                <w:szCs w:val="1"/>
                <w:color w:val="auto"/>
              </w:rPr>
            </w:pPr>
          </w:p>
        </w:tc>
      </w:tr>
      <w:tr>
        <w:trPr>
          <w:trHeight w:val="438"/>
        </w:trPr>
        <w:tc>
          <w:tcPr>
            <w:tcW w:w="7580" w:type="dxa"/>
            <w:vAlign w:val="bottom"/>
          </w:tcPr>
          <w:p>
            <w:pPr>
              <w:ind w:left="100"/>
              <w:spacing w:after="0"/>
              <w:rPr>
                <w:sz w:val="20"/>
                <w:szCs w:val="20"/>
                <w:color w:val="auto"/>
              </w:rPr>
            </w:pPr>
            <w:r>
              <w:rPr>
                <w:rFonts w:ascii="Arial" w:cs="Arial" w:eastAsia="Arial" w:hAnsi="Arial"/>
                <w:sz w:val="18"/>
                <w:szCs w:val="18"/>
                <w:color w:val="auto"/>
              </w:rPr>
              <w:t>Convertible notes, par value $28,437, issued in March 2006 with fixed contractual interest</w:t>
            </w:r>
          </w:p>
        </w:tc>
        <w:tc>
          <w:tcPr>
            <w:tcW w:w="7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80" w:type="dxa"/>
            <w:vAlign w:val="bottom"/>
          </w:tcPr>
          <w:p>
            <w:pPr>
              <w:ind w:left="100"/>
              <w:spacing w:after="0"/>
              <w:rPr>
                <w:sz w:val="20"/>
                <w:szCs w:val="20"/>
                <w:color w:val="auto"/>
              </w:rPr>
            </w:pPr>
            <w:r>
              <w:rPr>
                <w:rFonts w:ascii="Arial" w:cs="Arial" w:eastAsia="Arial" w:hAnsi="Arial"/>
                <w:sz w:val="18"/>
                <w:szCs w:val="18"/>
                <w:color w:val="auto"/>
              </w:rPr>
              <w:t>rates of 2.25%, due in 2026, redeemed March 2013</w:t>
            </w:r>
          </w:p>
        </w:tc>
        <w:tc>
          <w:tcPr>
            <w:tcW w:w="7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$28,261</w:t>
            </w:r>
          </w:p>
        </w:tc>
        <w:tc>
          <w:tcPr>
            <w:tcW w:w="0" w:type="dxa"/>
            <w:vAlign w:val="bottom"/>
          </w:tcPr>
          <w:p>
            <w:pPr>
              <w:spacing w:after="0"/>
              <w:rPr>
                <w:sz w:val="1"/>
                <w:szCs w:val="1"/>
                <w:color w:val="auto"/>
              </w:rPr>
            </w:pPr>
          </w:p>
        </w:tc>
      </w:tr>
      <w:tr>
        <w:trPr>
          <w:trHeight w:val="446"/>
        </w:trPr>
        <w:tc>
          <w:tcPr>
            <w:tcW w:w="7580" w:type="dxa"/>
            <w:vAlign w:val="bottom"/>
          </w:tcPr>
          <w:p>
            <w:pPr>
              <w:ind w:left="100"/>
              <w:spacing w:after="0"/>
              <w:rPr>
                <w:sz w:val="20"/>
                <w:szCs w:val="20"/>
                <w:color w:val="auto"/>
              </w:rPr>
            </w:pPr>
            <w:r>
              <w:rPr>
                <w:rFonts w:ascii="Arial" w:cs="Arial" w:eastAsia="Arial" w:hAnsi="Arial"/>
                <w:sz w:val="18"/>
                <w:szCs w:val="18"/>
                <w:color w:val="auto"/>
              </w:rPr>
              <w:t>Private placement with a fixed interest rate of 6.84%, due in 2013 through 2017</w:t>
            </w:r>
          </w:p>
        </w:tc>
        <w:tc>
          <w:tcPr>
            <w:tcW w:w="74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150,000</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431"/>
        </w:trPr>
        <w:tc>
          <w:tcPr>
            <w:tcW w:w="7580" w:type="dxa"/>
            <w:vAlign w:val="bottom"/>
          </w:tcPr>
          <w:p>
            <w:pPr>
              <w:ind w:left="100"/>
              <w:spacing w:after="0"/>
              <w:rPr>
                <w:sz w:val="20"/>
                <w:szCs w:val="20"/>
                <w:color w:val="auto"/>
              </w:rPr>
            </w:pPr>
            <w:r>
              <w:rPr>
                <w:rFonts w:ascii="Arial" w:cs="Arial" w:eastAsia="Arial" w:hAnsi="Arial"/>
                <w:sz w:val="18"/>
                <w:szCs w:val="18"/>
                <w:color w:val="auto"/>
              </w:rPr>
              <w:t>Credit agreement with borrowings outstanding at an end of period interest rate of 2.84% in</w:t>
            </w:r>
          </w:p>
        </w:tc>
        <w:tc>
          <w:tcPr>
            <w:tcW w:w="740" w:type="dxa"/>
            <w:vAlign w:val="bottom"/>
          </w:tcPr>
          <w:p>
            <w:pPr>
              <w:spacing w:after="0"/>
              <w:rPr>
                <w:sz w:val="24"/>
                <w:szCs w:val="24"/>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152,000</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80" w:type="dxa"/>
            <w:vAlign w:val="bottom"/>
          </w:tcPr>
          <w:p>
            <w:pPr>
              <w:ind w:left="100"/>
              <w:spacing w:after="0"/>
              <w:rPr>
                <w:sz w:val="20"/>
                <w:szCs w:val="20"/>
                <w:color w:val="auto"/>
              </w:rPr>
            </w:pPr>
            <w:r>
              <w:rPr>
                <w:rFonts w:ascii="Arial" w:cs="Arial" w:eastAsia="Arial" w:hAnsi="Arial"/>
                <w:sz w:val="18"/>
                <w:szCs w:val="18"/>
                <w:color w:val="auto"/>
              </w:rPr>
              <w:t>2013 and 3.92% in 2012, due in 2018</w:t>
            </w:r>
          </w:p>
        </w:tc>
        <w:tc>
          <w:tcPr>
            <w:tcW w:w="7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132,000</w:t>
            </w:r>
          </w:p>
        </w:tc>
        <w:tc>
          <w:tcPr>
            <w:tcW w:w="0" w:type="dxa"/>
            <w:vAlign w:val="bottom"/>
          </w:tcPr>
          <w:p>
            <w:pPr>
              <w:spacing w:after="0"/>
              <w:rPr>
                <w:sz w:val="1"/>
                <w:szCs w:val="1"/>
                <w:color w:val="auto"/>
              </w:rPr>
            </w:pPr>
          </w:p>
        </w:tc>
      </w:tr>
      <w:tr>
        <w:trPr>
          <w:trHeight w:val="431"/>
        </w:trPr>
        <w:tc>
          <w:tcPr>
            <w:tcW w:w="7580" w:type="dxa"/>
            <w:vAlign w:val="bottom"/>
          </w:tcPr>
          <w:p>
            <w:pPr>
              <w:ind w:left="100"/>
              <w:spacing w:after="0"/>
              <w:rPr>
                <w:sz w:val="20"/>
                <w:szCs w:val="20"/>
                <w:color w:val="auto"/>
              </w:rPr>
            </w:pPr>
            <w:r>
              <w:rPr>
                <w:rFonts w:ascii="Arial" w:cs="Arial" w:eastAsia="Arial" w:hAnsi="Arial"/>
                <w:sz w:val="18"/>
                <w:szCs w:val="18"/>
                <w:color w:val="auto"/>
              </w:rPr>
              <w:t>Various notes and mortgages relative to operations principally outside the United States, at</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00"/>
              <w:spacing w:after="0" w:line="202" w:lineRule="exact"/>
              <w:rPr>
                <w:sz w:val="20"/>
                <w:szCs w:val="20"/>
                <w:color w:val="auto"/>
              </w:rPr>
            </w:pPr>
            <w:r>
              <w:rPr>
                <w:rFonts w:ascii="Arial" w:cs="Arial" w:eastAsia="Arial" w:hAnsi="Arial"/>
                <w:sz w:val="18"/>
                <w:szCs w:val="18"/>
                <w:color w:val="auto"/>
              </w:rPr>
              <w:t>an average end of period rate of 3.08% in 2013 and 3.06% in 2012, due in varying amounts</w:t>
            </w:r>
          </w:p>
        </w:tc>
        <w:tc>
          <w:tcPr>
            <w:tcW w:w="740" w:type="dxa"/>
            <w:vAlign w:val="bottom"/>
          </w:tcPr>
          <w:p>
            <w:pPr>
              <w:spacing w:after="0"/>
              <w:rPr>
                <w:sz w:val="17"/>
                <w:szCs w:val="17"/>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5,129</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through 2021</w:t>
            </w: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8,892</w:t>
            </w:r>
          </w:p>
        </w:tc>
        <w:tc>
          <w:tcPr>
            <w:tcW w:w="0" w:type="dxa"/>
            <w:vAlign w:val="bottom"/>
          </w:tcPr>
          <w:p>
            <w:pPr>
              <w:spacing w:after="0"/>
              <w:rPr>
                <w:sz w:val="1"/>
                <w:szCs w:val="1"/>
                <w:color w:val="auto"/>
              </w:rPr>
            </w:pPr>
          </w:p>
        </w:tc>
      </w:tr>
      <w:tr>
        <w:trPr>
          <w:trHeight w:val="493"/>
        </w:trPr>
        <w:tc>
          <w:tcPr>
            <w:tcW w:w="758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74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307,129</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319,153</w:t>
            </w:r>
          </w:p>
        </w:tc>
        <w:tc>
          <w:tcPr>
            <w:tcW w:w="0" w:type="dxa"/>
            <w:vAlign w:val="bottom"/>
          </w:tcPr>
          <w:p>
            <w:pPr>
              <w:spacing w:after="0"/>
              <w:rPr>
                <w:sz w:val="1"/>
                <w:szCs w:val="1"/>
                <w:color w:val="auto"/>
              </w:rPr>
            </w:pPr>
          </w:p>
        </w:tc>
      </w:tr>
      <w:tr>
        <w:trPr>
          <w:trHeight w:val="432"/>
        </w:trPr>
        <w:tc>
          <w:tcPr>
            <w:tcW w:w="7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current portion</w:t>
            </w:r>
          </w:p>
        </w:tc>
        <w:tc>
          <w:tcPr>
            <w:tcW w:w="7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(55,014)</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(83,276)</w:t>
            </w:r>
          </w:p>
        </w:tc>
        <w:tc>
          <w:tcPr>
            <w:tcW w:w="0" w:type="dxa"/>
            <w:vAlign w:val="bottom"/>
          </w:tcPr>
          <w:p>
            <w:pPr>
              <w:spacing w:after="0"/>
              <w:rPr>
                <w:sz w:val="1"/>
                <w:szCs w:val="1"/>
                <w:color w:val="auto"/>
              </w:rPr>
            </w:pPr>
          </w:p>
        </w:tc>
      </w:tr>
      <w:tr>
        <w:trPr>
          <w:trHeight w:val="439"/>
        </w:trPr>
        <w:tc>
          <w:tcPr>
            <w:tcW w:w="7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Long-term debt, net of current portion</w:t>
            </w:r>
          </w:p>
        </w:tc>
        <w:tc>
          <w:tcPr>
            <w:tcW w:w="7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$252,115</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$235,877</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A note agreement and guaranty (“Prudential Agreement”) was entered into in October 2005, and was amended and restated September 17, 2010 and March 26, 2013, with the Prudential Insurance Company of America, and certain other purchasers, in an aggregate principal amount of $150 million, with interest at 6.84% and a maturity date of October 25, 2017. The Prudential Agreement provides for mandatory payments of $50 million on each of October 25, 2013 and October 25, 2015.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(as described below). For disclosure purposes, we are required to measure the fair value of outstanding debt on a recurring basis. As of September 30, 2013, the fair value of the Prudential Agreement was approximately $167.7 million, which was measured using active market interest rates, which would be considered Level 2 for fair value measurement purposes.</w:t>
      </w:r>
    </w:p>
    <w:p>
      <w:pPr>
        <w:spacing w:after="0" w:line="19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7"/>
          <w:szCs w:val="17"/>
          <w:color w:val="auto"/>
        </w:rPr>
        <w:t>On March 26, 2013, we entered into a $330 million, unsecured Five-Year Revolving Credit Facility Agreement ("Credit Agreement"), under which $152 million of borrowings were outstanding as of September 30, 2013. The Credit Agreement replaces the previous $ 390 million five-year Credit agreement made in 2010. The applicable interest rate for borrowings under the Credit Agreement, as well as under the former agreement, is LIBOR plus a spread, based on our leverage ratio at the time of borrowing. At the time of the last borrowing on September 23, 2013, the spread was 1.375%. The spread is based on a pricing grid, which ranges from 1.25% to 1.875%, based on our leverage ratio.</w:t>
      </w:r>
    </w:p>
    <w:p>
      <w:pPr>
        <w:spacing w:after="0" w:line="177" w:lineRule="exact"/>
        <w:rPr>
          <w:sz w:val="20"/>
          <w:szCs w:val="20"/>
          <w:color w:val="auto"/>
        </w:rPr>
      </w:pPr>
    </w:p>
    <w:p>
      <w:pPr>
        <w:ind w:right="340" w:firstLine="648"/>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our maximum leverage ratio and our consolidated EBITDA (as defined in the Credit Agreement), and without modification to any other credit agreements, as of September 30, 2013 we would have been able to borrow an additional $178 million under the Credit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8" w:name="page19"/>
    <w:bookmarkEnd w:id="18"/>
    <w:p>
      <w:pPr>
        <w:ind w:right="80" w:firstLine="648"/>
        <w:spacing w:after="0" w:line="237"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Credit Agreement at the rate of 2.04% for five years. Under the terms of these transactions, we pay the fixed rate of 2.04% and the counterparties pay a floating rate based on the three-month LIBOR rate at each quarterly calculation date, which on July 16, 2013 was 0.27%. The net effect is to fix the effective interest rate on $105 million of indebtedness at 2.04%, plus the applicable spread, until these swap agreements expire on July 16, 2015. As of September 30, 2013, the all-in rate on the $105 million of debt was 3.415%.</w:t>
      </w:r>
    </w:p>
    <w:p>
      <w:pPr>
        <w:spacing w:after="0" w:line="19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the indebtedness drawn under the Credit Agreement at the rate of 1.414% during this period. Under the terms of these transactions, we pay the fixed rate of 1.414% and the counterparties pay a floating rate based on the one-month LIBOR rate at each monthly calculation date, which on September 30, 2013 was 0.18%. The net effect is to fix the effective interest rate on $110 million of indebtedness at 1.414%, plus the applicable spread, during the swap period.</w:t>
      </w:r>
    </w:p>
    <w:p>
      <w:pPr>
        <w:spacing w:after="0" w:line="205"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interest rate swaps are accounted for as a hedge of future cash flows, as further described in Note 14 of the Notes to Consolidated Financial Statements. No cash collateral was received or pledged in relation to the swap agreements.</w:t>
      </w:r>
    </w:p>
    <w:p>
      <w:pPr>
        <w:spacing w:after="0" w:line="183" w:lineRule="exact"/>
        <w:rPr>
          <w:sz w:val="20"/>
          <w:szCs w:val="20"/>
          <w:color w:val="auto"/>
        </w:rPr>
      </w:pPr>
    </w:p>
    <w:p>
      <w:pPr>
        <w:ind w:right="620" w:firstLine="648"/>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183"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As of September 30, 2013, our leverage ratio was 1.77 to 1.00 and our interest coverage ratio was 8.30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89" w:lineRule="exact"/>
        <w:rPr>
          <w:sz w:val="20"/>
          <w:szCs w:val="20"/>
          <w:color w:val="auto"/>
        </w:rPr>
      </w:pPr>
    </w:p>
    <w:p>
      <w:pPr>
        <w:ind w:right="520" w:firstLine="648"/>
        <w:spacing w:after="0" w:line="246" w:lineRule="auto"/>
        <w:rPr>
          <w:sz w:val="20"/>
          <w:szCs w:val="20"/>
          <w:color w:val="auto"/>
        </w:rPr>
      </w:pPr>
      <w:r>
        <w:rPr>
          <w:rFonts w:ascii="Arial" w:cs="Arial" w:eastAsia="Arial" w:hAnsi="Arial"/>
          <w:sz w:val="18"/>
          <w:szCs w:val="18"/>
          <w:color w:val="auto"/>
        </w:rPr>
        <w:t>On March 15, 2013, the Company redeemed, at 100 percent of par, all remaining 2.25% Convertible Senior Notes due 2026 (the “Notes”). The cash payments of $28.4 million were funded by increased borrowings under the Credit agreement.</w:t>
      </w:r>
    </w:p>
    <w:p>
      <w:pPr>
        <w:spacing w:after="0" w:line="18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In connection with the original sale of the Notes in 2006, we entered into hedge and warrant transactions with respect to our Class A common stock. These transactions were intended to reduce the potential dilution upon conversion of the Notes by providing us with the option, subject to certain exceptions, to acquire shares in an amount equal to the number of shares that we would be required to deliver upon conversion of the Notes. These transactions had the economic effect to the Company of increasing the conversion price of the Notes to $52.25 per share. These transactions had a net cost of $14.7 million. The hedge transactions expired on March 15, 2013 and all warrants were expired by September 10, 2013.</w:t>
      </w:r>
    </w:p>
    <w:p>
      <w:pPr>
        <w:spacing w:after="0" w:line="192"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September 30, 2013.</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19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The hierarchy is broken down into three general levels: Level 1 inputs are quoted prices in active markets for identical assets or liabilities; Level 2 inputs include data points that are observable, such as quoted prices for similar assets or liabilities in active markets, quoted prices for identical assets or similar assets or liabilities in markets that are not active, and inputs (other than quoted prices) such as interest rates and yield curves that are observable for the asset and liability, either directly or indirectly; Level 3 inputs are unobservable data points for the asset or liability, and include situations in which there is little, if any, market activity for the asset or liability.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fair-value hierarchy for our financial assets and liabilities measured at fair value on a recurring basis: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580" w:type="dxa"/>
            <w:vAlign w:val="bottom"/>
            <w:tcBorders>
              <w:top w:val="single" w:sz="8" w:color="auto"/>
            </w:tcBorders>
          </w:tcPr>
          <w:p>
            <w:pPr>
              <w:spacing w:after="0"/>
              <w:rPr>
                <w:sz w:val="23"/>
                <w:szCs w:val="23"/>
                <w:color w:val="auto"/>
              </w:rPr>
            </w:pPr>
          </w:p>
        </w:tc>
        <w:tc>
          <w:tcPr>
            <w:tcW w:w="3440" w:type="dxa"/>
            <w:vAlign w:val="bottom"/>
            <w:tcBorders>
              <w:top w:val="single" w:sz="8" w:color="auto"/>
            </w:tcBorders>
            <w:gridSpan w:val="2"/>
          </w:tcPr>
          <w:p>
            <w:pPr>
              <w:jc w:val="right"/>
              <w:ind w:right="251"/>
              <w:spacing w:after="0"/>
              <w:rPr>
                <w:sz w:val="20"/>
                <w:szCs w:val="20"/>
                <w:color w:val="auto"/>
              </w:rPr>
            </w:pPr>
            <w:r>
              <w:rPr>
                <w:rFonts w:ascii="Arial" w:cs="Arial" w:eastAsia="Arial" w:hAnsi="Arial"/>
                <w:sz w:val="20"/>
                <w:szCs w:val="20"/>
                <w:b w:val="1"/>
                <w:bCs w:val="1"/>
                <w:color w:val="auto"/>
              </w:rPr>
              <w:t>September 30, 2013</w:t>
            </w:r>
          </w:p>
        </w:tc>
        <w:tc>
          <w:tcPr>
            <w:tcW w:w="340" w:type="dxa"/>
            <w:vAlign w:val="bottom"/>
            <w:tcBorders>
              <w:top w:val="single" w:sz="8" w:color="auto"/>
            </w:tcBorders>
          </w:tcPr>
          <w:p>
            <w:pPr>
              <w:spacing w:after="0"/>
              <w:rPr>
                <w:sz w:val="23"/>
                <w:szCs w:val="23"/>
                <w:color w:val="auto"/>
              </w:rPr>
            </w:pPr>
          </w:p>
        </w:tc>
        <w:tc>
          <w:tcPr>
            <w:tcW w:w="2860" w:type="dxa"/>
            <w:vAlign w:val="bottom"/>
            <w:tcBorders>
              <w:top w:val="single" w:sz="8" w:color="auto"/>
            </w:tcBorders>
            <w:gridSpan w:val="2"/>
          </w:tcPr>
          <w:p>
            <w:pPr>
              <w:jc w:val="right"/>
              <w:ind w:right="371"/>
              <w:spacing w:after="0"/>
              <w:rPr>
                <w:sz w:val="20"/>
                <w:szCs w:val="20"/>
                <w:color w:val="auto"/>
              </w:rPr>
            </w:pPr>
            <w:r>
              <w:rPr>
                <w:rFonts w:ascii="Arial" w:cs="Arial" w:eastAsia="Arial" w:hAnsi="Arial"/>
                <w:sz w:val="20"/>
                <w:szCs w:val="20"/>
                <w:color w:val="auto"/>
              </w:rPr>
              <w:t>December 31, 2012</w:t>
            </w:r>
          </w:p>
        </w:tc>
        <w:tc>
          <w:tcPr>
            <w:tcW w:w="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580" w:type="dxa"/>
            <w:vAlign w:val="bottom"/>
          </w:tcPr>
          <w:p>
            <w:pPr>
              <w:spacing w:after="0"/>
              <w:rPr>
                <w:sz w:val="24"/>
                <w:szCs w:val="24"/>
                <w:color w:val="auto"/>
              </w:rPr>
            </w:pPr>
          </w:p>
        </w:tc>
        <w:tc>
          <w:tcPr>
            <w:tcW w:w="2040" w:type="dxa"/>
            <w:vAlign w:val="bottom"/>
          </w:tcPr>
          <w:p>
            <w:pPr>
              <w:jc w:val="center"/>
              <w:ind w:left="490"/>
              <w:spacing w:after="0"/>
              <w:rPr>
                <w:sz w:val="20"/>
                <w:szCs w:val="20"/>
                <w:color w:val="auto"/>
              </w:rPr>
            </w:pPr>
            <w:r>
              <w:rPr>
                <w:rFonts w:ascii="Arial" w:cs="Arial" w:eastAsia="Arial" w:hAnsi="Arial"/>
                <w:sz w:val="14"/>
                <w:szCs w:val="14"/>
                <w:b w:val="1"/>
                <w:bCs w:val="1"/>
                <w:color w:val="auto"/>
              </w:rPr>
              <w:t>Quoted prices in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Significant other</w:t>
            </w:r>
          </w:p>
        </w:tc>
        <w:tc>
          <w:tcPr>
            <w:tcW w:w="340" w:type="dxa"/>
            <w:vAlign w:val="bottom"/>
          </w:tcPr>
          <w:p>
            <w:pPr>
              <w:spacing w:after="0"/>
              <w:rPr>
                <w:sz w:val="24"/>
                <w:szCs w:val="24"/>
                <w:color w:val="auto"/>
              </w:rPr>
            </w:pPr>
          </w:p>
        </w:tc>
        <w:tc>
          <w:tcPr>
            <w:tcW w:w="1480" w:type="dxa"/>
            <w:vAlign w:val="bottom"/>
          </w:tcPr>
          <w:p>
            <w:pPr>
              <w:jc w:val="center"/>
              <w:ind w:right="10"/>
              <w:spacing w:after="0"/>
              <w:rPr>
                <w:sz w:val="20"/>
                <w:szCs w:val="20"/>
                <w:color w:val="auto"/>
              </w:rPr>
            </w:pPr>
            <w:r>
              <w:rPr>
                <w:rFonts w:ascii="Arial" w:cs="Arial" w:eastAsia="Arial" w:hAnsi="Arial"/>
                <w:sz w:val="14"/>
                <w:szCs w:val="14"/>
                <w:color w:val="auto"/>
              </w:rPr>
              <w:t>Quoted prices in</w:t>
            </w:r>
          </w:p>
        </w:tc>
        <w:tc>
          <w:tcPr>
            <w:tcW w:w="1380" w:type="dxa"/>
            <w:vAlign w:val="bottom"/>
          </w:tcPr>
          <w:p>
            <w:pPr>
              <w:jc w:val="center"/>
              <w:spacing w:after="0"/>
              <w:rPr>
                <w:sz w:val="20"/>
                <w:szCs w:val="20"/>
                <w:color w:val="auto"/>
              </w:rPr>
            </w:pPr>
            <w:r>
              <w:rPr>
                <w:rFonts w:ascii="Arial" w:cs="Arial" w:eastAsia="Arial" w:hAnsi="Arial"/>
                <w:sz w:val="14"/>
                <w:szCs w:val="14"/>
                <w:color w:val="auto"/>
              </w:rPr>
              <w:t>Significant other</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2040" w:type="dxa"/>
            <w:vAlign w:val="bottom"/>
          </w:tcPr>
          <w:p>
            <w:pPr>
              <w:jc w:val="center"/>
              <w:ind w:left="470"/>
              <w:spacing w:after="0"/>
              <w:rPr>
                <w:sz w:val="20"/>
                <w:szCs w:val="20"/>
                <w:color w:val="auto"/>
              </w:rPr>
            </w:pPr>
            <w:r>
              <w:rPr>
                <w:rFonts w:ascii="Arial" w:cs="Arial" w:eastAsia="Arial" w:hAnsi="Arial"/>
                <w:sz w:val="14"/>
                <w:szCs w:val="14"/>
                <w:b w:val="1"/>
                <w:bCs w:val="1"/>
                <w:color w:val="auto"/>
              </w:rPr>
              <w:t>active markets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340" w:type="dxa"/>
            <w:vAlign w:val="bottom"/>
          </w:tcPr>
          <w:p>
            <w:pPr>
              <w:spacing w:after="0"/>
              <w:rPr>
                <w:sz w:val="16"/>
                <w:szCs w:val="16"/>
                <w:color w:val="auto"/>
              </w:rPr>
            </w:pPr>
          </w:p>
        </w:tc>
        <w:tc>
          <w:tcPr>
            <w:tcW w:w="1480" w:type="dxa"/>
            <w:vAlign w:val="bottom"/>
          </w:tcPr>
          <w:p>
            <w:pPr>
              <w:jc w:val="center"/>
              <w:ind w:right="10"/>
              <w:spacing w:after="0"/>
              <w:rPr>
                <w:sz w:val="20"/>
                <w:szCs w:val="20"/>
                <w:color w:val="auto"/>
              </w:rPr>
            </w:pPr>
            <w:r>
              <w:rPr>
                <w:rFonts w:ascii="Arial" w:cs="Arial" w:eastAsia="Arial" w:hAnsi="Arial"/>
                <w:sz w:val="14"/>
                <w:szCs w:val="14"/>
                <w:color w:val="auto"/>
              </w:rPr>
              <w:t>active markets</w:t>
            </w:r>
          </w:p>
        </w:tc>
        <w:tc>
          <w:tcPr>
            <w:tcW w:w="1380" w:type="dxa"/>
            <w:vAlign w:val="bottom"/>
          </w:tcPr>
          <w:p>
            <w:pPr>
              <w:jc w:val="center"/>
              <w:spacing w:after="0"/>
              <w:rPr>
                <w:sz w:val="20"/>
                <w:szCs w:val="20"/>
                <w:color w:val="auto"/>
              </w:rPr>
            </w:pPr>
            <w:r>
              <w:rPr>
                <w:rFonts w:ascii="Arial" w:cs="Arial" w:eastAsia="Arial" w:hAnsi="Arial"/>
                <w:sz w:val="14"/>
                <w:szCs w:val="14"/>
                <w:color w:val="auto"/>
              </w:rPr>
              <w:t>observable inputs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4580" w:type="dxa"/>
            <w:vAlign w:val="bottom"/>
          </w:tcPr>
          <w:p>
            <w:pPr>
              <w:spacing w:after="0"/>
              <w:rPr>
                <w:sz w:val="20"/>
                <w:szCs w:val="20"/>
                <w:color w:val="auto"/>
              </w:rPr>
            </w:pPr>
            <w:r>
              <w:rPr>
                <w:rFonts w:ascii="Arial" w:cs="Arial" w:eastAsia="Arial" w:hAnsi="Arial"/>
                <w:sz w:val="20"/>
                <w:szCs w:val="20"/>
                <w:b w:val="1"/>
                <w:bCs w:val="1"/>
                <w:color w:val="auto"/>
              </w:rPr>
              <w:t>(in thousands)</w:t>
            </w:r>
          </w:p>
        </w:tc>
        <w:tc>
          <w:tcPr>
            <w:tcW w:w="2040" w:type="dxa"/>
            <w:vAlign w:val="bottom"/>
          </w:tcPr>
          <w:p>
            <w:pPr>
              <w:jc w:val="center"/>
              <w:ind w:left="490"/>
              <w:spacing w:after="0"/>
              <w:rPr>
                <w:sz w:val="20"/>
                <w:szCs w:val="20"/>
                <w:color w:val="auto"/>
              </w:rPr>
            </w:pPr>
            <w:r>
              <w:rPr>
                <w:rFonts w:ascii="Arial" w:cs="Arial" w:eastAsia="Arial" w:hAnsi="Arial"/>
                <w:sz w:val="14"/>
                <w:szCs w:val="14"/>
                <w:b w:val="1"/>
                <w:bCs w:val="1"/>
                <w:color w:val="auto"/>
              </w:rPr>
              <w:t>(Level 1)</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4"/>
                <w:szCs w:val="24"/>
                <w:color w:val="auto"/>
              </w:rPr>
            </w:pPr>
          </w:p>
        </w:tc>
        <w:tc>
          <w:tcPr>
            <w:tcW w:w="1480" w:type="dxa"/>
            <w:vAlign w:val="bottom"/>
          </w:tcPr>
          <w:p>
            <w:pPr>
              <w:jc w:val="center"/>
              <w:ind w:right="30"/>
              <w:spacing w:after="0"/>
              <w:rPr>
                <w:sz w:val="20"/>
                <w:szCs w:val="20"/>
                <w:color w:val="auto"/>
              </w:rPr>
            </w:pPr>
            <w:r>
              <w:rPr>
                <w:rFonts w:ascii="Arial" w:cs="Arial" w:eastAsia="Arial" w:hAnsi="Arial"/>
                <w:sz w:val="14"/>
                <w:szCs w:val="14"/>
                <w:color w:val="auto"/>
              </w:rPr>
              <w:t>(Level 1)</w:t>
            </w:r>
          </w:p>
        </w:tc>
        <w:tc>
          <w:tcPr>
            <w:tcW w:w="1380" w:type="dxa"/>
            <w:vAlign w:val="bottom"/>
          </w:tcPr>
          <w:p>
            <w:pPr>
              <w:jc w:val="center"/>
              <w:spacing w:after="0"/>
              <w:rPr>
                <w:sz w:val="20"/>
                <w:szCs w:val="20"/>
                <w:color w:val="auto"/>
              </w:rPr>
            </w:pPr>
            <w:r>
              <w:rPr>
                <w:rFonts w:ascii="Arial" w:cs="Arial" w:eastAsia="Arial" w:hAnsi="Arial"/>
                <w:sz w:val="14"/>
                <w:szCs w:val="14"/>
                <w:color w:val="auto"/>
              </w:rPr>
              <w:t>(Level 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580" w:type="dxa"/>
            <w:vAlign w:val="bottom"/>
          </w:tcPr>
          <w:p>
            <w:pPr>
              <w:ind w:left="20"/>
              <w:spacing w:after="0"/>
              <w:rPr>
                <w:sz w:val="20"/>
                <w:szCs w:val="20"/>
                <w:color w:val="auto"/>
              </w:rPr>
            </w:pPr>
            <w:r>
              <w:rPr>
                <w:rFonts w:ascii="Arial" w:cs="Arial" w:eastAsia="Arial" w:hAnsi="Arial"/>
                <w:sz w:val="20"/>
                <w:szCs w:val="20"/>
                <w:b w:val="1"/>
                <w:bCs w:val="1"/>
                <w:color w:val="auto"/>
              </w:rPr>
              <w:t>Fair Value</w:t>
            </w:r>
          </w:p>
        </w:tc>
        <w:tc>
          <w:tcPr>
            <w:tcW w:w="20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4580" w:type="dxa"/>
            <w:vAlign w:val="bottom"/>
          </w:tcPr>
          <w:p>
            <w:pPr>
              <w:ind w:left="20"/>
              <w:spacing w:after="0"/>
              <w:rPr>
                <w:sz w:val="20"/>
                <w:szCs w:val="20"/>
                <w:color w:val="auto"/>
              </w:rPr>
            </w:pPr>
            <w:r>
              <w:rPr>
                <w:rFonts w:ascii="Arial" w:cs="Arial" w:eastAsia="Arial" w:hAnsi="Arial"/>
                <w:sz w:val="20"/>
                <w:szCs w:val="20"/>
                <w:i w:val="1"/>
                <w:iCs w:val="1"/>
                <w:color w:val="auto"/>
              </w:rPr>
              <w:t>Assets:</w:t>
            </w:r>
          </w:p>
        </w:tc>
        <w:tc>
          <w:tcPr>
            <w:tcW w:w="2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80" w:type="dxa"/>
            <w:vAlign w:val="bottom"/>
          </w:tcPr>
          <w:p>
            <w:pPr>
              <w:ind w:left="140"/>
              <w:spacing w:after="0"/>
              <w:rPr>
                <w:sz w:val="20"/>
                <w:szCs w:val="20"/>
                <w:color w:val="auto"/>
              </w:rPr>
            </w:pPr>
            <w:r>
              <w:rPr>
                <w:rFonts w:ascii="Arial" w:cs="Arial" w:eastAsia="Arial" w:hAnsi="Arial"/>
                <w:sz w:val="20"/>
                <w:szCs w:val="20"/>
                <w:color w:val="auto"/>
              </w:rPr>
              <w:t>Cash equivalents</w:t>
            </w:r>
          </w:p>
        </w:tc>
        <w:tc>
          <w:tcPr>
            <w:tcW w:w="2040" w:type="dxa"/>
            <w:vAlign w:val="bottom"/>
          </w:tcPr>
          <w:p>
            <w:pPr>
              <w:jc w:val="right"/>
              <w:ind w:right="10"/>
              <w:spacing w:after="0"/>
              <w:rPr>
                <w:sz w:val="20"/>
                <w:szCs w:val="20"/>
                <w:color w:val="auto"/>
              </w:rPr>
            </w:pPr>
            <w:r>
              <w:rPr>
                <w:rFonts w:ascii="Arial" w:cs="Arial" w:eastAsia="Arial" w:hAnsi="Arial"/>
                <w:sz w:val="20"/>
                <w:szCs w:val="20"/>
                <w:color w:val="auto"/>
              </w:rPr>
              <w:t>$35,825</w:t>
            </w:r>
          </w:p>
        </w:tc>
        <w:tc>
          <w:tcPr>
            <w:tcW w:w="1400" w:type="dxa"/>
            <w:vAlign w:val="bottom"/>
          </w:tcPr>
          <w:p>
            <w:pPr>
              <w:jc w:val="right"/>
              <w:spacing w:after="0"/>
              <w:rPr>
                <w:sz w:val="20"/>
                <w:szCs w:val="20"/>
                <w:color w:val="auto"/>
              </w:rPr>
            </w:pPr>
            <w:r>
              <w:rPr>
                <w:rFonts w:ascii="Arial" w:cs="Arial" w:eastAsia="Arial" w:hAnsi="Arial"/>
                <w:sz w:val="20"/>
                <w:szCs w:val="20"/>
                <w:color w:val="auto"/>
              </w:rPr>
              <w:t>$ -</w:t>
            </w:r>
          </w:p>
        </w:tc>
        <w:tc>
          <w:tcPr>
            <w:tcW w:w="34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20"/>
                <w:szCs w:val="20"/>
                <w:color w:val="auto"/>
              </w:rPr>
              <w:t>$33,171</w:t>
            </w:r>
          </w:p>
        </w:tc>
        <w:tc>
          <w:tcPr>
            <w:tcW w:w="1380" w:type="dxa"/>
            <w:vAlign w:val="bottom"/>
          </w:tcPr>
          <w:p>
            <w:pPr>
              <w:jc w:val="right"/>
              <w:spacing w:after="0"/>
              <w:rPr>
                <w:sz w:val="20"/>
                <w:szCs w:val="20"/>
                <w:color w:val="auto"/>
              </w:rPr>
            </w:pPr>
            <w:r>
              <w:rPr>
                <w:rFonts w:ascii="Arial" w:cs="Arial" w:eastAsia="Arial" w:hAnsi="Arial"/>
                <w:sz w:val="20"/>
                <w:szCs w:val="20"/>
                <w:color w:val="auto"/>
              </w:rPr>
              <w:t>$ -</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80" w:type="dxa"/>
            <w:vAlign w:val="bottom"/>
          </w:tcPr>
          <w:p>
            <w:pPr>
              <w:ind w:left="20"/>
              <w:spacing w:after="0"/>
              <w:rPr>
                <w:sz w:val="20"/>
                <w:szCs w:val="20"/>
                <w:color w:val="auto"/>
              </w:rPr>
            </w:pPr>
            <w:r>
              <w:rPr>
                <w:rFonts w:ascii="Arial" w:cs="Arial" w:eastAsia="Arial" w:hAnsi="Arial"/>
                <w:sz w:val="20"/>
                <w:szCs w:val="20"/>
                <w:i w:val="1"/>
                <w:iCs w:val="1"/>
                <w:color w:val="auto"/>
              </w:rPr>
              <w:t>Prepaid expenses and other current assets:</w:t>
            </w:r>
          </w:p>
        </w:tc>
        <w:tc>
          <w:tcPr>
            <w:tcW w:w="2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80" w:type="dxa"/>
            <w:vAlign w:val="bottom"/>
            <w:vMerge w:val="restart"/>
          </w:tcPr>
          <w:p>
            <w:pPr>
              <w:ind w:left="160"/>
              <w:spacing w:after="0"/>
              <w:rPr>
                <w:sz w:val="20"/>
                <w:szCs w:val="20"/>
                <w:color w:val="auto"/>
              </w:rPr>
            </w:pPr>
            <w:r>
              <w:rPr>
                <w:rFonts w:ascii="Arial" w:cs="Arial" w:eastAsia="Arial" w:hAnsi="Arial"/>
                <w:sz w:val="22"/>
                <w:szCs w:val="22"/>
                <w:color w:val="auto"/>
              </w:rPr>
              <w:t>Foreign currency instruments</w:t>
            </w:r>
          </w:p>
        </w:tc>
        <w:tc>
          <w:tcPr>
            <w:tcW w:w="2040" w:type="dxa"/>
            <w:vAlign w:val="bottom"/>
          </w:tcPr>
          <w:p>
            <w:pPr>
              <w:jc w:val="right"/>
              <w:ind w:right="10"/>
              <w:spacing w:after="0"/>
              <w:rPr>
                <w:sz w:val="20"/>
                <w:szCs w:val="20"/>
                <w:color w:val="auto"/>
              </w:rPr>
            </w:pPr>
            <w:r>
              <w:rPr>
                <w:rFonts w:ascii="Arial" w:cs="Arial" w:eastAsia="Arial" w:hAnsi="Arial"/>
                <w:sz w:val="20"/>
                <w:szCs w:val="20"/>
                <w:i w:val="1"/>
                <w:iCs w:val="1"/>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216</w:t>
            </w:r>
          </w:p>
        </w:tc>
        <w:tc>
          <w:tcPr>
            <w:tcW w:w="34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20"/>
                <w:szCs w:val="20"/>
                <w:i w:val="1"/>
                <w:iCs w:val="1"/>
                <w:color w:val="auto"/>
              </w:rPr>
              <w:t>-</w:t>
            </w:r>
          </w:p>
        </w:tc>
        <w:tc>
          <w:tcPr>
            <w:tcW w:w="1380" w:type="dxa"/>
            <w:vAlign w:val="bottom"/>
          </w:tcPr>
          <w:p>
            <w:pPr>
              <w:jc w:val="right"/>
              <w:spacing w:after="0"/>
              <w:rPr>
                <w:sz w:val="20"/>
                <w:szCs w:val="20"/>
                <w:color w:val="auto"/>
              </w:rPr>
            </w:pPr>
            <w:r>
              <w:rPr>
                <w:rFonts w:ascii="Arial" w:cs="Arial" w:eastAsia="Arial" w:hAnsi="Arial"/>
                <w:sz w:val="20"/>
                <w:szCs w:val="20"/>
                <w:i w:val="1"/>
                <w:iCs w:val="1"/>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8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4580" w:type="dxa"/>
            <w:vAlign w:val="bottom"/>
          </w:tcPr>
          <w:p>
            <w:pPr>
              <w:spacing w:after="0"/>
              <w:rPr>
                <w:sz w:val="20"/>
                <w:szCs w:val="20"/>
                <w:color w:val="auto"/>
              </w:rPr>
            </w:pPr>
            <w:r>
              <w:rPr>
                <w:rFonts w:ascii="Arial" w:cs="Arial" w:eastAsia="Arial" w:hAnsi="Arial"/>
                <w:sz w:val="20"/>
                <w:szCs w:val="20"/>
                <w:i w:val="1"/>
                <w:iCs w:val="1"/>
                <w:color w:val="auto"/>
              </w:rPr>
              <w:t>Other assets:</w:t>
            </w:r>
          </w:p>
        </w:tc>
        <w:tc>
          <w:tcPr>
            <w:tcW w:w="2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80" w:type="dxa"/>
            <w:vAlign w:val="bottom"/>
          </w:tcPr>
          <w:p>
            <w:pPr>
              <w:ind w:left="140"/>
              <w:spacing w:after="0"/>
              <w:rPr>
                <w:sz w:val="20"/>
                <w:szCs w:val="20"/>
                <w:color w:val="auto"/>
              </w:rPr>
            </w:pPr>
            <w:r>
              <w:rPr>
                <w:rFonts w:ascii="Arial" w:cs="Arial" w:eastAsia="Arial" w:hAnsi="Arial"/>
                <w:sz w:val="20"/>
                <w:szCs w:val="20"/>
                <w:color w:val="auto"/>
              </w:rPr>
              <w:t>Common stock of foreign public company</w:t>
            </w:r>
          </w:p>
        </w:tc>
        <w:tc>
          <w:tcPr>
            <w:tcW w:w="2040" w:type="dxa"/>
            <w:vAlign w:val="bottom"/>
          </w:tcPr>
          <w:p>
            <w:pPr>
              <w:jc w:val="right"/>
              <w:ind w:right="10"/>
              <w:spacing w:after="0"/>
              <w:rPr>
                <w:sz w:val="20"/>
                <w:szCs w:val="20"/>
                <w:color w:val="auto"/>
              </w:rPr>
            </w:pPr>
            <w:r>
              <w:rPr>
                <w:rFonts w:ascii="Arial" w:cs="Arial" w:eastAsia="Arial" w:hAnsi="Arial"/>
                <w:sz w:val="20"/>
                <w:szCs w:val="20"/>
                <w:color w:val="auto"/>
              </w:rPr>
              <w:t>848</w:t>
            </w: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20"/>
                <w:szCs w:val="20"/>
                <w:color w:val="auto"/>
              </w:rPr>
              <w:t>562</w:t>
            </w: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80" w:type="dxa"/>
            <w:vAlign w:val="bottom"/>
          </w:tcPr>
          <w:p>
            <w:pPr>
              <w:ind w:left="140"/>
              <w:spacing w:after="0"/>
              <w:rPr>
                <w:sz w:val="20"/>
                <w:szCs w:val="20"/>
                <w:color w:val="auto"/>
              </w:rPr>
            </w:pPr>
            <w:r>
              <w:rPr>
                <w:rFonts w:ascii="Arial" w:cs="Arial" w:eastAsia="Arial" w:hAnsi="Arial"/>
                <w:sz w:val="20"/>
                <w:szCs w:val="20"/>
                <w:color w:val="auto"/>
              </w:rPr>
              <w:t>Interest rate swap</w:t>
            </w:r>
          </w:p>
        </w:tc>
        <w:tc>
          <w:tcPr>
            <w:tcW w:w="2040" w:type="dxa"/>
            <w:vAlign w:val="bottom"/>
          </w:tcPr>
          <w:p>
            <w:pPr>
              <w:jc w:val="right"/>
              <w:ind w:right="10"/>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1,244</w:t>
            </w:r>
          </w:p>
        </w:tc>
        <w:tc>
          <w:tcPr>
            <w:tcW w:w="340" w:type="dxa"/>
            <w:vAlign w:val="bottom"/>
          </w:tcPr>
          <w:p>
            <w:pPr>
              <w:ind w:left="20"/>
              <w:spacing w:after="0"/>
              <w:rPr>
                <w:sz w:val="20"/>
                <w:szCs w:val="20"/>
                <w:color w:val="auto"/>
              </w:rPr>
            </w:pPr>
            <w:r>
              <w:rPr>
                <w:rFonts w:ascii="Arial" w:cs="Arial" w:eastAsia="Arial" w:hAnsi="Arial"/>
                <w:sz w:val="14"/>
                <w:szCs w:val="14"/>
                <w:color w:val="auto"/>
              </w:rPr>
              <w:t>(a)</w:t>
            </w:r>
          </w:p>
        </w:tc>
        <w:tc>
          <w:tcPr>
            <w:tcW w:w="1480" w:type="dxa"/>
            <w:vAlign w:val="bottom"/>
          </w:tcPr>
          <w:p>
            <w:pPr>
              <w:jc w:val="right"/>
              <w:ind w:right="1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80" w:type="dxa"/>
            <w:vAlign w:val="bottom"/>
          </w:tcPr>
          <w:p>
            <w:pPr>
              <w:ind w:left="20"/>
              <w:spacing w:after="0"/>
              <w:rPr>
                <w:sz w:val="20"/>
                <w:szCs w:val="20"/>
                <w:color w:val="auto"/>
              </w:rPr>
            </w:pPr>
            <w:r>
              <w:rPr>
                <w:rFonts w:ascii="Arial" w:cs="Arial" w:eastAsia="Arial" w:hAnsi="Arial"/>
                <w:sz w:val="20"/>
                <w:szCs w:val="20"/>
                <w:i w:val="1"/>
                <w:iCs w:val="1"/>
                <w:color w:val="auto"/>
              </w:rPr>
              <w:t>Liabilities:</w:t>
            </w:r>
          </w:p>
        </w:tc>
        <w:tc>
          <w:tcPr>
            <w:tcW w:w="2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80" w:type="dxa"/>
            <w:vAlign w:val="bottom"/>
          </w:tcPr>
          <w:p>
            <w:pPr>
              <w:ind w:left="20"/>
              <w:spacing w:after="0"/>
              <w:rPr>
                <w:sz w:val="20"/>
                <w:szCs w:val="20"/>
                <w:color w:val="auto"/>
              </w:rPr>
            </w:pPr>
            <w:r>
              <w:rPr>
                <w:rFonts w:ascii="Arial" w:cs="Arial" w:eastAsia="Arial" w:hAnsi="Arial"/>
                <w:sz w:val="20"/>
                <w:szCs w:val="20"/>
                <w:i w:val="1"/>
                <w:iCs w:val="1"/>
                <w:color w:val="auto"/>
              </w:rPr>
              <w:t>Other noncurrent liabilities:</w:t>
            </w:r>
          </w:p>
        </w:tc>
        <w:tc>
          <w:tcPr>
            <w:tcW w:w="2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80" w:type="dxa"/>
            <w:vAlign w:val="bottom"/>
          </w:tcPr>
          <w:p>
            <w:pPr>
              <w:ind w:left="80"/>
              <w:spacing w:after="0"/>
              <w:rPr>
                <w:sz w:val="20"/>
                <w:szCs w:val="20"/>
                <w:color w:val="auto"/>
              </w:rPr>
            </w:pPr>
            <w:r>
              <w:rPr>
                <w:rFonts w:ascii="Arial" w:cs="Arial" w:eastAsia="Arial" w:hAnsi="Arial"/>
                <w:sz w:val="20"/>
                <w:szCs w:val="20"/>
                <w:color w:val="auto"/>
              </w:rPr>
              <w:t>Interest rate swap</w:t>
            </w:r>
          </w:p>
        </w:tc>
        <w:tc>
          <w:tcPr>
            <w:tcW w:w="2040" w:type="dxa"/>
            <w:vAlign w:val="bottom"/>
          </w:tcPr>
          <w:p>
            <w:pPr>
              <w:jc w:val="right"/>
              <w:ind w:right="10"/>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(3,489)</w:t>
            </w:r>
          </w:p>
        </w:tc>
        <w:tc>
          <w:tcPr>
            <w:tcW w:w="340" w:type="dxa"/>
            <w:vAlign w:val="bottom"/>
          </w:tcPr>
          <w:p>
            <w:pPr>
              <w:ind w:left="20"/>
              <w:spacing w:after="0"/>
              <w:rPr>
                <w:sz w:val="20"/>
                <w:szCs w:val="20"/>
                <w:color w:val="auto"/>
              </w:rPr>
            </w:pPr>
            <w:r>
              <w:rPr>
                <w:rFonts w:ascii="Arial" w:cs="Arial" w:eastAsia="Arial" w:hAnsi="Arial"/>
                <w:sz w:val="14"/>
                <w:szCs w:val="14"/>
                <w:color w:val="auto"/>
              </w:rPr>
              <w:t>(b)</w:t>
            </w:r>
          </w:p>
        </w:tc>
        <w:tc>
          <w:tcPr>
            <w:tcW w:w="1480" w:type="dxa"/>
            <w:vAlign w:val="bottom"/>
          </w:tcPr>
          <w:p>
            <w:pPr>
              <w:jc w:val="right"/>
              <w:ind w:right="1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(4,718)</w:t>
            </w:r>
          </w:p>
        </w:tc>
        <w:tc>
          <w:tcPr>
            <w:tcW w:w="200" w:type="dxa"/>
            <w:vAlign w:val="bottom"/>
          </w:tcPr>
          <w:p>
            <w:pP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40" w:hanging="422"/>
        <w:spacing w:after="0"/>
        <w:tabs>
          <w:tab w:leader="none" w:pos="1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$5.3 million receivable floating leg and $4.1 million liability fixed leg</w:t>
      </w:r>
    </w:p>
    <w:p>
      <w:pPr>
        <w:spacing w:after="0" w:line="1" w:lineRule="exact"/>
        <w:rPr>
          <w:rFonts w:ascii="Arial" w:cs="Arial" w:eastAsia="Arial" w:hAnsi="Arial"/>
          <w:sz w:val="14"/>
          <w:szCs w:val="14"/>
          <w:color w:val="auto"/>
        </w:rPr>
      </w:pPr>
    </w:p>
    <w:p>
      <w:pPr>
        <w:ind w:left="1240" w:hanging="422"/>
        <w:spacing w:after="0"/>
        <w:tabs>
          <w:tab w:leader="none" w:pos="1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$0.8 million receivable floating leg and $4.3 million liability fixed leg</w:t>
      </w:r>
    </w:p>
    <w:p>
      <w:pPr>
        <w:spacing w:after="0" w:line="1" w:lineRule="exact"/>
        <w:rPr>
          <w:rFonts w:ascii="Arial" w:cs="Arial" w:eastAsia="Arial" w:hAnsi="Arial"/>
          <w:sz w:val="14"/>
          <w:szCs w:val="14"/>
          <w:color w:val="auto"/>
        </w:rPr>
      </w:pPr>
    </w:p>
    <w:p>
      <w:pPr>
        <w:ind w:left="1240" w:hanging="422"/>
        <w:spacing w:after="0"/>
        <w:tabs>
          <w:tab w:leader="none" w:pos="1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$1.2 million receivable floating leg and $5.9 million liability fixed leg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During the nine-months ended September 30, 2013, there were no transfers between levels 1, 2, and 3.</w:t>
      </w:r>
    </w:p>
    <w:p>
      <w:pPr>
        <w:spacing w:after="0" w:line="198"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56" w:lineRule="exact"/>
        <w:rPr>
          <w:sz w:val="20"/>
          <w:szCs w:val="20"/>
          <w:color w:val="auto"/>
        </w:rPr>
      </w:pPr>
    </w:p>
    <w:p>
      <w:pPr>
        <w:ind w:right="120" w:firstLine="695"/>
        <w:spacing w:after="0" w:line="238" w:lineRule="auto"/>
        <w:rPr>
          <w:sz w:val="20"/>
          <w:szCs w:val="20"/>
          <w:color w:val="auto"/>
        </w:rPr>
      </w:pPr>
      <w:r>
        <w:rPr>
          <w:rFonts w:ascii="Arial" w:cs="Arial" w:eastAsia="Arial" w:hAnsi="Arial"/>
          <w:sz w:val="18"/>
          <w:szCs w:val="18"/>
          <w:color w:val="auto"/>
        </w:rPr>
        <w:t>The common stock of a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176" w:lineRule="exact"/>
        <w:rPr>
          <w:sz w:val="20"/>
          <w:szCs w:val="20"/>
          <w:color w:val="auto"/>
        </w:rPr>
      </w:pPr>
    </w:p>
    <w:p>
      <w:pPr>
        <w:ind w:right="140" w:firstLine="698"/>
        <w:spacing w:after="0" w:line="239"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w:t>
      </w:r>
    </w:p>
    <w:p>
      <w:pPr>
        <w:spacing w:after="0" w:line="16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185"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 net. Revaluation gains and losses occur when our business units have intercompany (recorded in Other income/expense) or third-party trade receivable or payable balances (recorded in Selling, General and Administrative expenses) in a currency other than their local reporting (or functional) currency.</w:t>
      </w:r>
    </w:p>
    <w:p>
      <w:pPr>
        <w:spacing w:after="0" w:line="161"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61"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 Other noncurrent liabilities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ind w:right="20"/>
        <w:spacing w:after="0" w:line="237" w:lineRule="auto"/>
        <w:rPr>
          <w:sz w:val="20"/>
          <w:szCs w:val="20"/>
          <w:color w:val="auto"/>
        </w:rPr>
      </w:pPr>
      <w:r>
        <w:rPr>
          <w:rFonts w:ascii="Arial" w:cs="Arial" w:eastAsia="Arial" w:hAnsi="Arial"/>
          <w:sz w:val="18"/>
          <w:szCs w:val="18"/>
          <w:color w:val="auto"/>
        </w:rPr>
        <w:t>the Consolidated Balance Sheet. Unrealized gains and losses on the swaps will flow through the caption Derivative valuation adjustment in the Shareholders’ equity section of the Consolidated Balance Sheets, to the extent that the hedges are highly effective. As of September 30, 2013, these interest rate swaps were determined to be 100% effective hedges of interest rate cash flow risk. Gains and losses related to any ineffective portion of the hedges will be recognized in the current period in earnings. Amounts accumulated in Other comprehensive income are reclassified as Interest expense, net when the related interest payments (that is, the hedged forecasted transactions) affect earnings. Interest expense related to the swaps totaled $1.4 million and $1.2 million for the nine months ended September 30, 2013 and 2012, respectively.</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Gains/ (losses) related to changes in fair value of derivative instruments that were recognized in Other expense/(income), net in the</w:t>
      </w:r>
    </w:p>
    <w:p>
      <w:pPr>
        <w:spacing w:after="0"/>
        <w:rPr>
          <w:sz w:val="20"/>
          <w:szCs w:val="20"/>
          <w:color w:val="auto"/>
        </w:rPr>
      </w:pPr>
      <w:r>
        <w:rPr>
          <w:rFonts w:ascii="Arial" w:cs="Arial" w:eastAsia="Arial" w:hAnsi="Arial"/>
          <w:sz w:val="18"/>
          <w:szCs w:val="18"/>
          <w:color w:val="auto"/>
        </w:rPr>
        <w:t>Statement of Income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Three months ended</w:t>
            </w:r>
          </w:p>
        </w:tc>
        <w:tc>
          <w:tcPr>
            <w:tcW w:w="2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Nine months ended</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15"/>
                <w:szCs w:val="15"/>
                <w:color w:val="auto"/>
              </w:rPr>
            </w:pPr>
          </w:p>
        </w:tc>
        <w:tc>
          <w:tcPr>
            <w:tcW w:w="3480" w:type="dxa"/>
            <w:vAlign w:val="bottom"/>
            <w:gridSpan w:val="2"/>
          </w:tcPr>
          <w:p>
            <w:pPr>
              <w:jc w:val="right"/>
              <w:ind w:right="610"/>
              <w:spacing w:after="0" w:line="181" w:lineRule="exact"/>
              <w:rPr>
                <w:sz w:val="20"/>
                <w:szCs w:val="20"/>
                <w:color w:val="auto"/>
              </w:rPr>
            </w:pPr>
            <w:r>
              <w:rPr>
                <w:rFonts w:ascii="Arial" w:cs="Arial" w:eastAsia="Arial" w:hAnsi="Arial"/>
                <w:sz w:val="18"/>
                <w:szCs w:val="18"/>
                <w:color w:val="auto"/>
              </w:rPr>
              <w:t>September 30,</w:t>
            </w:r>
          </w:p>
        </w:tc>
        <w:tc>
          <w:tcPr>
            <w:tcW w:w="2520" w:type="dxa"/>
            <w:vAlign w:val="bottom"/>
            <w:gridSpan w:val="2"/>
          </w:tcPr>
          <w:p>
            <w:pPr>
              <w:jc w:val="center"/>
              <w:spacing w:after="0" w:line="181" w:lineRule="exact"/>
              <w:rPr>
                <w:sz w:val="20"/>
                <w:szCs w:val="20"/>
                <w:color w:val="auto"/>
              </w:rPr>
            </w:pPr>
            <w:r>
              <w:rPr>
                <w:rFonts w:ascii="Arial" w:cs="Arial" w:eastAsia="Arial" w:hAnsi="Arial"/>
                <w:sz w:val="18"/>
                <w:szCs w:val="18"/>
                <w:color w:val="auto"/>
                <w:w w:val="99"/>
              </w:rPr>
              <w:t>September 30,</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2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79"/>
        </w:trPr>
        <w:tc>
          <w:tcPr>
            <w:tcW w:w="5420" w:type="dxa"/>
            <w:vAlign w:val="bottom"/>
          </w:tcPr>
          <w:p>
            <w:pPr>
              <w:ind w:left="100"/>
              <w:spacing w:after="0"/>
              <w:rPr>
                <w:sz w:val="20"/>
                <w:szCs w:val="20"/>
                <w:color w:val="auto"/>
              </w:rPr>
            </w:pPr>
            <w:r>
              <w:rPr>
                <w:rFonts w:ascii="Arial" w:cs="Arial" w:eastAsia="Arial" w:hAnsi="Arial"/>
                <w:sz w:val="18"/>
                <w:szCs w:val="18"/>
                <w:color w:val="auto"/>
              </w:rPr>
              <w:t>Derivatives not designated as hedging instruments</w:t>
            </w:r>
          </w:p>
        </w:tc>
        <w:tc>
          <w:tcPr>
            <w:tcW w:w="21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108</w:t>
            </w:r>
          </w:p>
        </w:tc>
        <w:tc>
          <w:tcPr>
            <w:tcW w:w="1320" w:type="dxa"/>
            <w:vAlign w:val="bottom"/>
          </w:tcPr>
          <w:p>
            <w:pPr>
              <w:spacing w:after="0"/>
              <w:rPr>
                <w:sz w:val="24"/>
                <w:szCs w:val="24"/>
                <w:color w:val="auto"/>
              </w:rPr>
            </w:pPr>
          </w:p>
        </w:tc>
        <w:tc>
          <w:tcPr>
            <w:tcW w:w="12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108</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2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Forward exchange options</w:t>
            </w:r>
          </w:p>
        </w:tc>
        <w:tc>
          <w:tcPr>
            <w:tcW w:w="21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(71)</w:t>
            </w:r>
          </w:p>
        </w:tc>
        <w:tc>
          <w:tcPr>
            <w:tcW w:w="12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207"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4,299 claims as of October 11, 2013.</w:t>
      </w:r>
    </w:p>
    <w:p>
      <w:pPr>
        <w:spacing w:after="0" w:line="171"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166"/>
        </w:trPr>
        <w:tc>
          <w:tcPr>
            <w:tcW w:w="1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Year ended December 31,</w:t>
            </w:r>
          </w:p>
        </w:tc>
        <w:tc>
          <w:tcPr>
            <w:tcW w:w="1820" w:type="dxa"/>
            <w:vAlign w:val="bottom"/>
            <w:tcBorders>
              <w:top w:val="single" w:sz="8" w:color="auto"/>
              <w:right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Opening Number of</w:t>
            </w:r>
          </w:p>
        </w:tc>
        <w:tc>
          <w:tcPr>
            <w:tcW w:w="2060" w:type="dxa"/>
            <w:vAlign w:val="bottom"/>
            <w:tcBorders>
              <w:top w:val="single" w:sz="8" w:color="auto"/>
              <w:right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Claims Dismissed, Settled, or</w:t>
            </w:r>
          </w:p>
        </w:tc>
        <w:tc>
          <w:tcPr>
            <w:tcW w:w="158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right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Closing Number of</w:t>
            </w:r>
          </w:p>
        </w:tc>
        <w:tc>
          <w:tcPr>
            <w:tcW w:w="25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i w:val="1"/>
                <w:iCs w:val="1"/>
                <w:color w:val="auto"/>
              </w:rPr>
              <w:t>Amounts Paid (thousands) to Settle or</w:t>
            </w:r>
          </w:p>
        </w:tc>
      </w:tr>
      <w:tr>
        <w:trPr>
          <w:trHeight w:val="186"/>
        </w:trPr>
        <w:tc>
          <w:tcPr>
            <w:tcW w:w="184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Claims</w:t>
            </w:r>
          </w:p>
        </w:tc>
        <w:tc>
          <w:tcPr>
            <w:tcW w:w="2060" w:type="dxa"/>
            <w:vAlign w:val="bottom"/>
            <w:tcBorders>
              <w:right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Resolved</w:t>
            </w:r>
          </w:p>
        </w:tc>
        <w:tc>
          <w:tcPr>
            <w:tcW w:w="15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Claims</w:t>
            </w:r>
          </w:p>
        </w:tc>
        <w:tc>
          <w:tcPr>
            <w:tcW w:w="2520" w:type="dxa"/>
            <w:vAlign w:val="bottom"/>
            <w:tcBorders>
              <w:right w:val="single" w:sz="8" w:color="auto"/>
            </w:tcBorders>
          </w:tcPr>
          <w:p>
            <w:pPr>
              <w:jc w:val="right"/>
              <w:spacing w:after="0"/>
              <w:rPr>
                <w:sz w:val="20"/>
                <w:szCs w:val="20"/>
                <w:color w:val="auto"/>
              </w:rPr>
            </w:pPr>
            <w:r>
              <w:rPr>
                <w:rFonts w:ascii="Arial" w:cs="Arial" w:eastAsia="Arial" w:hAnsi="Arial"/>
                <w:sz w:val="14"/>
                <w:szCs w:val="14"/>
                <w:i w:val="1"/>
                <w:iCs w:val="1"/>
                <w:color w:val="auto"/>
              </w:rPr>
              <w:t>Resolve</w:t>
            </w: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4"/>
                <w:szCs w:val="14"/>
                <w:i w:val="1"/>
                <w:iCs w:val="1"/>
                <w:color w:val="auto"/>
              </w:rPr>
              <w:t>New Claims</w:t>
            </w:r>
          </w:p>
        </w:tc>
        <w:tc>
          <w:tcPr>
            <w:tcW w:w="1480" w:type="dxa"/>
            <w:vAlign w:val="bottom"/>
            <w:tcBorders>
              <w:right w:val="single" w:sz="8" w:color="auto"/>
            </w:tcBorders>
          </w:tcPr>
          <w:p>
            <w:pPr>
              <w:spacing w:after="0"/>
              <w:rPr>
                <w:sz w:val="16"/>
                <w:szCs w:val="16"/>
                <w:color w:val="auto"/>
              </w:rPr>
            </w:pPr>
          </w:p>
        </w:tc>
        <w:tc>
          <w:tcPr>
            <w:tcW w:w="2520" w:type="dxa"/>
            <w:vAlign w:val="bottom"/>
            <w:tcBorders>
              <w:right w:val="single" w:sz="8" w:color="auto"/>
            </w:tcBorders>
          </w:tcPr>
          <w:p>
            <w:pPr>
              <w:spacing w:after="0"/>
              <w:rPr>
                <w:sz w:val="16"/>
                <w:szCs w:val="16"/>
                <w:color w:val="auto"/>
              </w:rPr>
            </w:pPr>
          </w:p>
        </w:tc>
      </w:tr>
      <w:tr>
        <w:trPr>
          <w:trHeight w:val="323"/>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r>
      <w:tr>
        <w:trPr>
          <w:trHeight w:val="275"/>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2005</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29,411</w:t>
            </w:r>
          </w:p>
        </w:tc>
        <w:tc>
          <w:tcPr>
            <w:tcW w:w="206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6,257</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22"/>
                <w:szCs w:val="22"/>
                <w:i w:val="1"/>
                <w:iCs w:val="1"/>
                <w:color w:val="auto"/>
              </w:rPr>
              <w:t>1,297</w:t>
            </w:r>
          </w:p>
        </w:tc>
        <w:tc>
          <w:tcPr>
            <w:tcW w:w="148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24,451</w:t>
            </w:r>
          </w:p>
        </w:tc>
        <w:tc>
          <w:tcPr>
            <w:tcW w:w="25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$ 504</w:t>
            </w:r>
          </w:p>
        </w:tc>
      </w:tr>
      <w:tr>
        <w:trPr>
          <w:trHeight w:val="137"/>
        </w:trPr>
        <w:tc>
          <w:tcPr>
            <w:tcW w:w="184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r>
      <w:tr>
        <w:trPr>
          <w:trHeight w:val="275"/>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2006</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24,451</w:t>
            </w:r>
          </w:p>
        </w:tc>
        <w:tc>
          <w:tcPr>
            <w:tcW w:w="206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6,841</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22"/>
                <w:szCs w:val="22"/>
                <w:i w:val="1"/>
                <w:iCs w:val="1"/>
                <w:color w:val="auto"/>
              </w:rPr>
              <w:t>1,806</w:t>
            </w:r>
          </w:p>
        </w:tc>
        <w:tc>
          <w:tcPr>
            <w:tcW w:w="148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19,416</w:t>
            </w:r>
          </w:p>
        </w:tc>
        <w:tc>
          <w:tcPr>
            <w:tcW w:w="25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3,879</w:t>
            </w:r>
          </w:p>
        </w:tc>
      </w:tr>
      <w:tr>
        <w:trPr>
          <w:trHeight w:val="137"/>
        </w:trPr>
        <w:tc>
          <w:tcPr>
            <w:tcW w:w="184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r>
      <w:tr>
        <w:trPr>
          <w:trHeight w:val="275"/>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2007</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19,416</w:t>
            </w:r>
          </w:p>
        </w:tc>
        <w:tc>
          <w:tcPr>
            <w:tcW w:w="206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808</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22"/>
                <w:szCs w:val="22"/>
                <w:i w:val="1"/>
                <w:iCs w:val="1"/>
                <w:color w:val="auto"/>
              </w:rPr>
              <w:t>190</w:t>
            </w:r>
          </w:p>
        </w:tc>
        <w:tc>
          <w:tcPr>
            <w:tcW w:w="148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18,798</w:t>
            </w:r>
          </w:p>
        </w:tc>
        <w:tc>
          <w:tcPr>
            <w:tcW w:w="25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15</w:t>
            </w:r>
          </w:p>
        </w:tc>
      </w:tr>
      <w:tr>
        <w:trPr>
          <w:trHeight w:val="137"/>
        </w:trPr>
        <w:tc>
          <w:tcPr>
            <w:tcW w:w="184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r>
      <w:tr>
        <w:trPr>
          <w:trHeight w:val="275"/>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2008</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18,798</w:t>
            </w:r>
          </w:p>
        </w:tc>
        <w:tc>
          <w:tcPr>
            <w:tcW w:w="206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523</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22"/>
                <w:szCs w:val="22"/>
                <w:i w:val="1"/>
                <w:iCs w:val="1"/>
                <w:color w:val="auto"/>
              </w:rPr>
              <w:t>110</w:t>
            </w:r>
          </w:p>
        </w:tc>
        <w:tc>
          <w:tcPr>
            <w:tcW w:w="148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18,385</w:t>
            </w:r>
          </w:p>
        </w:tc>
        <w:tc>
          <w:tcPr>
            <w:tcW w:w="25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52</w:t>
            </w:r>
          </w:p>
        </w:tc>
      </w:tr>
      <w:tr>
        <w:trPr>
          <w:trHeight w:val="137"/>
        </w:trPr>
        <w:tc>
          <w:tcPr>
            <w:tcW w:w="184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r>
      <w:tr>
        <w:trPr>
          <w:trHeight w:val="275"/>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2009</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18,385</w:t>
            </w:r>
          </w:p>
        </w:tc>
        <w:tc>
          <w:tcPr>
            <w:tcW w:w="206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9,482</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22"/>
                <w:szCs w:val="22"/>
                <w:i w:val="1"/>
                <w:iCs w:val="1"/>
                <w:color w:val="auto"/>
              </w:rPr>
              <w:t>42</w:t>
            </w:r>
          </w:p>
        </w:tc>
        <w:tc>
          <w:tcPr>
            <w:tcW w:w="148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8,945</w:t>
            </w:r>
          </w:p>
        </w:tc>
        <w:tc>
          <w:tcPr>
            <w:tcW w:w="25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88</w:t>
            </w:r>
          </w:p>
        </w:tc>
      </w:tr>
      <w:tr>
        <w:trPr>
          <w:trHeight w:val="137"/>
        </w:trPr>
        <w:tc>
          <w:tcPr>
            <w:tcW w:w="184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r>
      <w:tr>
        <w:trPr>
          <w:trHeight w:val="275"/>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2010</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8,945</w:t>
            </w:r>
          </w:p>
        </w:tc>
        <w:tc>
          <w:tcPr>
            <w:tcW w:w="206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3,963</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22"/>
                <w:szCs w:val="22"/>
                <w:i w:val="1"/>
                <w:iCs w:val="1"/>
                <w:color w:val="auto"/>
              </w:rPr>
              <w:t>188</w:t>
            </w:r>
          </w:p>
        </w:tc>
        <w:tc>
          <w:tcPr>
            <w:tcW w:w="148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5,170</w:t>
            </w:r>
          </w:p>
        </w:tc>
        <w:tc>
          <w:tcPr>
            <w:tcW w:w="25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159</w:t>
            </w:r>
          </w:p>
        </w:tc>
      </w:tr>
      <w:tr>
        <w:trPr>
          <w:trHeight w:val="137"/>
        </w:trPr>
        <w:tc>
          <w:tcPr>
            <w:tcW w:w="184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r>
      <w:tr>
        <w:trPr>
          <w:trHeight w:val="275"/>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2011</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5,170</w:t>
            </w:r>
          </w:p>
        </w:tc>
        <w:tc>
          <w:tcPr>
            <w:tcW w:w="206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789</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22"/>
                <w:szCs w:val="22"/>
                <w:i w:val="1"/>
                <w:iCs w:val="1"/>
                <w:color w:val="auto"/>
              </w:rPr>
              <w:t>65</w:t>
            </w:r>
          </w:p>
        </w:tc>
        <w:tc>
          <w:tcPr>
            <w:tcW w:w="148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4,446</w:t>
            </w:r>
          </w:p>
        </w:tc>
        <w:tc>
          <w:tcPr>
            <w:tcW w:w="25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1,111</w:t>
            </w:r>
          </w:p>
        </w:tc>
      </w:tr>
      <w:tr>
        <w:trPr>
          <w:trHeight w:val="137"/>
        </w:trPr>
        <w:tc>
          <w:tcPr>
            <w:tcW w:w="184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r>
      <w:tr>
        <w:trPr>
          <w:trHeight w:val="275"/>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2012</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4,446</w:t>
            </w:r>
          </w:p>
        </w:tc>
        <w:tc>
          <w:tcPr>
            <w:tcW w:w="206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90</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22"/>
                <w:szCs w:val="22"/>
                <w:i w:val="1"/>
                <w:iCs w:val="1"/>
                <w:color w:val="auto"/>
              </w:rPr>
              <w:t>107</w:t>
            </w:r>
          </w:p>
        </w:tc>
        <w:tc>
          <w:tcPr>
            <w:tcW w:w="148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4,463</w:t>
            </w:r>
          </w:p>
        </w:tc>
        <w:tc>
          <w:tcPr>
            <w:tcW w:w="25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530</w:t>
            </w:r>
          </w:p>
        </w:tc>
      </w:tr>
      <w:tr>
        <w:trPr>
          <w:trHeight w:val="137"/>
        </w:trPr>
        <w:tc>
          <w:tcPr>
            <w:tcW w:w="184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r>
      <w:tr>
        <w:trPr>
          <w:trHeight w:val="183"/>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i w:val="1"/>
                <w:iCs w:val="1"/>
                <w:color w:val="auto"/>
              </w:rPr>
              <w:t>2013 as of</w:t>
            </w:r>
          </w:p>
        </w:tc>
        <w:tc>
          <w:tcPr>
            <w:tcW w:w="1820" w:type="dxa"/>
            <w:vAlign w:val="bottom"/>
            <w:tcBorders>
              <w:right w:val="single" w:sz="8" w:color="auto"/>
            </w:tcBorders>
          </w:tcPr>
          <w:p>
            <w:pPr>
              <w:jc w:val="right"/>
              <w:ind w:right="19"/>
              <w:spacing w:after="0" w:line="183" w:lineRule="exact"/>
              <w:rPr>
                <w:sz w:val="20"/>
                <w:szCs w:val="20"/>
                <w:color w:val="auto"/>
              </w:rPr>
            </w:pPr>
            <w:r>
              <w:rPr>
                <w:rFonts w:ascii="Arial" w:cs="Arial" w:eastAsia="Arial" w:hAnsi="Arial"/>
                <w:sz w:val="21"/>
                <w:szCs w:val="21"/>
                <w:b w:val="1"/>
                <w:bCs w:val="1"/>
                <w:i w:val="1"/>
                <w:iCs w:val="1"/>
                <w:color w:val="auto"/>
              </w:rPr>
              <w:t>4,463</w:t>
            </w:r>
          </w:p>
        </w:tc>
        <w:tc>
          <w:tcPr>
            <w:tcW w:w="2060" w:type="dxa"/>
            <w:vAlign w:val="bottom"/>
            <w:tcBorders>
              <w:right w:val="single" w:sz="8" w:color="auto"/>
            </w:tcBorders>
          </w:tcPr>
          <w:p>
            <w:pPr>
              <w:jc w:val="right"/>
              <w:ind w:right="19"/>
              <w:spacing w:after="0" w:line="183" w:lineRule="exact"/>
              <w:rPr>
                <w:sz w:val="20"/>
                <w:szCs w:val="20"/>
                <w:color w:val="auto"/>
              </w:rPr>
            </w:pPr>
            <w:r>
              <w:rPr>
                <w:rFonts w:ascii="Arial" w:cs="Arial" w:eastAsia="Arial" w:hAnsi="Arial"/>
                <w:sz w:val="21"/>
                <w:szCs w:val="21"/>
                <w:b w:val="1"/>
                <w:bCs w:val="1"/>
                <w:i w:val="1"/>
                <w:iCs w:val="1"/>
                <w:color w:val="auto"/>
              </w:rPr>
              <w:t>222</w:t>
            </w:r>
          </w:p>
        </w:tc>
        <w:tc>
          <w:tcPr>
            <w:tcW w:w="1580" w:type="dxa"/>
            <w:vAlign w:val="bottom"/>
            <w:tcBorders>
              <w:right w:val="single" w:sz="8" w:color="auto"/>
            </w:tcBorders>
          </w:tcPr>
          <w:p>
            <w:pPr>
              <w:jc w:val="right"/>
              <w:spacing w:after="0" w:line="183" w:lineRule="exact"/>
              <w:rPr>
                <w:sz w:val="20"/>
                <w:szCs w:val="20"/>
                <w:color w:val="auto"/>
              </w:rPr>
            </w:pPr>
            <w:r>
              <w:rPr>
                <w:rFonts w:ascii="Arial" w:cs="Arial" w:eastAsia="Arial" w:hAnsi="Arial"/>
                <w:sz w:val="21"/>
                <w:szCs w:val="21"/>
                <w:b w:val="1"/>
                <w:bCs w:val="1"/>
                <w:i w:val="1"/>
                <w:iCs w:val="1"/>
                <w:color w:val="auto"/>
              </w:rPr>
              <w:t>58</w:t>
            </w:r>
          </w:p>
        </w:tc>
        <w:tc>
          <w:tcPr>
            <w:tcW w:w="1480" w:type="dxa"/>
            <w:vAlign w:val="bottom"/>
            <w:tcBorders>
              <w:right w:val="single" w:sz="8" w:color="auto"/>
            </w:tcBorders>
          </w:tcPr>
          <w:p>
            <w:pPr>
              <w:jc w:val="right"/>
              <w:ind w:right="19"/>
              <w:spacing w:after="0" w:line="183" w:lineRule="exact"/>
              <w:rPr>
                <w:sz w:val="20"/>
                <w:szCs w:val="20"/>
                <w:color w:val="auto"/>
              </w:rPr>
            </w:pPr>
            <w:r>
              <w:rPr>
                <w:rFonts w:ascii="Arial" w:cs="Arial" w:eastAsia="Arial" w:hAnsi="Arial"/>
                <w:sz w:val="21"/>
                <w:szCs w:val="21"/>
                <w:b w:val="1"/>
                <w:bCs w:val="1"/>
                <w:i w:val="1"/>
                <w:iCs w:val="1"/>
                <w:color w:val="auto"/>
              </w:rPr>
              <w:t>4,299</w:t>
            </w:r>
          </w:p>
        </w:tc>
        <w:tc>
          <w:tcPr>
            <w:tcW w:w="2520" w:type="dxa"/>
            <w:vAlign w:val="bottom"/>
            <w:tcBorders>
              <w:right w:val="single" w:sz="8" w:color="auto"/>
            </w:tcBorders>
          </w:tcPr>
          <w:p>
            <w:pPr>
              <w:jc w:val="right"/>
              <w:ind w:right="19"/>
              <w:spacing w:after="0" w:line="183" w:lineRule="exact"/>
              <w:rPr>
                <w:sz w:val="20"/>
                <w:szCs w:val="20"/>
                <w:color w:val="auto"/>
              </w:rPr>
            </w:pPr>
            <w:r>
              <w:rPr>
                <w:rFonts w:ascii="Arial" w:cs="Arial" w:eastAsia="Arial" w:hAnsi="Arial"/>
                <w:sz w:val="21"/>
                <w:szCs w:val="21"/>
                <w:b w:val="1"/>
                <w:bCs w:val="1"/>
                <w:i w:val="1"/>
                <w:iCs w:val="1"/>
                <w:color w:val="auto"/>
              </w:rPr>
              <w:t>$ 78</w:t>
            </w:r>
          </w:p>
        </w:tc>
      </w:tr>
      <w:tr>
        <w:trPr>
          <w:trHeight w:val="188"/>
        </w:trPr>
        <w:tc>
          <w:tcPr>
            <w:tcW w:w="18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i w:val="1"/>
                <w:iCs w:val="1"/>
                <w:color w:val="auto"/>
              </w:rPr>
              <w:t>October 11</w:t>
            </w:r>
          </w:p>
        </w:tc>
        <w:tc>
          <w:tcPr>
            <w:tcW w:w="182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520" w:type="dxa"/>
            <w:vAlign w:val="bottom"/>
            <w:tcBorders>
              <w:right w:val="single" w:sz="8" w:color="auto"/>
            </w:tcBorders>
          </w:tcPr>
          <w:p>
            <w:pPr>
              <w:spacing w:after="0"/>
              <w:rPr>
                <w:sz w:val="16"/>
                <w:szCs w:val="16"/>
                <w:color w:val="auto"/>
              </w:rPr>
            </w:pPr>
          </w:p>
        </w:tc>
      </w:tr>
      <w:tr>
        <w:trPr>
          <w:trHeight w:val="122"/>
        </w:trPr>
        <w:tc>
          <w:tcPr>
            <w:tcW w:w="184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October 11, 2013, we had resolved, by means of settlement or dismissal, 36,592 claims. The total cost of resolving all claims was $8.7 million. Of this amount, almost 100% was paid by our insurance carrier. The Company has over $125 million in confirmed insurance coverage that should be available with respect to current and future asbestos claims, as well as additional insurance coverage that we should be able to access.</w:t>
      </w:r>
    </w:p>
    <w:p>
      <w:pPr>
        <w:spacing w:after="0" w:line="178"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7,816 claims as of October 11, 2013.</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49" w:right="239" w:bottom="1440" w:gutter="0" w:footer="0" w:header="0"/>
        </w:sectPr>
      </w:pPr>
    </w:p>
    <w:bookmarkStart w:id="23" w:name="page24"/>
    <w:bookmarkEnd w:id="23"/>
    <w:p>
      <w:pPr>
        <w:ind w:right="62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720" w:type="dxa"/>
            <w:vAlign w:val="bottom"/>
            <w:tcBorders>
              <w:top w:val="single" w:sz="8" w:color="auto"/>
              <w:left w:val="single" w:sz="8" w:color="auto"/>
              <w:right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Year ended December</w:t>
            </w:r>
          </w:p>
        </w:tc>
        <w:tc>
          <w:tcPr>
            <w:tcW w:w="1820" w:type="dxa"/>
            <w:vAlign w:val="bottom"/>
            <w:tcBorders>
              <w:top w:val="single" w:sz="8" w:color="auto"/>
              <w:right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Opening Number of</w:t>
            </w:r>
          </w:p>
        </w:tc>
        <w:tc>
          <w:tcPr>
            <w:tcW w:w="1940" w:type="dxa"/>
            <w:vAlign w:val="bottom"/>
            <w:tcBorders>
              <w:top w:val="single" w:sz="8" w:color="auto"/>
              <w:right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Claims Dismissed, Settled,</w:t>
            </w:r>
          </w:p>
        </w:tc>
        <w:tc>
          <w:tcPr>
            <w:tcW w:w="1460" w:type="dxa"/>
            <w:vAlign w:val="bottom"/>
            <w:tcBorders>
              <w:top w:val="single" w:sz="8" w:color="auto"/>
              <w:right w:val="single" w:sz="8" w:color="auto"/>
            </w:tcBorders>
          </w:tcPr>
          <w:p>
            <w:pPr>
              <w:spacing w:after="0"/>
              <w:rPr>
                <w:sz w:val="14"/>
                <w:szCs w:val="14"/>
                <w:color w:val="auto"/>
              </w:rPr>
            </w:pPr>
          </w:p>
        </w:tc>
        <w:tc>
          <w:tcPr>
            <w:tcW w:w="1720" w:type="dxa"/>
            <w:vAlign w:val="bottom"/>
            <w:tcBorders>
              <w:top w:val="single" w:sz="8" w:color="auto"/>
              <w:right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Closing Number of</w:t>
            </w:r>
          </w:p>
        </w:tc>
        <w:tc>
          <w:tcPr>
            <w:tcW w:w="2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i w:val="1"/>
                <w:iCs w:val="1"/>
                <w:color w:val="auto"/>
              </w:rPr>
              <w:t>Amounts Paid (thousands) to Settle or</w:t>
            </w:r>
          </w:p>
        </w:tc>
      </w:tr>
      <w:tr>
        <w:trPr>
          <w:trHeight w:val="186"/>
        </w:trPr>
        <w:tc>
          <w:tcPr>
            <w:tcW w:w="1720" w:type="dxa"/>
            <w:vAlign w:val="bottom"/>
            <w:tcBorders>
              <w:left w:val="single" w:sz="8" w:color="auto"/>
              <w:right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31,</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Claims</w:t>
            </w:r>
          </w:p>
        </w:tc>
        <w:tc>
          <w:tcPr>
            <w:tcW w:w="1940" w:type="dxa"/>
            <w:vAlign w:val="bottom"/>
            <w:tcBorders>
              <w:right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or Resolved</w:t>
            </w:r>
          </w:p>
        </w:tc>
        <w:tc>
          <w:tcPr>
            <w:tcW w:w="14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right"/>
              <w:ind w:right="19"/>
              <w:spacing w:after="0"/>
              <w:rPr>
                <w:sz w:val="20"/>
                <w:szCs w:val="20"/>
                <w:color w:val="auto"/>
              </w:rPr>
            </w:pPr>
            <w:r>
              <w:rPr>
                <w:rFonts w:ascii="Arial" w:cs="Arial" w:eastAsia="Arial" w:hAnsi="Arial"/>
                <w:sz w:val="14"/>
                <w:szCs w:val="14"/>
                <w:i w:val="1"/>
                <w:iCs w:val="1"/>
                <w:color w:val="auto"/>
              </w:rPr>
              <w:t>Claims</w:t>
            </w:r>
          </w:p>
        </w:tc>
        <w:tc>
          <w:tcPr>
            <w:tcW w:w="2640" w:type="dxa"/>
            <w:vAlign w:val="bottom"/>
            <w:tcBorders>
              <w:right w:val="single" w:sz="8" w:color="auto"/>
            </w:tcBorders>
          </w:tcPr>
          <w:p>
            <w:pPr>
              <w:jc w:val="right"/>
              <w:spacing w:after="0"/>
              <w:rPr>
                <w:sz w:val="20"/>
                <w:szCs w:val="20"/>
                <w:color w:val="auto"/>
              </w:rPr>
            </w:pPr>
            <w:r>
              <w:rPr>
                <w:rFonts w:ascii="Arial" w:cs="Arial" w:eastAsia="Arial" w:hAnsi="Arial"/>
                <w:sz w:val="14"/>
                <w:szCs w:val="14"/>
                <w:i w:val="1"/>
                <w:iCs w:val="1"/>
                <w:color w:val="auto"/>
              </w:rPr>
              <w:t>Resolve</w:t>
            </w: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right"/>
              <w:ind w:right="16"/>
              <w:spacing w:after="0"/>
              <w:rPr>
                <w:sz w:val="20"/>
                <w:szCs w:val="20"/>
                <w:color w:val="auto"/>
              </w:rPr>
            </w:pPr>
            <w:r>
              <w:rPr>
                <w:rFonts w:ascii="Arial" w:cs="Arial" w:eastAsia="Arial" w:hAnsi="Arial"/>
                <w:sz w:val="14"/>
                <w:szCs w:val="14"/>
                <w:i w:val="1"/>
                <w:iCs w:val="1"/>
                <w:color w:val="auto"/>
              </w:rPr>
              <w:t>New Claims</w:t>
            </w:r>
          </w:p>
        </w:tc>
        <w:tc>
          <w:tcPr>
            <w:tcW w:w="172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r>
      <w:tr>
        <w:trPr>
          <w:trHeight w:val="161"/>
        </w:trPr>
        <w:tc>
          <w:tcPr>
            <w:tcW w:w="172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40" w:type="dxa"/>
            <w:vAlign w:val="bottom"/>
            <w:tcBorders>
              <w:bottom w:val="single" w:sz="8" w:color="auto"/>
              <w:right w:val="single" w:sz="8" w:color="auto"/>
            </w:tcBorders>
          </w:tcPr>
          <w:p>
            <w:pPr>
              <w:spacing w:after="0"/>
              <w:rPr>
                <w:sz w:val="13"/>
                <w:szCs w:val="13"/>
                <w:color w:val="auto"/>
              </w:rPr>
            </w:pPr>
          </w:p>
        </w:tc>
      </w:tr>
      <w:tr>
        <w:trPr>
          <w:trHeight w:val="275"/>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2005</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9,985</w:t>
            </w:r>
          </w:p>
        </w:tc>
        <w:tc>
          <w:tcPr>
            <w:tcW w:w="19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642</w:t>
            </w:r>
          </w:p>
        </w:tc>
        <w:tc>
          <w:tcPr>
            <w:tcW w:w="1460" w:type="dxa"/>
            <w:vAlign w:val="bottom"/>
            <w:tcBorders>
              <w:right w:val="single" w:sz="8" w:color="auto"/>
            </w:tcBorders>
          </w:tcPr>
          <w:p>
            <w:pPr>
              <w:jc w:val="right"/>
              <w:ind w:right="16"/>
              <w:spacing w:after="0"/>
              <w:rPr>
                <w:sz w:val="20"/>
                <w:szCs w:val="20"/>
                <w:color w:val="auto"/>
              </w:rPr>
            </w:pPr>
            <w:r>
              <w:rPr>
                <w:rFonts w:ascii="Arial" w:cs="Arial" w:eastAsia="Arial" w:hAnsi="Arial"/>
                <w:sz w:val="22"/>
                <w:szCs w:val="22"/>
                <w:i w:val="1"/>
                <w:iCs w:val="1"/>
                <w:color w:val="auto"/>
              </w:rPr>
              <w:t>223</w:t>
            </w:r>
          </w:p>
        </w:tc>
        <w:tc>
          <w:tcPr>
            <w:tcW w:w="17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9,566</w:t>
            </w:r>
          </w:p>
        </w:tc>
        <w:tc>
          <w:tcPr>
            <w:tcW w:w="26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$ 0</w:t>
            </w:r>
          </w:p>
        </w:tc>
      </w:tr>
      <w:tr>
        <w:trPr>
          <w:trHeight w:val="137"/>
        </w:trPr>
        <w:tc>
          <w:tcPr>
            <w:tcW w:w="17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r>
      <w:tr>
        <w:trPr>
          <w:trHeight w:val="275"/>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2006</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9,566</w:t>
            </w:r>
          </w:p>
        </w:tc>
        <w:tc>
          <w:tcPr>
            <w:tcW w:w="19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1,182</w:t>
            </w:r>
          </w:p>
        </w:tc>
        <w:tc>
          <w:tcPr>
            <w:tcW w:w="1460" w:type="dxa"/>
            <w:vAlign w:val="bottom"/>
            <w:tcBorders>
              <w:right w:val="single" w:sz="8" w:color="auto"/>
            </w:tcBorders>
          </w:tcPr>
          <w:p>
            <w:pPr>
              <w:jc w:val="right"/>
              <w:ind w:right="16"/>
              <w:spacing w:after="0"/>
              <w:rPr>
                <w:sz w:val="20"/>
                <w:szCs w:val="20"/>
                <w:color w:val="auto"/>
              </w:rPr>
            </w:pPr>
            <w:r>
              <w:rPr>
                <w:rFonts w:ascii="Arial" w:cs="Arial" w:eastAsia="Arial" w:hAnsi="Arial"/>
                <w:sz w:val="22"/>
                <w:szCs w:val="22"/>
                <w:i w:val="1"/>
                <w:iCs w:val="1"/>
                <w:color w:val="auto"/>
              </w:rPr>
              <w:t>730</w:t>
            </w:r>
          </w:p>
        </w:tc>
        <w:tc>
          <w:tcPr>
            <w:tcW w:w="17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9,114</w:t>
            </w:r>
          </w:p>
        </w:tc>
        <w:tc>
          <w:tcPr>
            <w:tcW w:w="26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0</w:t>
            </w:r>
          </w:p>
        </w:tc>
      </w:tr>
      <w:tr>
        <w:trPr>
          <w:trHeight w:val="137"/>
        </w:trPr>
        <w:tc>
          <w:tcPr>
            <w:tcW w:w="17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r>
      <w:tr>
        <w:trPr>
          <w:trHeight w:val="275"/>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2007</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9,114</w:t>
            </w:r>
          </w:p>
        </w:tc>
        <w:tc>
          <w:tcPr>
            <w:tcW w:w="19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462</w:t>
            </w:r>
          </w:p>
        </w:tc>
        <w:tc>
          <w:tcPr>
            <w:tcW w:w="1460" w:type="dxa"/>
            <w:vAlign w:val="bottom"/>
            <w:tcBorders>
              <w:right w:val="single" w:sz="8" w:color="auto"/>
            </w:tcBorders>
          </w:tcPr>
          <w:p>
            <w:pPr>
              <w:jc w:val="right"/>
              <w:ind w:right="16"/>
              <w:spacing w:after="0"/>
              <w:rPr>
                <w:sz w:val="20"/>
                <w:szCs w:val="20"/>
                <w:color w:val="auto"/>
              </w:rPr>
            </w:pPr>
            <w:r>
              <w:rPr>
                <w:rFonts w:ascii="Arial" w:cs="Arial" w:eastAsia="Arial" w:hAnsi="Arial"/>
                <w:sz w:val="22"/>
                <w:szCs w:val="22"/>
                <w:i w:val="1"/>
                <w:iCs w:val="1"/>
                <w:color w:val="auto"/>
              </w:rPr>
              <w:t>88</w:t>
            </w:r>
          </w:p>
        </w:tc>
        <w:tc>
          <w:tcPr>
            <w:tcW w:w="17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8,740</w:t>
            </w:r>
          </w:p>
        </w:tc>
        <w:tc>
          <w:tcPr>
            <w:tcW w:w="26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0</w:t>
            </w:r>
          </w:p>
        </w:tc>
      </w:tr>
      <w:tr>
        <w:trPr>
          <w:trHeight w:val="137"/>
        </w:trPr>
        <w:tc>
          <w:tcPr>
            <w:tcW w:w="17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r>
      <w:tr>
        <w:trPr>
          <w:trHeight w:val="275"/>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2008</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8,740</w:t>
            </w:r>
          </w:p>
        </w:tc>
        <w:tc>
          <w:tcPr>
            <w:tcW w:w="19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86</w:t>
            </w:r>
          </w:p>
        </w:tc>
        <w:tc>
          <w:tcPr>
            <w:tcW w:w="1460" w:type="dxa"/>
            <w:vAlign w:val="bottom"/>
            <w:tcBorders>
              <w:right w:val="single" w:sz="8" w:color="auto"/>
            </w:tcBorders>
          </w:tcPr>
          <w:p>
            <w:pPr>
              <w:jc w:val="right"/>
              <w:ind w:right="16"/>
              <w:spacing w:after="0"/>
              <w:rPr>
                <w:sz w:val="20"/>
                <w:szCs w:val="20"/>
                <w:color w:val="auto"/>
              </w:rPr>
            </w:pPr>
            <w:r>
              <w:rPr>
                <w:rFonts w:ascii="Arial" w:cs="Arial" w:eastAsia="Arial" w:hAnsi="Arial"/>
                <w:sz w:val="22"/>
                <w:szCs w:val="22"/>
                <w:i w:val="1"/>
                <w:iCs w:val="1"/>
                <w:color w:val="auto"/>
              </w:rPr>
              <w:t>10</w:t>
            </w:r>
          </w:p>
        </w:tc>
        <w:tc>
          <w:tcPr>
            <w:tcW w:w="17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8,664</w:t>
            </w:r>
          </w:p>
        </w:tc>
        <w:tc>
          <w:tcPr>
            <w:tcW w:w="26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0</w:t>
            </w:r>
          </w:p>
        </w:tc>
      </w:tr>
      <w:tr>
        <w:trPr>
          <w:trHeight w:val="137"/>
        </w:trPr>
        <w:tc>
          <w:tcPr>
            <w:tcW w:w="17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r>
      <w:tr>
        <w:trPr>
          <w:trHeight w:val="275"/>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2009</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8,664</w:t>
            </w:r>
          </w:p>
        </w:tc>
        <w:tc>
          <w:tcPr>
            <w:tcW w:w="19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760</w:t>
            </w:r>
          </w:p>
        </w:tc>
        <w:tc>
          <w:tcPr>
            <w:tcW w:w="1460" w:type="dxa"/>
            <w:vAlign w:val="bottom"/>
            <w:tcBorders>
              <w:right w:val="single" w:sz="8" w:color="auto"/>
            </w:tcBorders>
          </w:tcPr>
          <w:p>
            <w:pPr>
              <w:jc w:val="right"/>
              <w:ind w:right="16"/>
              <w:spacing w:after="0"/>
              <w:rPr>
                <w:sz w:val="20"/>
                <w:szCs w:val="20"/>
                <w:color w:val="auto"/>
              </w:rPr>
            </w:pPr>
            <w:r>
              <w:rPr>
                <w:rFonts w:ascii="Arial" w:cs="Arial" w:eastAsia="Arial" w:hAnsi="Arial"/>
                <w:sz w:val="22"/>
                <w:szCs w:val="22"/>
                <w:i w:val="1"/>
                <w:iCs w:val="1"/>
                <w:color w:val="auto"/>
              </w:rPr>
              <w:t>3</w:t>
            </w:r>
          </w:p>
        </w:tc>
        <w:tc>
          <w:tcPr>
            <w:tcW w:w="17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7,907</w:t>
            </w:r>
          </w:p>
        </w:tc>
        <w:tc>
          <w:tcPr>
            <w:tcW w:w="26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0</w:t>
            </w:r>
          </w:p>
        </w:tc>
      </w:tr>
      <w:tr>
        <w:trPr>
          <w:trHeight w:val="137"/>
        </w:trPr>
        <w:tc>
          <w:tcPr>
            <w:tcW w:w="17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r>
      <w:tr>
        <w:trPr>
          <w:trHeight w:val="275"/>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2010</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7,907</w:t>
            </w:r>
          </w:p>
        </w:tc>
        <w:tc>
          <w:tcPr>
            <w:tcW w:w="19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47</w:t>
            </w:r>
          </w:p>
        </w:tc>
        <w:tc>
          <w:tcPr>
            <w:tcW w:w="1460" w:type="dxa"/>
            <w:vAlign w:val="bottom"/>
            <w:tcBorders>
              <w:right w:val="single" w:sz="8" w:color="auto"/>
            </w:tcBorders>
          </w:tcPr>
          <w:p>
            <w:pPr>
              <w:jc w:val="right"/>
              <w:ind w:right="16"/>
              <w:spacing w:after="0"/>
              <w:rPr>
                <w:sz w:val="20"/>
                <w:szCs w:val="20"/>
                <w:color w:val="auto"/>
              </w:rPr>
            </w:pPr>
            <w:r>
              <w:rPr>
                <w:rFonts w:ascii="Arial" w:cs="Arial" w:eastAsia="Arial" w:hAnsi="Arial"/>
                <w:sz w:val="22"/>
                <w:szCs w:val="22"/>
                <w:i w:val="1"/>
                <w:iCs w:val="1"/>
                <w:color w:val="auto"/>
              </w:rPr>
              <w:t>9</w:t>
            </w:r>
          </w:p>
        </w:tc>
        <w:tc>
          <w:tcPr>
            <w:tcW w:w="17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7,869</w:t>
            </w:r>
          </w:p>
        </w:tc>
        <w:tc>
          <w:tcPr>
            <w:tcW w:w="26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0</w:t>
            </w:r>
          </w:p>
        </w:tc>
      </w:tr>
      <w:tr>
        <w:trPr>
          <w:trHeight w:val="137"/>
        </w:trPr>
        <w:tc>
          <w:tcPr>
            <w:tcW w:w="17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r>
      <w:tr>
        <w:trPr>
          <w:trHeight w:val="275"/>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2011</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7,869</w:t>
            </w:r>
          </w:p>
        </w:tc>
        <w:tc>
          <w:tcPr>
            <w:tcW w:w="19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3</w:t>
            </w:r>
          </w:p>
        </w:tc>
        <w:tc>
          <w:tcPr>
            <w:tcW w:w="1460" w:type="dxa"/>
            <w:vAlign w:val="bottom"/>
            <w:tcBorders>
              <w:right w:val="single" w:sz="8" w:color="auto"/>
            </w:tcBorders>
          </w:tcPr>
          <w:p>
            <w:pPr>
              <w:jc w:val="right"/>
              <w:ind w:right="16"/>
              <w:spacing w:after="0"/>
              <w:rPr>
                <w:sz w:val="20"/>
                <w:szCs w:val="20"/>
                <w:color w:val="auto"/>
              </w:rPr>
            </w:pPr>
            <w:r>
              <w:rPr>
                <w:rFonts w:ascii="Arial" w:cs="Arial" w:eastAsia="Arial" w:hAnsi="Arial"/>
                <w:sz w:val="22"/>
                <w:szCs w:val="22"/>
                <w:i w:val="1"/>
                <w:iCs w:val="1"/>
                <w:color w:val="auto"/>
              </w:rPr>
              <w:t>11</w:t>
            </w:r>
          </w:p>
        </w:tc>
        <w:tc>
          <w:tcPr>
            <w:tcW w:w="17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7,877</w:t>
            </w:r>
          </w:p>
        </w:tc>
        <w:tc>
          <w:tcPr>
            <w:tcW w:w="26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0</w:t>
            </w:r>
          </w:p>
        </w:tc>
      </w:tr>
      <w:tr>
        <w:trPr>
          <w:trHeight w:val="137"/>
        </w:trPr>
        <w:tc>
          <w:tcPr>
            <w:tcW w:w="17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r>
      <w:tr>
        <w:trPr>
          <w:trHeight w:val="275"/>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2012</w:t>
            </w:r>
          </w:p>
        </w:tc>
        <w:tc>
          <w:tcPr>
            <w:tcW w:w="18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7,877</w:t>
            </w:r>
          </w:p>
        </w:tc>
        <w:tc>
          <w:tcPr>
            <w:tcW w:w="19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12</w:t>
            </w:r>
          </w:p>
        </w:tc>
        <w:tc>
          <w:tcPr>
            <w:tcW w:w="1460" w:type="dxa"/>
            <w:vAlign w:val="bottom"/>
            <w:tcBorders>
              <w:right w:val="single" w:sz="8" w:color="auto"/>
            </w:tcBorders>
          </w:tcPr>
          <w:p>
            <w:pPr>
              <w:jc w:val="right"/>
              <w:ind w:right="16"/>
              <w:spacing w:after="0"/>
              <w:rPr>
                <w:sz w:val="20"/>
                <w:szCs w:val="20"/>
                <w:color w:val="auto"/>
              </w:rPr>
            </w:pPr>
            <w:r>
              <w:rPr>
                <w:rFonts w:ascii="Arial" w:cs="Arial" w:eastAsia="Arial" w:hAnsi="Arial"/>
                <w:sz w:val="22"/>
                <w:szCs w:val="22"/>
                <w:i w:val="1"/>
                <w:iCs w:val="1"/>
                <w:color w:val="auto"/>
              </w:rPr>
              <w:t>2</w:t>
            </w:r>
          </w:p>
        </w:tc>
        <w:tc>
          <w:tcPr>
            <w:tcW w:w="172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7,867</w:t>
            </w:r>
          </w:p>
        </w:tc>
        <w:tc>
          <w:tcPr>
            <w:tcW w:w="2640" w:type="dxa"/>
            <w:vAlign w:val="bottom"/>
            <w:tcBorders>
              <w:right w:val="single" w:sz="8" w:color="auto"/>
            </w:tcBorders>
          </w:tcPr>
          <w:p>
            <w:pPr>
              <w:jc w:val="right"/>
              <w:ind w:right="19"/>
              <w:spacing w:after="0"/>
              <w:rPr>
                <w:sz w:val="20"/>
                <w:szCs w:val="20"/>
                <w:color w:val="auto"/>
              </w:rPr>
            </w:pPr>
            <w:r>
              <w:rPr>
                <w:rFonts w:ascii="Arial" w:cs="Arial" w:eastAsia="Arial" w:hAnsi="Arial"/>
                <w:sz w:val="22"/>
                <w:szCs w:val="22"/>
                <w:i w:val="1"/>
                <w:iCs w:val="1"/>
                <w:color w:val="auto"/>
              </w:rPr>
              <w:t>0</w:t>
            </w:r>
          </w:p>
        </w:tc>
      </w:tr>
      <w:tr>
        <w:trPr>
          <w:trHeight w:val="137"/>
        </w:trPr>
        <w:tc>
          <w:tcPr>
            <w:tcW w:w="17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2640" w:type="dxa"/>
            <w:vAlign w:val="bottom"/>
            <w:tcBorders>
              <w:bottom w:val="single" w:sz="8" w:color="auto"/>
              <w:right w:val="single" w:sz="8" w:color="auto"/>
            </w:tcBorders>
          </w:tcPr>
          <w:p>
            <w:pPr>
              <w:spacing w:after="0"/>
              <w:rPr>
                <w:sz w:val="11"/>
                <w:szCs w:val="11"/>
                <w:color w:val="auto"/>
              </w:rPr>
            </w:pPr>
          </w:p>
        </w:tc>
      </w:tr>
      <w:tr>
        <w:trPr>
          <w:trHeight w:val="183"/>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i w:val="1"/>
                <w:iCs w:val="1"/>
                <w:color w:val="auto"/>
              </w:rPr>
              <w:t>2013 as of</w:t>
            </w:r>
          </w:p>
        </w:tc>
        <w:tc>
          <w:tcPr>
            <w:tcW w:w="1820" w:type="dxa"/>
            <w:vAlign w:val="bottom"/>
            <w:tcBorders>
              <w:right w:val="single" w:sz="8" w:color="auto"/>
            </w:tcBorders>
          </w:tcPr>
          <w:p>
            <w:pPr>
              <w:jc w:val="right"/>
              <w:ind w:right="19"/>
              <w:spacing w:after="0" w:line="183" w:lineRule="exact"/>
              <w:rPr>
                <w:sz w:val="20"/>
                <w:szCs w:val="20"/>
                <w:color w:val="auto"/>
              </w:rPr>
            </w:pPr>
            <w:r>
              <w:rPr>
                <w:rFonts w:ascii="Arial" w:cs="Arial" w:eastAsia="Arial" w:hAnsi="Arial"/>
                <w:sz w:val="21"/>
                <w:szCs w:val="21"/>
                <w:b w:val="1"/>
                <w:bCs w:val="1"/>
                <w:i w:val="1"/>
                <w:iCs w:val="1"/>
                <w:color w:val="auto"/>
              </w:rPr>
              <w:t>7,867</w:t>
            </w:r>
          </w:p>
        </w:tc>
        <w:tc>
          <w:tcPr>
            <w:tcW w:w="1940" w:type="dxa"/>
            <w:vAlign w:val="bottom"/>
            <w:tcBorders>
              <w:right w:val="single" w:sz="8" w:color="auto"/>
            </w:tcBorders>
          </w:tcPr>
          <w:p>
            <w:pPr>
              <w:jc w:val="right"/>
              <w:ind w:right="19"/>
              <w:spacing w:after="0" w:line="183" w:lineRule="exact"/>
              <w:rPr>
                <w:sz w:val="20"/>
                <w:szCs w:val="20"/>
                <w:color w:val="auto"/>
              </w:rPr>
            </w:pPr>
            <w:r>
              <w:rPr>
                <w:rFonts w:ascii="Arial" w:cs="Arial" w:eastAsia="Arial" w:hAnsi="Arial"/>
                <w:sz w:val="21"/>
                <w:szCs w:val="21"/>
                <w:b w:val="1"/>
                <w:bCs w:val="1"/>
                <w:i w:val="1"/>
                <w:iCs w:val="1"/>
                <w:color w:val="auto"/>
              </w:rPr>
              <w:t>54</w:t>
            </w:r>
          </w:p>
        </w:tc>
        <w:tc>
          <w:tcPr>
            <w:tcW w:w="1460" w:type="dxa"/>
            <w:vAlign w:val="bottom"/>
            <w:tcBorders>
              <w:right w:val="single" w:sz="8" w:color="auto"/>
            </w:tcBorders>
          </w:tcPr>
          <w:p>
            <w:pPr>
              <w:jc w:val="right"/>
              <w:ind w:right="16"/>
              <w:spacing w:after="0" w:line="183" w:lineRule="exact"/>
              <w:rPr>
                <w:sz w:val="20"/>
                <w:szCs w:val="20"/>
                <w:color w:val="auto"/>
              </w:rPr>
            </w:pPr>
            <w:r>
              <w:rPr>
                <w:rFonts w:ascii="Arial" w:cs="Arial" w:eastAsia="Arial" w:hAnsi="Arial"/>
                <w:sz w:val="21"/>
                <w:szCs w:val="21"/>
                <w:b w:val="1"/>
                <w:bCs w:val="1"/>
                <w:i w:val="1"/>
                <w:iCs w:val="1"/>
                <w:color w:val="auto"/>
              </w:rPr>
              <w:t>3</w:t>
            </w:r>
          </w:p>
        </w:tc>
        <w:tc>
          <w:tcPr>
            <w:tcW w:w="1720" w:type="dxa"/>
            <w:vAlign w:val="bottom"/>
            <w:tcBorders>
              <w:right w:val="single" w:sz="8" w:color="auto"/>
            </w:tcBorders>
          </w:tcPr>
          <w:p>
            <w:pPr>
              <w:jc w:val="right"/>
              <w:ind w:right="19"/>
              <w:spacing w:after="0" w:line="183" w:lineRule="exact"/>
              <w:rPr>
                <w:sz w:val="20"/>
                <w:szCs w:val="20"/>
                <w:color w:val="auto"/>
              </w:rPr>
            </w:pPr>
            <w:r>
              <w:rPr>
                <w:rFonts w:ascii="Arial" w:cs="Arial" w:eastAsia="Arial" w:hAnsi="Arial"/>
                <w:sz w:val="21"/>
                <w:szCs w:val="21"/>
                <w:b w:val="1"/>
                <w:bCs w:val="1"/>
                <w:i w:val="1"/>
                <w:iCs w:val="1"/>
                <w:color w:val="auto"/>
              </w:rPr>
              <w:t>7,816</w:t>
            </w:r>
          </w:p>
        </w:tc>
        <w:tc>
          <w:tcPr>
            <w:tcW w:w="2640" w:type="dxa"/>
            <w:vAlign w:val="bottom"/>
            <w:tcBorders>
              <w:right w:val="single" w:sz="8" w:color="auto"/>
            </w:tcBorders>
          </w:tcPr>
          <w:p>
            <w:pPr>
              <w:jc w:val="right"/>
              <w:ind w:right="19"/>
              <w:spacing w:after="0" w:line="183" w:lineRule="exact"/>
              <w:rPr>
                <w:sz w:val="20"/>
                <w:szCs w:val="20"/>
                <w:color w:val="auto"/>
              </w:rPr>
            </w:pPr>
            <w:r>
              <w:rPr>
                <w:rFonts w:ascii="Arial" w:cs="Arial" w:eastAsia="Arial" w:hAnsi="Arial"/>
                <w:sz w:val="21"/>
                <w:szCs w:val="21"/>
                <w:b w:val="1"/>
                <w:bCs w:val="1"/>
                <w:i w:val="1"/>
                <w:iCs w:val="1"/>
                <w:color w:val="auto"/>
              </w:rPr>
              <w:t>$ 0</w:t>
            </w:r>
          </w:p>
        </w:tc>
      </w:tr>
      <w:tr>
        <w:trPr>
          <w:trHeight w:val="188"/>
        </w:trPr>
        <w:tc>
          <w:tcPr>
            <w:tcW w:w="17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i w:val="1"/>
                <w:iCs w:val="1"/>
                <w:color w:val="auto"/>
              </w:rPr>
              <w:t>October 11</w:t>
            </w:r>
          </w:p>
        </w:tc>
        <w:tc>
          <w:tcPr>
            <w:tcW w:w="182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r>
      <w:tr>
        <w:trPr>
          <w:trHeight w:val="122"/>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October 11, 2013, Brandon has resolved, by means of settlement or dismissal, 9,787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24" w:name="page25"/>
    <w:bookmarkEnd w:id="24"/>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6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 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Stockholders’ Equity: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Class A</w:t>
            </w: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Class B</w:t>
            </w:r>
          </w:p>
        </w:tc>
        <w:tc>
          <w:tcPr>
            <w:tcW w:w="10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Additional</w:t>
            </w:r>
          </w:p>
        </w:tc>
        <w:tc>
          <w:tcPr>
            <w:tcW w:w="10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Accumulated</w:t>
            </w:r>
          </w:p>
        </w:tc>
        <w:tc>
          <w:tcPr>
            <w:tcW w:w="1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95"/>
        </w:trPr>
        <w:tc>
          <w:tcPr>
            <w:tcW w:w="35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 thousands)</w:t>
            </w:r>
          </w:p>
        </w:tc>
        <w:tc>
          <w:tcPr>
            <w:tcW w:w="9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0" w:type="dxa"/>
            <w:vAlign w:val="bottom"/>
            <w:vMerge w:val="restart"/>
          </w:tcPr>
          <w:p>
            <w:pPr>
              <w:jc w:val="right"/>
              <w:ind w:right="70"/>
              <w:spacing w:after="0" w:line="202" w:lineRule="exact"/>
              <w:rPr>
                <w:sz w:val="20"/>
                <w:szCs w:val="20"/>
                <w:color w:val="auto"/>
              </w:rPr>
            </w:pPr>
            <w:r>
              <w:rPr>
                <w:rFonts w:ascii="Arial" w:cs="Arial" w:eastAsia="Arial" w:hAnsi="Arial"/>
                <w:sz w:val="18"/>
                <w:szCs w:val="18"/>
                <w:color w:val="auto"/>
              </w:rPr>
              <w:t>Retained</w:t>
            </w:r>
          </w:p>
        </w:tc>
        <w:tc>
          <w:tcPr>
            <w:tcW w:w="14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items of other</w:t>
            </w:r>
          </w:p>
        </w:tc>
        <w:tc>
          <w:tcPr>
            <w:tcW w:w="1220" w:type="dxa"/>
            <w:vAlign w:val="bottom"/>
            <w:vMerge w:val="restart"/>
          </w:tcPr>
          <w:p>
            <w:pPr>
              <w:ind w:left="100"/>
              <w:spacing w:after="0" w:line="202" w:lineRule="exact"/>
              <w:rPr>
                <w:sz w:val="20"/>
                <w:szCs w:val="20"/>
                <w:color w:val="auto"/>
              </w:rPr>
            </w:pPr>
            <w:r>
              <w:rPr>
                <w:rFonts w:ascii="Arial" w:cs="Arial" w:eastAsia="Arial" w:hAnsi="Arial"/>
                <w:sz w:val="18"/>
                <w:szCs w:val="18"/>
                <w:color w:val="auto"/>
              </w:rPr>
              <w:t>Treasury</w:t>
            </w: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60" w:type="dxa"/>
            <w:vAlign w:val="bottom"/>
            <w:vMerge w:val="continue"/>
          </w:tcPr>
          <w:p>
            <w:pPr>
              <w:spacing w:after="0"/>
              <w:rPr>
                <w:sz w:val="9"/>
                <w:szCs w:val="9"/>
                <w:color w:val="auto"/>
              </w:rPr>
            </w:pPr>
          </w:p>
        </w:tc>
        <w:tc>
          <w:tcPr>
            <w:tcW w:w="9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Common</w:t>
            </w:r>
          </w:p>
        </w:tc>
        <w:tc>
          <w:tcPr>
            <w:tcW w:w="94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Common</w:t>
            </w:r>
          </w:p>
        </w:tc>
        <w:tc>
          <w:tcPr>
            <w:tcW w:w="1040" w:type="dxa"/>
            <w:vAlign w:val="bottom"/>
            <w:vMerge w:val="restart"/>
          </w:tcPr>
          <w:p>
            <w:pPr>
              <w:jc w:val="right"/>
              <w:ind w:right="190"/>
              <w:spacing w:after="0" w:line="202" w:lineRule="exact"/>
              <w:rPr>
                <w:sz w:val="20"/>
                <w:szCs w:val="20"/>
                <w:color w:val="auto"/>
              </w:rPr>
            </w:pPr>
            <w:r>
              <w:rPr>
                <w:rFonts w:ascii="Arial" w:cs="Arial" w:eastAsia="Arial" w:hAnsi="Arial"/>
                <w:sz w:val="18"/>
                <w:szCs w:val="18"/>
                <w:color w:val="auto"/>
              </w:rPr>
              <w:t>paid in</w:t>
            </w:r>
          </w:p>
        </w:tc>
        <w:tc>
          <w:tcPr>
            <w:tcW w:w="100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00" w:type="dxa"/>
            <w:vAlign w:val="bottom"/>
            <w:vMerge w:val="restart"/>
          </w:tcPr>
          <w:p>
            <w:pPr>
              <w:ind w:left="80"/>
              <w:spacing w:after="0" w:line="202" w:lineRule="exact"/>
              <w:rPr>
                <w:sz w:val="20"/>
                <w:szCs w:val="20"/>
                <w:color w:val="auto"/>
              </w:rPr>
            </w:pPr>
            <w:r>
              <w:rPr>
                <w:rFonts w:ascii="Arial" w:cs="Arial" w:eastAsia="Arial" w:hAnsi="Arial"/>
                <w:sz w:val="18"/>
                <w:szCs w:val="18"/>
                <w:color w:val="auto"/>
              </w:rPr>
              <w:t>Shareholders’</w:t>
            </w:r>
          </w:p>
        </w:tc>
        <w:tc>
          <w:tcPr>
            <w:tcW w:w="0" w:type="dxa"/>
            <w:vAlign w:val="bottom"/>
          </w:tcPr>
          <w:p>
            <w:pPr>
              <w:spacing w:after="0"/>
              <w:rPr>
                <w:sz w:val="1"/>
                <w:szCs w:val="1"/>
                <w:color w:val="auto"/>
              </w:rPr>
            </w:pPr>
          </w:p>
        </w:tc>
      </w:tr>
      <w:tr>
        <w:trPr>
          <w:trHeight w:val="95"/>
        </w:trPr>
        <w:tc>
          <w:tcPr>
            <w:tcW w:w="35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0" w:type="dxa"/>
            <w:vAlign w:val="bottom"/>
            <w:vMerge w:val="restart"/>
          </w:tcPr>
          <w:p>
            <w:pPr>
              <w:jc w:val="right"/>
              <w:ind w:right="90"/>
              <w:spacing w:after="0" w:line="202" w:lineRule="exact"/>
              <w:rPr>
                <w:sz w:val="20"/>
                <w:szCs w:val="20"/>
                <w:color w:val="auto"/>
              </w:rPr>
            </w:pPr>
            <w:r>
              <w:rPr>
                <w:rFonts w:ascii="Arial" w:cs="Arial" w:eastAsia="Arial" w:hAnsi="Arial"/>
                <w:sz w:val="18"/>
                <w:szCs w:val="18"/>
                <w:color w:val="auto"/>
              </w:rPr>
              <w:t>earnings</w:t>
            </w:r>
          </w:p>
        </w:tc>
        <w:tc>
          <w:tcPr>
            <w:tcW w:w="14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comprehensive</w:t>
            </w:r>
          </w:p>
        </w:tc>
        <w:tc>
          <w:tcPr>
            <w:tcW w:w="1220" w:type="dxa"/>
            <w:vAlign w:val="bottom"/>
            <w:vMerge w:val="restart"/>
          </w:tcPr>
          <w:p>
            <w:pPr>
              <w:ind w:left="100"/>
              <w:spacing w:after="0" w:line="202" w:lineRule="exact"/>
              <w:rPr>
                <w:sz w:val="20"/>
                <w:szCs w:val="20"/>
                <w:color w:val="auto"/>
              </w:rPr>
            </w:pPr>
            <w:r>
              <w:rPr>
                <w:rFonts w:ascii="Arial" w:cs="Arial" w:eastAsia="Arial" w:hAnsi="Arial"/>
                <w:sz w:val="18"/>
                <w:szCs w:val="18"/>
                <w:color w:val="auto"/>
              </w:rPr>
              <w:t>stock</w:t>
            </w: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rPr>
              <w:t>Stock</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7"/>
              </w:rPr>
              <w:t>Stock</w:t>
            </w:r>
          </w:p>
        </w:tc>
        <w:tc>
          <w:tcPr>
            <w:tcW w:w="1040" w:type="dxa"/>
            <w:vAlign w:val="bottom"/>
            <w:vMerge w:val="restart"/>
          </w:tcPr>
          <w:p>
            <w:pPr>
              <w:jc w:val="right"/>
              <w:ind w:right="190"/>
              <w:spacing w:after="0"/>
              <w:rPr>
                <w:sz w:val="20"/>
                <w:szCs w:val="20"/>
                <w:color w:val="auto"/>
              </w:rPr>
            </w:pPr>
            <w:r>
              <w:rPr>
                <w:rFonts w:ascii="Arial" w:cs="Arial" w:eastAsia="Arial" w:hAnsi="Arial"/>
                <w:sz w:val="18"/>
                <w:szCs w:val="18"/>
                <w:color w:val="auto"/>
              </w:rPr>
              <w:t>capital</w:t>
            </w:r>
          </w:p>
        </w:tc>
        <w:tc>
          <w:tcPr>
            <w:tcW w:w="100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109"/>
        </w:trPr>
        <w:tc>
          <w:tcPr>
            <w:tcW w:w="35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40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income</w:t>
            </w:r>
          </w:p>
        </w:tc>
        <w:tc>
          <w:tcPr>
            <w:tcW w:w="12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5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00"/>
              <w:spacing w:after="0" w:line="195" w:lineRule="exact"/>
              <w:rPr>
                <w:sz w:val="20"/>
                <w:szCs w:val="20"/>
                <w:color w:val="auto"/>
              </w:rPr>
            </w:pPr>
            <w:r>
              <w:rPr>
                <w:rFonts w:ascii="Arial" w:cs="Arial" w:eastAsia="Arial" w:hAnsi="Arial"/>
                <w:sz w:val="18"/>
                <w:szCs w:val="18"/>
                <w:color w:val="auto"/>
              </w:rPr>
              <w:t>December 31, 2012</w:t>
            </w:r>
          </w:p>
        </w:tc>
        <w:tc>
          <w:tcPr>
            <w:tcW w:w="9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$37</w:t>
            </w:r>
          </w:p>
        </w:tc>
        <w:tc>
          <w:tcPr>
            <w:tcW w:w="9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w:t>
            </w:r>
          </w:p>
        </w:tc>
        <w:tc>
          <w:tcPr>
            <w:tcW w:w="10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$395,381</w:t>
            </w: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$435,775</w:t>
            </w: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($80,021)</w:t>
            </w:r>
          </w:p>
        </w:tc>
        <w:tc>
          <w:tcPr>
            <w:tcW w:w="1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($257,664)</w:t>
            </w:r>
          </w:p>
        </w:tc>
        <w:tc>
          <w:tcPr>
            <w:tcW w:w="1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$493,511</w:t>
            </w:r>
          </w:p>
        </w:tc>
        <w:tc>
          <w:tcPr>
            <w:tcW w:w="0" w:type="dxa"/>
            <w:vAlign w:val="bottom"/>
          </w:tcPr>
          <w:p>
            <w:pPr>
              <w:spacing w:after="0"/>
              <w:rPr>
                <w:sz w:val="1"/>
                <w:szCs w:val="1"/>
                <w:color w:val="auto"/>
              </w:rPr>
            </w:pPr>
          </w:p>
        </w:tc>
      </w:tr>
      <w:tr>
        <w:trPr>
          <w:trHeight w:val="203"/>
        </w:trPr>
        <w:tc>
          <w:tcPr>
            <w:tcW w:w="3560" w:type="dxa"/>
            <w:vAlign w:val="bottom"/>
          </w:tcPr>
          <w:p>
            <w:pPr>
              <w:ind w:left="100"/>
              <w:spacing w:after="0" w:line="202" w:lineRule="exact"/>
              <w:rPr>
                <w:sz w:val="20"/>
                <w:szCs w:val="20"/>
                <w:color w:val="auto"/>
              </w:rPr>
            </w:pPr>
            <w:r>
              <w:rPr>
                <w:rFonts w:ascii="Arial" w:cs="Arial" w:eastAsia="Arial" w:hAnsi="Arial"/>
                <w:sz w:val="18"/>
                <w:szCs w:val="18"/>
                <w:color w:val="auto"/>
              </w:rPr>
              <w:t>Net income</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8,830</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03"/>
        </w:trPr>
        <w:tc>
          <w:tcPr>
            <w:tcW w:w="3560" w:type="dxa"/>
            <w:vAlign w:val="bottom"/>
          </w:tcPr>
          <w:p>
            <w:pPr>
              <w:ind w:left="100"/>
              <w:spacing w:after="0" w:line="202" w:lineRule="exact"/>
              <w:rPr>
                <w:sz w:val="20"/>
                <w:szCs w:val="20"/>
                <w:color w:val="auto"/>
              </w:rPr>
            </w:pPr>
            <w:r>
              <w:rPr>
                <w:rFonts w:ascii="Arial" w:cs="Arial" w:eastAsia="Arial" w:hAnsi="Arial"/>
                <w:sz w:val="18"/>
                <w:szCs w:val="18"/>
                <w:color w:val="auto"/>
              </w:rPr>
              <w:t>Dividends declared</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(13,929)</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r>
        <w:trPr>
          <w:trHeight w:val="203"/>
        </w:trPr>
        <w:tc>
          <w:tcPr>
            <w:tcW w:w="3560" w:type="dxa"/>
            <w:vAlign w:val="bottom"/>
          </w:tcPr>
          <w:p>
            <w:pPr>
              <w:ind w:left="100"/>
              <w:spacing w:after="0" w:line="202" w:lineRule="exact"/>
              <w:rPr>
                <w:sz w:val="20"/>
                <w:szCs w:val="20"/>
                <w:color w:val="auto"/>
              </w:rPr>
            </w:pPr>
            <w:r>
              <w:rPr>
                <w:rFonts w:ascii="Arial" w:cs="Arial" w:eastAsia="Arial" w:hAnsi="Arial"/>
                <w:sz w:val="18"/>
                <w:szCs w:val="18"/>
                <w:color w:val="auto"/>
              </w:rPr>
              <w:t>Compensation and benefits paid or</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(1,024)</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109"/>
        </w:trPr>
        <w:tc>
          <w:tcPr>
            <w:tcW w:w="3560" w:type="dxa"/>
            <w:vAlign w:val="bottom"/>
            <w:vMerge w:val="restart"/>
          </w:tcPr>
          <w:p>
            <w:pPr>
              <w:ind w:left="100"/>
              <w:spacing w:after="0" w:line="202" w:lineRule="exact"/>
              <w:rPr>
                <w:sz w:val="20"/>
                <w:szCs w:val="20"/>
                <w:color w:val="auto"/>
              </w:rPr>
            </w:pPr>
            <w:r>
              <w:rPr>
                <w:rFonts w:ascii="Arial" w:cs="Arial" w:eastAsia="Arial" w:hAnsi="Arial"/>
                <w:sz w:val="18"/>
                <w:szCs w:val="18"/>
                <w:color w:val="auto"/>
              </w:rPr>
              <w:t>payable in Class A Common Stock</w:t>
            </w:r>
          </w:p>
        </w:tc>
        <w:tc>
          <w:tcPr>
            <w:tcW w:w="9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5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00"/>
              <w:spacing w:after="0"/>
              <w:rPr>
                <w:sz w:val="20"/>
                <w:szCs w:val="20"/>
                <w:color w:val="auto"/>
              </w:rPr>
            </w:pPr>
            <w:r>
              <w:rPr>
                <w:rFonts w:ascii="Arial" w:cs="Arial" w:eastAsia="Arial" w:hAnsi="Arial"/>
                <w:sz w:val="18"/>
                <w:szCs w:val="18"/>
                <w:color w:val="auto"/>
              </w:rPr>
              <w:t>Options exercised</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5,572</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17"/>
        </w:trPr>
        <w:tc>
          <w:tcPr>
            <w:tcW w:w="3560" w:type="dxa"/>
            <w:vAlign w:val="bottom"/>
          </w:tcPr>
          <w:p>
            <w:pPr>
              <w:ind w:left="100"/>
              <w:spacing w:after="0"/>
              <w:rPr>
                <w:sz w:val="20"/>
                <w:szCs w:val="20"/>
                <w:color w:val="auto"/>
              </w:rPr>
            </w:pPr>
            <w:r>
              <w:rPr>
                <w:rFonts w:ascii="Arial" w:cs="Arial" w:eastAsia="Arial" w:hAnsi="Arial"/>
                <w:sz w:val="18"/>
                <w:szCs w:val="18"/>
                <w:color w:val="auto"/>
              </w:rPr>
              <w:t>Shares issued to Directors</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5"/>
        </w:trPr>
        <w:tc>
          <w:tcPr>
            <w:tcW w:w="3560" w:type="dxa"/>
            <w:vAlign w:val="bottom"/>
          </w:tcPr>
          <w:p>
            <w:pPr>
              <w:ind w:left="100"/>
              <w:spacing w:after="0"/>
              <w:rPr>
                <w:sz w:val="20"/>
                <w:szCs w:val="20"/>
                <w:color w:val="auto"/>
              </w:rPr>
            </w:pPr>
            <w:r>
              <w:rPr>
                <w:rFonts w:ascii="Arial" w:cs="Arial" w:eastAsia="Arial" w:hAnsi="Arial"/>
                <w:sz w:val="18"/>
                <w:szCs w:val="18"/>
                <w:color w:val="auto"/>
              </w:rPr>
              <w:t>Cumulative translation adjustment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3,998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03"/>
        </w:trPr>
        <w:tc>
          <w:tcPr>
            <w:tcW w:w="3560" w:type="dxa"/>
            <w:vAlign w:val="bottom"/>
          </w:tcPr>
          <w:p>
            <w:pPr>
              <w:ind w:left="100"/>
              <w:spacing w:after="0" w:line="202" w:lineRule="exact"/>
              <w:rPr>
                <w:sz w:val="20"/>
                <w:szCs w:val="20"/>
                <w:color w:val="auto"/>
              </w:rPr>
            </w:pPr>
            <w:r>
              <w:rPr>
                <w:rFonts w:ascii="Arial" w:cs="Arial" w:eastAsia="Arial" w:hAnsi="Arial"/>
                <w:sz w:val="18"/>
                <w:szCs w:val="18"/>
                <w:color w:val="auto"/>
              </w:rPr>
              <w:t>Change in pension liability adjustment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15,613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15,613</w:t>
            </w:r>
          </w:p>
        </w:tc>
        <w:tc>
          <w:tcPr>
            <w:tcW w:w="0" w:type="dxa"/>
            <w:vAlign w:val="bottom"/>
          </w:tcPr>
          <w:p>
            <w:pPr>
              <w:spacing w:after="0"/>
              <w:rPr>
                <w:sz w:val="1"/>
                <w:szCs w:val="1"/>
                <w:color w:val="auto"/>
              </w:rPr>
            </w:pPr>
          </w:p>
        </w:tc>
      </w:tr>
      <w:tr>
        <w:trPr>
          <w:trHeight w:val="203"/>
        </w:trPr>
        <w:tc>
          <w:tcPr>
            <w:tcW w:w="35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Change in derivative valuation adjustment</w:t>
            </w:r>
          </w:p>
        </w:tc>
        <w:tc>
          <w:tcPr>
            <w:tcW w:w="9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1,509</w:t>
            </w: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September 30, 2013</w:t>
            </w: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$37</w:t>
            </w: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$399,973</w:t>
            </w: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$430,676</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($58,901)</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($257,571)</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$514,217</w:t>
            </w:r>
          </w:p>
        </w:tc>
        <w:tc>
          <w:tcPr>
            <w:tcW w:w="0" w:type="dxa"/>
            <w:vAlign w:val="bottom"/>
          </w:tcPr>
          <w:p>
            <w:pPr>
              <w:spacing w:after="0"/>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 Accounting Pronouncements</w:t>
      </w:r>
    </w:p>
    <w:p>
      <w:pPr>
        <w:spacing w:after="0" w:line="220"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In February 2013, the Financial Accounting Standards Board (FASB) issued ASU 2013-02 which requires enhanced disclosures about changes in Accumulated Other Comprehensive Income. We adopted these provisions in the first quarter of 2013 by adding a Note to the Consolidated Financial Statements that provides the additional disclosures.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ind w:right="100" w:firstLine="648"/>
        <w:spacing w:after="0" w:line="238" w:lineRule="auto"/>
        <w:rPr>
          <w:sz w:val="20"/>
          <w:szCs w:val="20"/>
          <w:color w:val="auto"/>
        </w:rPr>
      </w:pPr>
      <w:r>
        <w:rPr>
          <w:rFonts w:ascii="Arial" w:cs="Arial" w:eastAsia="Arial" w:hAnsi="Arial"/>
          <w:sz w:val="18"/>
          <w:szCs w:val="18"/>
          <w:color w:val="auto"/>
        </w:rPr>
        <w:t>In the first quarter of 2013, the Company adopted the provisions of ASU 2013-01 which requires enhanced disclosures of the effect or potential effect of netting arrangements on an entity’s financial position. This includes the effect or potential effect of rights of setoff associated with an entity’s recognized assets and recognized liabilities within the scope of this Update. The Company has interest rate swap agreements that are within the scope of Update and we have added additional disclosure in the Notes to Consolidated Financial Statements about the offsetting asset and liability components of that agreement.</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July 2013, amended accounting guidance was issued regarding the financial statement presentation of an unrecognized tax benefit when a net operating loss carryforward, a similar tax loss or a tax credit carryforward exists. This guidance is effective prospectively for annual and interim reporting periods beginning after December 15, 2013. The adoption of this standard is not expected to have a material effect on the Company’s financial position, results of operations or cash flows.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26" w:name="page27"/>
    <w:bookmarkEnd w:id="26"/>
    <w:p>
      <w:pPr>
        <w:ind w:right="1600"/>
        <w:spacing w:after="0" w:line="446"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b w:val="1"/>
          <w:bCs w:val="1"/>
          <w:color w:val="auto"/>
        </w:rPr>
        <w:t>Forward-looking statements</w:t>
      </w:r>
    </w:p>
    <w:p>
      <w:pPr>
        <w:spacing w:after="0" w:line="1"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“project,” “will,” “should” and similar expressions identify forward-looking statements, which generally are not historical in nature. Forward-looking statements are subject to certain risks and uncertainties (including, without limitation, those set forth in the Company’s most recent Annual Report on Form 10-K or prior Quarterly Reports on Form 10-Q) that could cause actual results to differ materially from the Company’s historical experience and our present expectations or projections.</w:t>
      </w:r>
    </w:p>
    <w:p>
      <w:pPr>
        <w:spacing w:after="0" w:line="16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Forward-looking statements in this quarterly report include, without limitation, statements about economic and paper industry trends and conditions during 2013 and in future years; sales, EBITDA, Adjusted EBITDA and operating income expectations in 2013 and in future periods in each of the Company’s businesses and for the Company as a whole; the timing and impact of production and development programs in the Company’s AEC business segment and AEC sales growth potential; the amount and timing of capital expenditures, future tax rates and cash paid for taxes, depreciation and amortization; the amount and timing of charges related to announced restructuring activities; future debt levels and debt covenant ratios, and future revaluation gains and losses. Furthermore, a change in any one or more of the foregoing factors could have a material effect on the Company’s financial results in any period. Such statements are based on current expectations, and the Company undertakes no obligation to publicly update or revise any forward-looking statements.</w:t>
      </w:r>
    </w:p>
    <w:p>
      <w:pPr>
        <w:spacing w:after="0" w:line="168"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Statements expressing management’s assessments of the growth potential of its businesses, or referring to earlier assessments of such potential, are not intended as forecasts of actual future growth, and should not be relied on as such. While management believes such assessments to have a reasonable basis, such assessments are, by their nature, inherently uncertain. This release and earlier releases set forth a number of assumptions regarding these assessments, including historical results, independent forecasts regarding the markets in which these businesses operate, and the timing and magnitude of orders for our customers’ products. Historical growth rates are no guarantee of future growth, and such independent forecasts and assumptions could prove materially incorrect, in some cases.</w:t>
      </w:r>
    </w:p>
    <w:p>
      <w:pPr>
        <w:spacing w:after="0" w:line="178"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the “Business Environment and Trends,” “Liquidity and Capital Resources,” and “Legal Proceedings” sections of this quarterly report, in Note 15 of Notes to Consolidated Financial Statements, as well as in the “Risk Factors”, section of our most recent Annual Report on Form 10-K. Although we believe the expectations reflected in our forward-looking statements are based upon reasonable assumptions, it is not possible to foresee or identify all factors that could have a material and negative impact on future performance. The forward-looking statements included or incorporated by reference in this quarterly report are made on the basis of our assumptions and analyses, as of the time the statements are made, in light of their experience and perception of historical conditions, expected future developments and other factors believed to be appropriate under the circumstances.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7" w:name="page28"/>
    <w:bookmarkEnd w:id="27"/>
    <w:p>
      <w:pPr>
        <w:ind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89" w:lineRule="exact"/>
        <w:rPr>
          <w:sz w:val="20"/>
          <w:szCs w:val="20"/>
          <w:color w:val="auto"/>
        </w:rPr>
      </w:pPr>
    </w:p>
    <w:p>
      <w:pPr>
        <w:ind w:right="34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0"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Our reportable segments, Machine Clothing (MC) and Engineered Composites (AEC), draw on many of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189"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Machine Clothing is the Company’s long-established core business and primary generator of cash. While the paper and paperboard industry in our traditional geographic markets has suffered from well-documented overcapacity in publication grades, especially newsprint, the industry is still expected to grow on a global basis, driven by demand for packaging and tissue grades, as well as the expansion of paper consumption and production in Asia and South America. Although we do not consider the market for Machine Clothing as having significant growth potential, we do believe it provides the Company with significant prospects for long-term cash generation. We feel we are now well-positioned in these markets, with high-quality, low-cost production in growth markets, substantially lower fixed costs in mature markets, and continued strength in new product development, field services, and manufacturing technology.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194"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AEC supplies a number of customers in the aerospace industry. AEC’s largest aerospace customer is the Safran Group, and the most significant program is the production of fan blades and other components for the LEAP engine. AEC is also developing other new and potentially significant composite products for aerospace (engine and airframe) applications.</w:t>
      </w: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Three months ended</w:t>
            </w:r>
          </w:p>
        </w:tc>
        <w:tc>
          <w:tcPr>
            <w:tcW w:w="118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Nine months ended</w:t>
            </w:r>
          </w:p>
        </w:tc>
        <w:tc>
          <w:tcPr>
            <w:tcW w:w="880" w:type="dxa"/>
            <w:vAlign w:val="bottom"/>
            <w:tcBorders>
              <w:top w:val="single" w:sz="8" w:color="auto"/>
            </w:tcBorders>
          </w:tcPr>
          <w:p>
            <w:pPr>
              <w:spacing w:after="0"/>
              <w:rPr>
                <w:sz w:val="18"/>
                <w:szCs w:val="18"/>
                <w:color w:val="auto"/>
              </w:rPr>
            </w:pPr>
          </w:p>
        </w:tc>
      </w:tr>
      <w:tr>
        <w:trPr>
          <w:trHeight w:val="181"/>
        </w:trPr>
        <w:tc>
          <w:tcPr>
            <w:tcW w:w="3940" w:type="dxa"/>
            <w:vAlign w:val="bottom"/>
          </w:tcPr>
          <w:p>
            <w:pPr>
              <w:spacing w:after="0"/>
              <w:rPr>
                <w:sz w:val="15"/>
                <w:szCs w:val="15"/>
                <w:color w:val="auto"/>
              </w:rPr>
            </w:pPr>
          </w:p>
        </w:tc>
        <w:tc>
          <w:tcPr>
            <w:tcW w:w="2940" w:type="dxa"/>
            <w:vAlign w:val="bottom"/>
            <w:gridSpan w:val="2"/>
          </w:tcPr>
          <w:p>
            <w:pPr>
              <w:jc w:val="right"/>
              <w:ind w:right="590"/>
              <w:spacing w:after="0" w:line="181" w:lineRule="exact"/>
              <w:rPr>
                <w:sz w:val="20"/>
                <w:szCs w:val="20"/>
                <w:color w:val="auto"/>
              </w:rPr>
            </w:pPr>
            <w:r>
              <w:rPr>
                <w:rFonts w:ascii="Arial" w:cs="Arial" w:eastAsia="Arial" w:hAnsi="Arial"/>
                <w:sz w:val="18"/>
                <w:szCs w:val="18"/>
                <w:color w:val="auto"/>
              </w:rPr>
              <w:t>September 30,</w:t>
            </w:r>
          </w:p>
        </w:tc>
        <w:tc>
          <w:tcPr>
            <w:tcW w:w="1180" w:type="dxa"/>
            <w:vAlign w:val="bottom"/>
          </w:tcPr>
          <w:p>
            <w:pPr>
              <w:jc w:val="right"/>
              <w:ind w:right="570"/>
              <w:spacing w:after="0" w:line="181" w:lineRule="exact"/>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590"/>
              <w:spacing w:after="0" w:line="181" w:lineRule="exact"/>
              <w:rPr>
                <w:sz w:val="20"/>
                <w:szCs w:val="20"/>
                <w:color w:val="auto"/>
              </w:rPr>
            </w:pPr>
            <w:r>
              <w:rPr>
                <w:rFonts w:ascii="Arial" w:cs="Arial" w:eastAsia="Arial" w:hAnsi="Arial"/>
                <w:sz w:val="18"/>
                <w:szCs w:val="18"/>
                <w:color w:val="auto"/>
              </w:rPr>
              <w:t>September 30,</w:t>
            </w:r>
          </w:p>
        </w:tc>
        <w:tc>
          <w:tcPr>
            <w:tcW w:w="88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w:t>
            </w:r>
          </w:p>
        </w:tc>
      </w:tr>
      <w:tr>
        <w:trPr>
          <w:trHeight w:val="225"/>
        </w:trPr>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 except percentages)</w:t>
            </w:r>
          </w:p>
        </w:tc>
        <w:tc>
          <w:tcPr>
            <w:tcW w:w="18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Change</w:t>
            </w: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r>
      <w:tr>
        <w:trPr>
          <w:trHeight w:val="250"/>
        </w:trPr>
        <w:tc>
          <w:tcPr>
            <w:tcW w:w="3940" w:type="dxa"/>
            <w:vAlign w:val="bottom"/>
          </w:tcPr>
          <w:p>
            <w:pPr>
              <w:ind w:left="100"/>
              <w:spacing w:after="0"/>
              <w:rPr>
                <w:sz w:val="20"/>
                <w:szCs w:val="20"/>
                <w:color w:val="auto"/>
              </w:rPr>
            </w:pPr>
            <w:r>
              <w:rPr>
                <w:rFonts w:ascii="Arial" w:cs="Arial" w:eastAsia="Arial" w:hAnsi="Arial"/>
                <w:sz w:val="18"/>
                <w:szCs w:val="18"/>
                <w:color w:val="auto"/>
              </w:rPr>
              <w:t>Machine Clothing</w:t>
            </w:r>
          </w:p>
        </w:tc>
        <w:tc>
          <w:tcPr>
            <w:tcW w:w="1820" w:type="dxa"/>
            <w:vAlign w:val="bottom"/>
          </w:tcPr>
          <w:p>
            <w:pPr>
              <w:jc w:val="right"/>
              <w:ind w:right="150"/>
              <w:spacing w:after="0"/>
              <w:rPr>
                <w:sz w:val="20"/>
                <w:szCs w:val="20"/>
                <w:color w:val="auto"/>
              </w:rPr>
            </w:pPr>
            <w:r>
              <w:rPr>
                <w:rFonts w:ascii="Arial" w:cs="Arial" w:eastAsia="Arial" w:hAnsi="Arial"/>
                <w:sz w:val="18"/>
                <w:szCs w:val="18"/>
                <w:b w:val="1"/>
                <w:bCs w:val="1"/>
                <w:color w:val="auto"/>
              </w:rPr>
              <w:t>$162,864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$177,471</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-8.23%</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$507,809</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$518,881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30"/>
        </w:trPr>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Engineered Composites</w:t>
            </w:r>
          </w:p>
        </w:tc>
        <w:tc>
          <w:tcPr>
            <w:tcW w:w="1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20,283</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17,118</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18.49%</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59,966</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47,725</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25.65%</w:t>
            </w:r>
          </w:p>
        </w:tc>
      </w:tr>
      <w:tr>
        <w:trPr>
          <w:trHeight w:val="196"/>
        </w:trPr>
        <w:tc>
          <w:tcPr>
            <w:tcW w:w="39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$183,147</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$194,589</w:t>
            </w:r>
          </w:p>
        </w:tc>
        <w:tc>
          <w:tcPr>
            <w:tcW w:w="11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-5.88%</w:t>
            </w:r>
          </w:p>
        </w:tc>
        <w:tc>
          <w:tcPr>
            <w:tcW w:w="1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$567,775</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$566,606</w:t>
            </w:r>
          </w:p>
        </w:tc>
        <w:tc>
          <w:tcPr>
            <w:tcW w:w="8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0.21%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20" w:lineRule="exact"/>
        <w:rPr>
          <w:sz w:val="20"/>
          <w:szCs w:val="20"/>
          <w:color w:val="auto"/>
        </w:rPr>
      </w:pPr>
    </w:p>
    <w:p>
      <w:pPr>
        <w:ind w:left="800" w:right="700" w:hanging="135"/>
        <w:spacing w:after="0" w:line="24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$1.5 million during the third quarter of 2013 as compared to 2012.</w:t>
      </w:r>
    </w:p>
    <w:p>
      <w:pPr>
        <w:spacing w:after="0" w:line="88" w:lineRule="exact"/>
        <w:rPr>
          <w:rFonts w:ascii="Arial" w:cs="Arial" w:eastAsia="Arial" w:hAnsi="Arial"/>
          <w:sz w:val="18"/>
          <w:szCs w:val="18"/>
          <w:color w:val="auto"/>
        </w:rPr>
      </w:pPr>
    </w:p>
    <w:p>
      <w:pPr>
        <w:ind w:left="800" w:hanging="135"/>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180" w:hanging="168"/>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sales decreased 6.7% compared to the same period in 2012.</w:t>
      </w:r>
    </w:p>
    <w:p>
      <w:pPr>
        <w:spacing w:after="0" w:line="117" w:lineRule="exact"/>
        <w:rPr>
          <w:rFonts w:ascii="Arial" w:cs="Arial" w:eastAsia="Arial" w:hAnsi="Arial"/>
          <w:sz w:val="18"/>
          <w:szCs w:val="18"/>
          <w:color w:val="auto"/>
        </w:rPr>
      </w:pPr>
    </w:p>
    <w:p>
      <w:pPr>
        <w:ind w:left="1180" w:hanging="168"/>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sales in MC decreased 9.8%.</w:t>
      </w:r>
    </w:p>
    <w:p>
      <w:pPr>
        <w:spacing w:after="0" w:line="117" w:lineRule="exact"/>
        <w:rPr>
          <w:rFonts w:ascii="Arial" w:cs="Arial" w:eastAsia="Arial" w:hAnsi="Arial"/>
          <w:sz w:val="18"/>
          <w:szCs w:val="18"/>
          <w:color w:val="auto"/>
        </w:rPr>
      </w:pPr>
    </w:p>
    <w:p>
      <w:pPr>
        <w:ind w:left="1180" w:hanging="168"/>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sales in Engineered Composites increased 18.5%.</w:t>
      </w:r>
    </w:p>
    <w:p>
      <w:pPr>
        <w:spacing w:after="0" w:line="117" w:lineRule="exact"/>
        <w:rPr>
          <w:rFonts w:ascii="Arial" w:cs="Arial" w:eastAsia="Arial" w:hAnsi="Arial"/>
          <w:sz w:val="18"/>
          <w:szCs w:val="18"/>
          <w:color w:val="auto"/>
        </w:rPr>
      </w:pPr>
    </w:p>
    <w:p>
      <w:pPr>
        <w:ind w:left="800" w:right="720" w:hanging="135"/>
        <w:spacing w:after="0" w:line="24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Summer slowdowns in 2013 were more severe than expected and sales in Asia were 10% below the third quarter of 2012 as customer operating rates in both packaging and publication grades remained soft.</w:t>
      </w:r>
    </w:p>
    <w:p>
      <w:pPr>
        <w:spacing w:after="0" w:line="88" w:lineRule="exact"/>
        <w:rPr>
          <w:rFonts w:ascii="Arial" w:cs="Arial" w:eastAsia="Arial" w:hAnsi="Arial"/>
          <w:sz w:val="18"/>
          <w:szCs w:val="18"/>
          <w:color w:val="auto"/>
        </w:rPr>
      </w:pPr>
    </w:p>
    <w:p>
      <w:pPr>
        <w:ind w:left="800" w:hanging="135"/>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Q3 2012 included a change in contract terms with a North American MC customer that increased sales by $8.0 million.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20" w:lineRule="exact"/>
        <w:rPr>
          <w:sz w:val="20"/>
          <w:szCs w:val="20"/>
          <w:color w:val="auto"/>
        </w:rPr>
      </w:pPr>
    </w:p>
    <w:p>
      <w:pPr>
        <w:ind w:left="800" w:hanging="13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$1.2 million during 2013 as compared to 2012.</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180" w:hanging="168"/>
        <w:spacing w:after="0"/>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were flat compared to the same period in 2012.</w:t>
      </w:r>
    </w:p>
    <w:p>
      <w:pPr>
        <w:spacing w:after="0" w:line="117" w:lineRule="exact"/>
        <w:rPr>
          <w:rFonts w:ascii="Arial" w:cs="Arial" w:eastAsia="Arial" w:hAnsi="Arial"/>
          <w:sz w:val="18"/>
          <w:szCs w:val="18"/>
          <w:color w:val="auto"/>
        </w:rPr>
      </w:pPr>
    </w:p>
    <w:p>
      <w:pPr>
        <w:ind w:left="1180" w:hanging="168"/>
        <w:spacing w:after="0"/>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MC decreased 2.4%.</w:t>
      </w:r>
    </w:p>
    <w:p>
      <w:pPr>
        <w:spacing w:after="0" w:line="117" w:lineRule="exact"/>
        <w:rPr>
          <w:rFonts w:ascii="Arial" w:cs="Arial" w:eastAsia="Arial" w:hAnsi="Arial"/>
          <w:sz w:val="18"/>
          <w:szCs w:val="18"/>
          <w:color w:val="auto"/>
        </w:rPr>
      </w:pPr>
    </w:p>
    <w:p>
      <w:pPr>
        <w:ind w:left="1180" w:hanging="168"/>
        <w:spacing w:after="0"/>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Engineered Composites increased 25.6%.</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Q3 2012 included a change in contract terms with a North American MC customer that increased sales by $8.0 million.</w:t>
      </w: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Gross Profit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Borders>
              <w:top w:val="single" w:sz="8" w:color="auto"/>
            </w:tcBorders>
          </w:tcPr>
          <w:p>
            <w:pPr>
              <w:spacing w:after="0"/>
              <w:rPr>
                <w:sz w:val="18"/>
                <w:szCs w:val="18"/>
                <w:color w:val="auto"/>
              </w:rPr>
            </w:pPr>
          </w:p>
        </w:tc>
        <w:tc>
          <w:tcPr>
            <w:tcW w:w="4600" w:type="dxa"/>
            <w:vAlign w:val="bottom"/>
            <w:tcBorders>
              <w:top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Three months ended</w:t>
            </w:r>
          </w:p>
        </w:tc>
        <w:tc>
          <w:tcPr>
            <w:tcW w:w="246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181"/>
        </w:trPr>
        <w:tc>
          <w:tcPr>
            <w:tcW w:w="4360" w:type="dxa"/>
            <w:vAlign w:val="bottom"/>
          </w:tcPr>
          <w:p>
            <w:pPr>
              <w:spacing w:after="0"/>
              <w:rPr>
                <w:sz w:val="15"/>
                <w:szCs w:val="15"/>
                <w:color w:val="auto"/>
              </w:rPr>
            </w:pPr>
          </w:p>
        </w:tc>
        <w:tc>
          <w:tcPr>
            <w:tcW w:w="4600" w:type="dxa"/>
            <w:vAlign w:val="bottom"/>
            <w:gridSpan w:val="2"/>
          </w:tcPr>
          <w:p>
            <w:pPr>
              <w:jc w:val="right"/>
              <w:ind w:right="850"/>
              <w:spacing w:after="0" w:line="181" w:lineRule="exact"/>
              <w:rPr>
                <w:sz w:val="20"/>
                <w:szCs w:val="20"/>
                <w:color w:val="auto"/>
              </w:rPr>
            </w:pPr>
            <w:r>
              <w:rPr>
                <w:rFonts w:ascii="Arial" w:cs="Arial" w:eastAsia="Arial" w:hAnsi="Arial"/>
                <w:sz w:val="18"/>
                <w:szCs w:val="18"/>
                <w:color w:val="auto"/>
              </w:rPr>
              <w:t>September 30,</w:t>
            </w:r>
          </w:p>
        </w:tc>
        <w:tc>
          <w:tcPr>
            <w:tcW w:w="2460" w:type="dxa"/>
            <w:vAlign w:val="bottom"/>
            <w:gridSpan w:val="2"/>
          </w:tcPr>
          <w:p>
            <w:pPr>
              <w:jc w:val="right"/>
              <w:ind w:right="570"/>
              <w:spacing w:after="0" w:line="181" w:lineRule="exact"/>
              <w:rPr>
                <w:sz w:val="20"/>
                <w:szCs w:val="20"/>
                <w:color w:val="auto"/>
              </w:rPr>
            </w:pPr>
            <w:r>
              <w:rPr>
                <w:rFonts w:ascii="Arial" w:cs="Arial" w:eastAsia="Arial" w:hAnsi="Arial"/>
                <w:sz w:val="18"/>
                <w:szCs w:val="18"/>
                <w:color w:val="auto"/>
              </w:rPr>
              <w:t>September 30,</w:t>
            </w:r>
          </w:p>
        </w:tc>
      </w:tr>
      <w:tr>
        <w:trPr>
          <w:trHeight w:val="225"/>
        </w:trPr>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 except percentages)</w:t>
            </w:r>
          </w:p>
        </w:tc>
        <w:tc>
          <w:tcPr>
            <w:tcW w:w="3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2012</w:t>
            </w: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r>
      <w:tr>
        <w:trPr>
          <w:trHeight w:val="250"/>
        </w:trPr>
        <w:tc>
          <w:tcPr>
            <w:tcW w:w="4360" w:type="dxa"/>
            <w:vAlign w:val="bottom"/>
          </w:tcPr>
          <w:p>
            <w:pPr>
              <w:ind w:left="100"/>
              <w:spacing w:after="0"/>
              <w:rPr>
                <w:sz w:val="20"/>
                <w:szCs w:val="20"/>
                <w:color w:val="auto"/>
              </w:rPr>
            </w:pPr>
            <w:r>
              <w:rPr>
                <w:rFonts w:ascii="Arial" w:cs="Arial" w:eastAsia="Arial" w:hAnsi="Arial"/>
                <w:sz w:val="18"/>
                <w:szCs w:val="18"/>
                <w:color w:val="auto"/>
              </w:rPr>
              <w:t>Machine Clothing</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$67,773</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$79,195</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$219,559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$225,440</w:t>
            </w:r>
          </w:p>
        </w:tc>
      </w:tr>
      <w:tr>
        <w:trPr>
          <w:trHeight w:val="243"/>
        </w:trPr>
        <w:tc>
          <w:tcPr>
            <w:tcW w:w="4360" w:type="dxa"/>
            <w:vAlign w:val="bottom"/>
          </w:tcPr>
          <w:p>
            <w:pPr>
              <w:ind w:left="100"/>
              <w:spacing w:after="0"/>
              <w:rPr>
                <w:sz w:val="20"/>
                <w:szCs w:val="20"/>
                <w:color w:val="auto"/>
              </w:rPr>
            </w:pPr>
            <w:r>
              <w:rPr>
                <w:rFonts w:ascii="Arial" w:cs="Arial" w:eastAsia="Arial" w:hAnsi="Arial"/>
                <w:sz w:val="18"/>
                <w:szCs w:val="18"/>
                <w:color w:val="auto"/>
              </w:rPr>
              <w:t>Engineered Composites</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1,061</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1,515</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1,542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4,218</w:t>
            </w:r>
          </w:p>
        </w:tc>
      </w:tr>
      <w:tr>
        <w:trPr>
          <w:trHeight w:val="230"/>
        </w:trPr>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3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(833)</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(1,059)</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(2,898)</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(3,221)</w:t>
            </w:r>
          </w:p>
        </w:tc>
      </w:tr>
      <w:tr>
        <w:trPr>
          <w:trHeight w:val="196"/>
        </w:trPr>
        <w:tc>
          <w:tcPr>
            <w:tcW w:w="4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2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$68,001</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$79,651</w:t>
            </w:r>
          </w:p>
        </w:tc>
        <w:tc>
          <w:tcPr>
            <w:tcW w:w="1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$218,203</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$226,437</w:t>
            </w:r>
          </w:p>
        </w:tc>
      </w:tr>
      <w:tr>
        <w:trPr>
          <w:trHeight w:val="196"/>
        </w:trPr>
        <w:tc>
          <w:tcPr>
            <w:tcW w:w="4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of Net Sales</w:t>
            </w:r>
          </w:p>
        </w:tc>
        <w:tc>
          <w:tcPr>
            <w:tcW w:w="32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37.1%</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40.9%</w:t>
            </w:r>
          </w:p>
        </w:tc>
        <w:tc>
          <w:tcPr>
            <w:tcW w:w="1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38.4%</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40.0%</w:t>
            </w:r>
          </w:p>
        </w:tc>
      </w:tr>
      <w:tr>
        <w:trPr>
          <w:trHeight w:val="520"/>
        </w:trPr>
        <w:tc>
          <w:tcPr>
            <w:tcW w:w="4360" w:type="dxa"/>
            <w:vAlign w:val="bottom"/>
          </w:tcPr>
          <w:p>
            <w:pPr>
              <w:spacing w:after="0"/>
              <w:rPr>
                <w:sz w:val="24"/>
                <w:szCs w:val="24"/>
                <w:color w:val="auto"/>
              </w:rPr>
            </w:pPr>
          </w:p>
        </w:tc>
        <w:tc>
          <w:tcPr>
            <w:tcW w:w="3240" w:type="dxa"/>
            <w:vAlign w:val="bottom"/>
          </w:tcPr>
          <w:p>
            <w:pPr>
              <w:jc w:val="right"/>
              <w:ind w:right="1690"/>
              <w:spacing w:after="0"/>
              <w:rPr>
                <w:sz w:val="20"/>
                <w:szCs w:val="20"/>
                <w:color w:val="auto"/>
              </w:rPr>
            </w:pPr>
            <w:r>
              <w:rPr>
                <w:rFonts w:ascii="Arial" w:cs="Arial" w:eastAsia="Arial" w:hAnsi="Arial"/>
                <w:sz w:val="18"/>
                <w:szCs w:val="18"/>
                <w:color w:val="auto"/>
              </w:rPr>
              <w:t>29</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
        </w:trPr>
        <w:tc>
          <w:tcPr>
            <w:tcW w:w="43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68"/>
        </w:trPr>
        <w:tc>
          <w:tcPr>
            <w:tcW w:w="4360" w:type="dxa"/>
            <w:vAlign w:val="bottom"/>
            <w:shd w:val="clear" w:color="auto" w:fill="000000"/>
          </w:tcPr>
          <w:p>
            <w:pPr>
              <w:spacing w:after="0"/>
              <w:rPr>
                <w:sz w:val="5"/>
                <w:szCs w:val="5"/>
                <w:color w:val="auto"/>
              </w:rPr>
            </w:pPr>
          </w:p>
        </w:tc>
        <w:tc>
          <w:tcPr>
            <w:tcW w:w="324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decrease in gross profit, compared to the same period in 2012, was principally due to the net effect of the following:</w:t>
      </w:r>
    </w:p>
    <w:p>
      <w:pPr>
        <w:spacing w:after="0" w:line="198" w:lineRule="exact"/>
        <w:rPr>
          <w:sz w:val="20"/>
          <w:szCs w:val="20"/>
          <w:color w:val="auto"/>
        </w:rPr>
      </w:pPr>
    </w:p>
    <w:p>
      <w:pPr>
        <w:ind w:left="800" w:right="80" w:hanging="135"/>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margins in MC decreased from 44.6 percent to 41.6 percent. The decrease was principally attributable to an unfavorable change in the geographic mix, lower sales, and a more severe-than-expected seasonal effect that resulted in production inefficiencies.</w:t>
      </w:r>
    </w:p>
    <w:p>
      <w:pPr>
        <w:spacing w:after="0" w:line="94" w:lineRule="exact"/>
        <w:rPr>
          <w:rFonts w:ascii="Arial" w:cs="Arial" w:eastAsia="Arial" w:hAnsi="Arial"/>
          <w:sz w:val="18"/>
          <w:szCs w:val="18"/>
          <w:color w:val="auto"/>
        </w:rPr>
      </w:pPr>
    </w:p>
    <w:p>
      <w:pPr>
        <w:ind w:left="800" w:hanging="135"/>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Q3 2012 gross profit was increased by $3.5 million as a result of a change in contract terms with a North America MC customer.</w:t>
      </w:r>
    </w:p>
    <w:p>
      <w:pPr>
        <w:spacing w:after="0" w:line="117" w:lineRule="exact"/>
        <w:rPr>
          <w:rFonts w:ascii="Arial" w:cs="Arial" w:eastAsia="Arial" w:hAnsi="Arial"/>
          <w:sz w:val="18"/>
          <w:szCs w:val="18"/>
          <w:color w:val="auto"/>
        </w:rPr>
      </w:pPr>
    </w:p>
    <w:p>
      <w:pPr>
        <w:ind w:left="800" w:right="480" w:hanging="135"/>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AEC gross profit in the third quarter of 2013 was negatively affected by $0.6 million of profitability adjustments associated with a legacy program at the Company’s Boerne, Texas, facility.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decrease in gross profit during 2013 was principally due to the net effect of the following:</w:t>
      </w:r>
    </w:p>
    <w:p>
      <w:pPr>
        <w:spacing w:after="0" w:line="198" w:lineRule="exact"/>
        <w:rPr>
          <w:sz w:val="20"/>
          <w:szCs w:val="20"/>
          <w:color w:val="auto"/>
        </w:rPr>
      </w:pPr>
    </w:p>
    <w:p>
      <w:pPr>
        <w:ind w:left="800" w:hanging="13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$1.1 million decrease due to lower gross profit margin in MC.</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$4.8 million decrease due to lower sales in MC.</w:t>
      </w:r>
    </w:p>
    <w:p>
      <w:pPr>
        <w:spacing w:after="0" w:line="117" w:lineRule="exact"/>
        <w:rPr>
          <w:rFonts w:ascii="Arial" w:cs="Arial" w:eastAsia="Arial" w:hAnsi="Arial"/>
          <w:sz w:val="18"/>
          <w:szCs w:val="18"/>
          <w:color w:val="auto"/>
        </w:rPr>
      </w:pPr>
    </w:p>
    <w:p>
      <w:pPr>
        <w:ind w:left="800" w:right="60" w:hanging="135"/>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AEC 2013 gross margin was negatively affected by inventory write-offs and profitability adjustments associated with legacy programs at the Company’s Boerne, Texas, facility that amounted to $2.9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9"/>
              </w:rPr>
              <w:t>Three months ended</w:t>
            </w:r>
          </w:p>
        </w:tc>
        <w:tc>
          <w:tcPr>
            <w:tcW w:w="3160" w:type="dxa"/>
            <w:vAlign w:val="bottom"/>
            <w:tcBorders>
              <w:top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9"/>
              </w:rPr>
              <w:t>Nine months ended</w:t>
            </w:r>
          </w:p>
        </w:tc>
      </w:tr>
      <w:tr>
        <w:trPr>
          <w:trHeight w:val="181"/>
        </w:trPr>
        <w:tc>
          <w:tcPr>
            <w:tcW w:w="4440" w:type="dxa"/>
            <w:vAlign w:val="bottom"/>
          </w:tcPr>
          <w:p>
            <w:pPr>
              <w:spacing w:after="0"/>
              <w:rPr>
                <w:sz w:val="15"/>
                <w:szCs w:val="15"/>
                <w:color w:val="auto"/>
              </w:rPr>
            </w:pPr>
          </w:p>
        </w:tc>
        <w:tc>
          <w:tcPr>
            <w:tcW w:w="3820" w:type="dxa"/>
            <w:vAlign w:val="bottom"/>
            <w:gridSpan w:val="2"/>
          </w:tcPr>
          <w:p>
            <w:pPr>
              <w:jc w:val="center"/>
              <w:ind w:left="470"/>
              <w:spacing w:after="0" w:line="181" w:lineRule="exact"/>
              <w:rPr>
                <w:sz w:val="20"/>
                <w:szCs w:val="20"/>
                <w:color w:val="auto"/>
              </w:rPr>
            </w:pPr>
            <w:r>
              <w:rPr>
                <w:rFonts w:ascii="Arial" w:cs="Arial" w:eastAsia="Arial" w:hAnsi="Arial"/>
                <w:sz w:val="18"/>
                <w:szCs w:val="18"/>
                <w:color w:val="auto"/>
                <w:w w:val="99"/>
              </w:rPr>
              <w:t>September 30,</w:t>
            </w:r>
          </w:p>
        </w:tc>
        <w:tc>
          <w:tcPr>
            <w:tcW w:w="3160" w:type="dxa"/>
            <w:vAlign w:val="bottom"/>
            <w:gridSpan w:val="2"/>
          </w:tcPr>
          <w:p>
            <w:pPr>
              <w:jc w:val="center"/>
              <w:ind w:left="130"/>
              <w:spacing w:after="0" w:line="181" w:lineRule="exact"/>
              <w:rPr>
                <w:sz w:val="20"/>
                <w:szCs w:val="20"/>
                <w:color w:val="auto"/>
              </w:rPr>
            </w:pPr>
            <w:r>
              <w:rPr>
                <w:rFonts w:ascii="Arial" w:cs="Arial" w:eastAsia="Arial" w:hAnsi="Arial"/>
                <w:sz w:val="18"/>
                <w:szCs w:val="18"/>
                <w:color w:val="auto"/>
                <w:w w:val="99"/>
              </w:rPr>
              <w:t>September 30,</w:t>
            </w:r>
          </w:p>
        </w:tc>
      </w:tr>
      <w:tr>
        <w:trPr>
          <w:trHeight w:val="239"/>
        </w:trPr>
        <w:tc>
          <w:tcPr>
            <w:tcW w:w="4440" w:type="dxa"/>
            <w:vAlign w:val="bottom"/>
          </w:tcPr>
          <w:p>
            <w:pPr>
              <w:ind w:left="100"/>
              <w:spacing w:after="0"/>
              <w:rPr>
                <w:sz w:val="20"/>
                <w:szCs w:val="20"/>
                <w:color w:val="auto"/>
              </w:rPr>
            </w:pPr>
            <w:r>
              <w:rPr>
                <w:rFonts w:ascii="Arial" w:cs="Arial" w:eastAsia="Arial" w:hAnsi="Arial"/>
                <w:sz w:val="18"/>
                <w:szCs w:val="18"/>
                <w:b w:val="1"/>
                <w:bCs w:val="1"/>
                <w:color w:val="auto"/>
              </w:rPr>
              <w:t>(in thousands, except percentages)</w:t>
            </w:r>
          </w:p>
        </w:tc>
        <w:tc>
          <w:tcPr>
            <w:tcW w:w="2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620" w:type="dxa"/>
            <w:vAlign w:val="bottom"/>
          </w:tcPr>
          <w:p>
            <w:pPr>
              <w:jc w:val="right"/>
              <w:ind w:right="650"/>
              <w:spacing w:after="0"/>
              <w:rPr>
                <w:sz w:val="20"/>
                <w:szCs w:val="20"/>
                <w:color w:val="auto"/>
              </w:rPr>
            </w:pPr>
            <w:r>
              <w:rPr>
                <w:rFonts w:ascii="Arial" w:cs="Arial" w:eastAsia="Arial" w:hAnsi="Arial"/>
                <w:sz w:val="18"/>
                <w:szCs w:val="18"/>
                <w:color w:val="auto"/>
              </w:rPr>
              <w:t>2012</w:t>
            </w:r>
          </w:p>
        </w:tc>
        <w:tc>
          <w:tcPr>
            <w:tcW w:w="16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4060" w:type="dxa"/>
            <w:vAlign w:val="bottom"/>
          </w:tcPr>
          <w:p>
            <w:pPr>
              <w:ind w:left="100"/>
              <w:spacing w:after="0"/>
              <w:rPr>
                <w:sz w:val="20"/>
                <w:szCs w:val="20"/>
                <w:color w:val="auto"/>
              </w:rPr>
            </w:pPr>
            <w:r>
              <w:rPr>
                <w:rFonts w:ascii="Arial" w:cs="Arial" w:eastAsia="Arial" w:hAnsi="Arial"/>
                <w:sz w:val="20"/>
                <w:szCs w:val="20"/>
                <w:color w:val="auto"/>
              </w:rPr>
              <w:t>Machine Clothing</w:t>
            </w:r>
          </w:p>
        </w:tc>
        <w:tc>
          <w:tcPr>
            <w:tcW w:w="2840" w:type="dxa"/>
            <w:vAlign w:val="bottom"/>
          </w:tcPr>
          <w:p>
            <w:pPr>
              <w:jc w:val="right"/>
              <w:ind w:right="270"/>
              <w:spacing w:after="0"/>
              <w:rPr>
                <w:sz w:val="20"/>
                <w:szCs w:val="20"/>
                <w:color w:val="auto"/>
              </w:rPr>
            </w:pPr>
            <w:r>
              <w:rPr>
                <w:rFonts w:ascii="Arial" w:cs="Arial" w:eastAsia="Arial" w:hAnsi="Arial"/>
                <w:sz w:val="18"/>
                <w:szCs w:val="18"/>
                <w:b w:val="1"/>
                <w:bCs w:val="1"/>
                <w:color w:val="auto"/>
              </w:rPr>
              <w:t>$32,327</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$31,539</w:t>
            </w: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rPr>
              <w:t>$96,083</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$98,365</w:t>
            </w:r>
          </w:p>
        </w:tc>
      </w:tr>
      <w:tr>
        <w:trPr>
          <w:trHeight w:val="243"/>
        </w:trPr>
        <w:tc>
          <w:tcPr>
            <w:tcW w:w="4060" w:type="dxa"/>
            <w:vAlign w:val="bottom"/>
          </w:tcPr>
          <w:p>
            <w:pPr>
              <w:ind w:left="100"/>
              <w:spacing w:after="0"/>
              <w:rPr>
                <w:sz w:val="20"/>
                <w:szCs w:val="20"/>
                <w:color w:val="auto"/>
              </w:rPr>
            </w:pPr>
            <w:r>
              <w:rPr>
                <w:rFonts w:ascii="Arial" w:cs="Arial" w:eastAsia="Arial" w:hAnsi="Arial"/>
                <w:sz w:val="20"/>
                <w:szCs w:val="20"/>
                <w:color w:val="auto"/>
              </w:rPr>
              <w:t>Engineered Composites</w:t>
            </w:r>
          </w:p>
        </w:tc>
        <w:tc>
          <w:tcPr>
            <w:tcW w:w="2840" w:type="dxa"/>
            <w:vAlign w:val="bottom"/>
          </w:tcPr>
          <w:p>
            <w:pPr>
              <w:jc w:val="right"/>
              <w:ind w:right="270"/>
              <w:spacing w:after="0"/>
              <w:rPr>
                <w:sz w:val="20"/>
                <w:szCs w:val="20"/>
                <w:color w:val="auto"/>
              </w:rPr>
            </w:pPr>
            <w:r>
              <w:rPr>
                <w:rFonts w:ascii="Arial" w:cs="Arial" w:eastAsia="Arial" w:hAnsi="Arial"/>
                <w:sz w:val="18"/>
                <w:szCs w:val="18"/>
                <w:b w:val="1"/>
                <w:bCs w:val="1"/>
                <w:color w:val="auto"/>
              </w:rPr>
              <w:t>1,627</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1,827</w:t>
            </w: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rPr>
              <w:t>5,462</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4,871</w:t>
            </w:r>
          </w:p>
        </w:tc>
      </w:tr>
      <w:tr>
        <w:trPr>
          <w:trHeight w:val="243"/>
        </w:trPr>
        <w:tc>
          <w:tcPr>
            <w:tcW w:w="4060" w:type="dxa"/>
            <w:vAlign w:val="bottom"/>
          </w:tcPr>
          <w:p>
            <w:pPr>
              <w:ind w:left="100"/>
              <w:spacing w:after="0"/>
              <w:rPr>
                <w:sz w:val="20"/>
                <w:szCs w:val="20"/>
                <w:color w:val="auto"/>
              </w:rPr>
            </w:pPr>
            <w:r>
              <w:rPr>
                <w:rFonts w:ascii="Arial" w:cs="Arial" w:eastAsia="Arial" w:hAnsi="Arial"/>
                <w:sz w:val="20"/>
                <w:szCs w:val="20"/>
                <w:color w:val="auto"/>
              </w:rPr>
              <w:t>Research</w:t>
            </w:r>
          </w:p>
        </w:tc>
        <w:tc>
          <w:tcPr>
            <w:tcW w:w="2840" w:type="dxa"/>
            <w:vAlign w:val="bottom"/>
          </w:tcPr>
          <w:p>
            <w:pPr>
              <w:jc w:val="right"/>
              <w:ind w:right="270"/>
              <w:spacing w:after="0"/>
              <w:rPr>
                <w:sz w:val="20"/>
                <w:szCs w:val="20"/>
                <w:color w:val="auto"/>
              </w:rPr>
            </w:pPr>
            <w:r>
              <w:rPr>
                <w:rFonts w:ascii="Arial" w:cs="Arial" w:eastAsia="Arial" w:hAnsi="Arial"/>
                <w:sz w:val="18"/>
                <w:szCs w:val="18"/>
                <w:b w:val="1"/>
                <w:bCs w:val="1"/>
                <w:color w:val="auto"/>
              </w:rPr>
              <w:t>7,418</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6,734</w:t>
            </w: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rPr>
              <w:t>22,082</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20,052</w:t>
            </w:r>
          </w:p>
        </w:tc>
      </w:tr>
      <w:tr>
        <w:trPr>
          <w:trHeight w:val="226"/>
        </w:trPr>
        <w:tc>
          <w:tcPr>
            <w:tcW w:w="4060" w:type="dxa"/>
            <w:vAlign w:val="bottom"/>
            <w:tcBorders>
              <w:bottom w:val="single" w:sz="8" w:color="auto"/>
            </w:tcBorders>
          </w:tcPr>
          <w:p>
            <w:pPr>
              <w:ind w:left="100"/>
              <w:spacing w:after="0" w:line="226" w:lineRule="exact"/>
              <w:rPr>
                <w:sz w:val="20"/>
                <w:szCs w:val="20"/>
                <w:color w:val="auto"/>
              </w:rPr>
            </w:pPr>
            <w:r>
              <w:rPr>
                <w:rFonts w:ascii="Arial" w:cs="Arial" w:eastAsia="Arial" w:hAnsi="Arial"/>
                <w:sz w:val="20"/>
                <w:szCs w:val="20"/>
                <w:color w:val="auto"/>
              </w:rPr>
              <w:t>Unallocated expenses</w:t>
            </w:r>
          </w:p>
        </w:tc>
        <w:tc>
          <w:tcPr>
            <w:tcW w:w="2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11,118</w:t>
            </w:r>
          </w:p>
        </w:tc>
        <w:tc>
          <w:tcPr>
            <w:tcW w:w="16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13,700</w:t>
            </w: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35,103</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41,066</w:t>
            </w:r>
          </w:p>
        </w:tc>
      </w:tr>
      <w:tr>
        <w:trPr>
          <w:trHeight w:val="196"/>
        </w:trPr>
        <w:tc>
          <w:tcPr>
            <w:tcW w:w="40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28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$52,490</w:t>
            </w:r>
          </w:p>
        </w:tc>
        <w:tc>
          <w:tcPr>
            <w:tcW w:w="16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$53,800</w:t>
            </w:r>
          </w:p>
        </w:tc>
        <w:tc>
          <w:tcPr>
            <w:tcW w:w="17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$158,730</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$164,354</w:t>
            </w:r>
          </w:p>
        </w:tc>
      </w:tr>
      <w:tr>
        <w:trPr>
          <w:trHeight w:val="196"/>
        </w:trPr>
        <w:tc>
          <w:tcPr>
            <w:tcW w:w="40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of Net Sales</w:t>
            </w:r>
          </w:p>
        </w:tc>
        <w:tc>
          <w:tcPr>
            <w:tcW w:w="28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28.7%</w:t>
            </w:r>
          </w:p>
        </w:tc>
        <w:tc>
          <w:tcPr>
            <w:tcW w:w="16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27.6%</w:t>
            </w:r>
          </w:p>
        </w:tc>
        <w:tc>
          <w:tcPr>
            <w:tcW w:w="17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28.0%</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29.0%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STG&amp;R expenses decreased $1.3 million, compared to the same period in 2012, principally due to the net effect of the following:</w:t>
      </w:r>
    </w:p>
    <w:p>
      <w:pPr>
        <w:spacing w:after="0" w:line="198" w:lineRule="exact"/>
        <w:rPr>
          <w:sz w:val="20"/>
          <w:szCs w:val="20"/>
          <w:color w:val="auto"/>
        </w:rPr>
      </w:pPr>
    </w:p>
    <w:p>
      <w:pPr>
        <w:ind w:left="800" w:right="500" w:hanging="135"/>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$1.3 million during the third quarter of 2013 and losses of $1.4 million in the comparable quarter of 2012.</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0" w:name="page31"/>
    <w:bookmarkEnd w:id="30"/>
    <w:p>
      <w:pPr>
        <w:ind w:left="800" w:right="40" w:hanging="135"/>
        <w:spacing w:after="0" w:line="24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2013 expenses were lowered by $1.5 million due to reduced U.S. medical costs, professional fees and incentive compensation costs, all of which were reported in the Unallocated expenses segment.</w:t>
      </w:r>
    </w:p>
    <w:p>
      <w:pPr>
        <w:spacing w:after="0" w:line="88" w:lineRule="exact"/>
        <w:rPr>
          <w:rFonts w:ascii="Arial" w:cs="Arial" w:eastAsia="Arial" w:hAnsi="Arial"/>
          <w:sz w:val="18"/>
          <w:szCs w:val="18"/>
          <w:color w:val="auto"/>
        </w:rPr>
      </w:pPr>
    </w:p>
    <w:p>
      <w:pPr>
        <w:ind w:left="800" w:hanging="13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third quarter of 2013, Research expenses increased by $0.7 million for scrap associated with an AEC research program.</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20" w:lineRule="exact"/>
        <w:rPr>
          <w:sz w:val="20"/>
          <w:szCs w:val="20"/>
          <w:color w:val="auto"/>
        </w:rPr>
      </w:pPr>
    </w:p>
    <w:p>
      <w:pPr>
        <w:ind w:left="800" w:hanging="135"/>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gain on the sale of former manufacturing facility in Australia reduced 2013 expenses by $3.8 million.</w:t>
      </w:r>
    </w:p>
    <w:p>
      <w:pPr>
        <w:spacing w:after="0" w:line="117" w:lineRule="exact"/>
        <w:rPr>
          <w:rFonts w:ascii="Arial" w:cs="Arial" w:eastAsia="Arial" w:hAnsi="Arial"/>
          <w:sz w:val="18"/>
          <w:szCs w:val="18"/>
          <w:color w:val="auto"/>
        </w:rPr>
      </w:pPr>
    </w:p>
    <w:p>
      <w:pPr>
        <w:ind w:left="800" w:right="100" w:hanging="135"/>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$0.1 million during 2013 and losses of $0.5 million in 2012.</w:t>
      </w:r>
    </w:p>
    <w:p>
      <w:pPr>
        <w:spacing w:after="0" w:line="88" w:lineRule="exact"/>
        <w:rPr>
          <w:rFonts w:ascii="Arial" w:cs="Arial" w:eastAsia="Arial" w:hAnsi="Arial"/>
          <w:sz w:val="18"/>
          <w:szCs w:val="18"/>
          <w:color w:val="auto"/>
        </w:rPr>
      </w:pPr>
    </w:p>
    <w:p>
      <w:pPr>
        <w:ind w:left="800" w:hanging="135"/>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Pension expense decreased by $1.6 million principally due to the settlement in 2012 of certain pension plan liabilities.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Borders>
              <w:top w:val="single" w:sz="8" w:color="auto"/>
            </w:tcBorders>
          </w:tcPr>
          <w:p>
            <w:pPr>
              <w:spacing w:after="0"/>
              <w:rPr>
                <w:sz w:val="18"/>
                <w:szCs w:val="18"/>
                <w:color w:val="auto"/>
              </w:rPr>
            </w:pPr>
          </w:p>
        </w:tc>
        <w:tc>
          <w:tcPr>
            <w:tcW w:w="392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Three months ended September</w:t>
            </w:r>
          </w:p>
        </w:tc>
        <w:tc>
          <w:tcPr>
            <w:tcW w:w="300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Nine months ended September</w:t>
            </w:r>
          </w:p>
        </w:tc>
      </w:tr>
      <w:tr>
        <w:trPr>
          <w:trHeight w:val="181"/>
        </w:trPr>
        <w:tc>
          <w:tcPr>
            <w:tcW w:w="4500" w:type="dxa"/>
            <w:vAlign w:val="bottom"/>
          </w:tcPr>
          <w:p>
            <w:pPr>
              <w:spacing w:after="0"/>
              <w:rPr>
                <w:sz w:val="15"/>
                <w:szCs w:val="15"/>
                <w:color w:val="auto"/>
              </w:rPr>
            </w:pPr>
          </w:p>
        </w:tc>
        <w:tc>
          <w:tcPr>
            <w:tcW w:w="258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30,</w:t>
            </w:r>
          </w:p>
        </w:tc>
        <w:tc>
          <w:tcPr>
            <w:tcW w:w="1340" w:type="dxa"/>
            <w:vAlign w:val="bottom"/>
          </w:tcPr>
          <w:p>
            <w:pPr>
              <w:spacing w:after="0"/>
              <w:rPr>
                <w:sz w:val="15"/>
                <w:szCs w:val="15"/>
                <w:color w:val="auto"/>
              </w:rPr>
            </w:pPr>
          </w:p>
        </w:tc>
        <w:tc>
          <w:tcPr>
            <w:tcW w:w="186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30,</w:t>
            </w:r>
          </w:p>
        </w:tc>
        <w:tc>
          <w:tcPr>
            <w:tcW w:w="1140" w:type="dxa"/>
            <w:vAlign w:val="bottom"/>
          </w:tcPr>
          <w:p>
            <w:pPr>
              <w:spacing w:after="0"/>
              <w:rPr>
                <w:sz w:val="15"/>
                <w:szCs w:val="15"/>
                <w:color w:val="auto"/>
              </w:rPr>
            </w:pPr>
          </w:p>
        </w:tc>
      </w:tr>
      <w:tr>
        <w:trPr>
          <w:trHeight w:val="225"/>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25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2013</w:t>
            </w: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2012</w:t>
            </w:r>
          </w:p>
        </w:tc>
        <w:tc>
          <w:tcPr>
            <w:tcW w:w="18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r>
      <w:tr>
        <w:trPr>
          <w:trHeight w:val="173"/>
        </w:trPr>
        <w:tc>
          <w:tcPr>
            <w:tcW w:w="450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258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$33,196</w:t>
            </w:r>
          </w:p>
        </w:tc>
        <w:tc>
          <w:tcPr>
            <w:tcW w:w="134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$44,918</w:t>
            </w:r>
          </w:p>
        </w:tc>
        <w:tc>
          <w:tcPr>
            <w:tcW w:w="186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$96,803</w:t>
            </w:r>
          </w:p>
        </w:tc>
        <w:tc>
          <w:tcPr>
            <w:tcW w:w="11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$120,760</w:t>
            </w:r>
          </w:p>
        </w:tc>
      </w:tr>
      <w:tr>
        <w:trPr>
          <w:trHeight w:val="203"/>
        </w:trPr>
        <w:tc>
          <w:tcPr>
            <w:tcW w:w="450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25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(572)</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(312)</w:t>
            </w:r>
          </w:p>
        </w:tc>
        <w:tc>
          <w:tcPr>
            <w:tcW w:w="18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(4,460)</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(653)</w:t>
            </w:r>
          </w:p>
        </w:tc>
      </w:tr>
      <w:tr>
        <w:trPr>
          <w:trHeight w:val="203"/>
        </w:trPr>
        <w:tc>
          <w:tcPr>
            <w:tcW w:w="4500" w:type="dxa"/>
            <w:vAlign w:val="bottom"/>
          </w:tcPr>
          <w:p>
            <w:pPr>
              <w:ind w:left="100"/>
              <w:spacing w:after="0" w:line="202" w:lineRule="exact"/>
              <w:rPr>
                <w:sz w:val="20"/>
                <w:szCs w:val="20"/>
                <w:color w:val="auto"/>
              </w:rPr>
            </w:pPr>
            <w:r>
              <w:rPr>
                <w:rFonts w:ascii="Arial" w:cs="Arial" w:eastAsia="Arial" w:hAnsi="Arial"/>
                <w:sz w:val="18"/>
                <w:szCs w:val="18"/>
                <w:color w:val="auto"/>
              </w:rPr>
              <w:t>Research expense</w:t>
            </w:r>
          </w:p>
        </w:tc>
        <w:tc>
          <w:tcPr>
            <w:tcW w:w="25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(7,418)</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(6,734)</w:t>
            </w:r>
          </w:p>
        </w:tc>
        <w:tc>
          <w:tcPr>
            <w:tcW w:w="18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(22,082)</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(20,052)</w:t>
            </w:r>
          </w:p>
        </w:tc>
      </w:tr>
      <w:tr>
        <w:trPr>
          <w:trHeight w:val="203"/>
        </w:trPr>
        <w:tc>
          <w:tcPr>
            <w:tcW w:w="4500" w:type="dxa"/>
            <w:vAlign w:val="bottom"/>
          </w:tcPr>
          <w:p>
            <w:pPr>
              <w:ind w:left="100"/>
              <w:spacing w:after="0" w:line="202" w:lineRule="exact"/>
              <w:rPr>
                <w:sz w:val="20"/>
                <w:szCs w:val="20"/>
                <w:color w:val="auto"/>
              </w:rPr>
            </w:pPr>
            <w:r>
              <w:rPr>
                <w:rFonts w:ascii="Arial" w:cs="Arial" w:eastAsia="Arial" w:hAnsi="Arial"/>
                <w:sz w:val="18"/>
                <w:szCs w:val="18"/>
                <w:color w:val="auto"/>
              </w:rPr>
              <w:t>Unallocated expenses - pension settlement</w:t>
            </w:r>
          </w:p>
        </w:tc>
        <w:tc>
          <w:tcPr>
            <w:tcW w:w="25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(119,735)</w:t>
            </w:r>
          </w:p>
        </w:tc>
      </w:tr>
      <w:tr>
        <w:trPr>
          <w:trHeight w:val="225"/>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 - other</w:t>
            </w:r>
          </w:p>
        </w:tc>
        <w:tc>
          <w:tcPr>
            <w:tcW w:w="2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(11,951)</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(14,760)</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(38,001)</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(44,121)</w:t>
            </w:r>
          </w:p>
        </w:tc>
      </w:tr>
      <w:tr>
        <w:trPr>
          <w:trHeight w:val="196"/>
        </w:trPr>
        <w:tc>
          <w:tcPr>
            <w:tcW w:w="45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25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$13,255</w:t>
            </w:r>
          </w:p>
        </w:tc>
        <w:tc>
          <w:tcPr>
            <w:tcW w:w="1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$23,112</w:t>
            </w:r>
          </w:p>
        </w:tc>
        <w:tc>
          <w:tcPr>
            <w:tcW w:w="18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$32,260</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($63,801)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22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2012, we took actions to settle certain pension plan liabilities in the U.S., Canada, and Sweden leading to charges totaling $119.7 million, which were included in Unallocated Expenses. In the first quarter of 2012, we recorded a settlement charge of $9.2 million related to the extinguishment of our pension plan liability in Sweden. In the second quarter of 2012, we recorded settlement charges totaling $110.6 million related to settling a majority of the defined benefit pension plan liabilities in the United States and Canada. No similar charges were incurred during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20"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STG&amp;R, and pension settlement charges, operating income/(loss) was affected by restructuring costs of $27.2 million in the first nine months of 2013 and $6.1 million in the first nine months of 2012.</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Borders>
              <w:top w:val="single" w:sz="8" w:color="auto"/>
            </w:tcBorders>
          </w:tcPr>
          <w:p>
            <w:pPr>
              <w:spacing w:after="0"/>
              <w:rPr>
                <w:sz w:val="18"/>
                <w:szCs w:val="18"/>
                <w:color w:val="auto"/>
              </w:rPr>
            </w:pPr>
          </w:p>
        </w:tc>
        <w:tc>
          <w:tcPr>
            <w:tcW w:w="4740" w:type="dxa"/>
            <w:vAlign w:val="bottom"/>
            <w:tcBorders>
              <w:top w:val="single" w:sz="8" w:color="auto"/>
            </w:tcBorders>
            <w:gridSpan w:val="2"/>
          </w:tcPr>
          <w:p>
            <w:pPr>
              <w:jc w:val="right"/>
              <w:ind w:right="850"/>
              <w:spacing w:after="0"/>
              <w:rPr>
                <w:sz w:val="20"/>
                <w:szCs w:val="20"/>
                <w:color w:val="auto"/>
              </w:rPr>
            </w:pPr>
            <w:r>
              <w:rPr>
                <w:rFonts w:ascii="Arial" w:cs="Arial" w:eastAsia="Arial" w:hAnsi="Arial"/>
                <w:sz w:val="18"/>
                <w:szCs w:val="18"/>
                <w:color w:val="auto"/>
              </w:rPr>
              <w:t>Three months ended</w:t>
            </w:r>
          </w:p>
        </w:tc>
        <w:tc>
          <w:tcPr>
            <w:tcW w:w="2860" w:type="dxa"/>
            <w:vAlign w:val="bottom"/>
            <w:tcBorders>
              <w:top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Nine months ended</w:t>
            </w:r>
          </w:p>
        </w:tc>
      </w:tr>
      <w:tr>
        <w:trPr>
          <w:trHeight w:val="181"/>
        </w:trPr>
        <w:tc>
          <w:tcPr>
            <w:tcW w:w="3820" w:type="dxa"/>
            <w:vAlign w:val="bottom"/>
          </w:tcPr>
          <w:p>
            <w:pPr>
              <w:spacing w:after="0"/>
              <w:rPr>
                <w:sz w:val="15"/>
                <w:szCs w:val="15"/>
                <w:color w:val="auto"/>
              </w:rPr>
            </w:pPr>
          </w:p>
        </w:tc>
        <w:tc>
          <w:tcPr>
            <w:tcW w:w="4740" w:type="dxa"/>
            <w:vAlign w:val="bottom"/>
            <w:gridSpan w:val="2"/>
          </w:tcPr>
          <w:p>
            <w:pPr>
              <w:jc w:val="right"/>
              <w:ind w:right="1070"/>
              <w:spacing w:after="0" w:line="181" w:lineRule="exact"/>
              <w:rPr>
                <w:sz w:val="20"/>
                <w:szCs w:val="20"/>
                <w:color w:val="auto"/>
              </w:rPr>
            </w:pPr>
            <w:r>
              <w:rPr>
                <w:rFonts w:ascii="Arial" w:cs="Arial" w:eastAsia="Arial" w:hAnsi="Arial"/>
                <w:sz w:val="18"/>
                <w:szCs w:val="18"/>
                <w:color w:val="auto"/>
              </w:rPr>
              <w:t>September 30,</w:t>
            </w:r>
          </w:p>
        </w:tc>
        <w:tc>
          <w:tcPr>
            <w:tcW w:w="2860" w:type="dxa"/>
            <w:vAlign w:val="bottom"/>
            <w:gridSpan w:val="2"/>
          </w:tcPr>
          <w:p>
            <w:pPr>
              <w:jc w:val="right"/>
              <w:ind w:right="790"/>
              <w:spacing w:after="0" w:line="181" w:lineRule="exact"/>
              <w:rPr>
                <w:sz w:val="20"/>
                <w:szCs w:val="20"/>
                <w:color w:val="auto"/>
              </w:rPr>
            </w:pPr>
            <w:r>
              <w:rPr>
                <w:rFonts w:ascii="Arial" w:cs="Arial" w:eastAsia="Arial" w:hAnsi="Arial"/>
                <w:sz w:val="18"/>
                <w:szCs w:val="18"/>
                <w:color w:val="auto"/>
              </w:rPr>
              <w:t>September 30,</w:t>
            </w:r>
          </w:p>
        </w:tc>
      </w:tr>
      <w:tr>
        <w:trPr>
          <w:trHeight w:val="225"/>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0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1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2012</w:t>
            </w: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r>
      <w:tr>
        <w:trPr>
          <w:trHeight w:val="173"/>
        </w:trPr>
        <w:tc>
          <w:tcPr>
            <w:tcW w:w="3820" w:type="dxa"/>
            <w:vAlign w:val="bottom"/>
          </w:tcPr>
          <w:p>
            <w:pPr>
              <w:ind w:left="40"/>
              <w:spacing w:after="0" w:line="173" w:lineRule="exact"/>
              <w:rPr>
                <w:sz w:val="20"/>
                <w:szCs w:val="20"/>
                <w:color w:val="auto"/>
              </w:rPr>
            </w:pPr>
            <w:r>
              <w:rPr>
                <w:rFonts w:ascii="Arial" w:cs="Arial" w:eastAsia="Arial" w:hAnsi="Arial"/>
                <w:sz w:val="18"/>
                <w:szCs w:val="18"/>
                <w:color w:val="auto"/>
              </w:rPr>
              <w:t>Machine Clothing</w:t>
            </w:r>
          </w:p>
        </w:tc>
        <w:tc>
          <w:tcPr>
            <w:tcW w:w="308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$2,250</w:t>
            </w:r>
          </w:p>
        </w:tc>
        <w:tc>
          <w:tcPr>
            <w:tcW w:w="166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$2,739</w:t>
            </w:r>
          </w:p>
        </w:tc>
        <w:tc>
          <w:tcPr>
            <w:tcW w:w="164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$26,673</w:t>
            </w:r>
          </w:p>
        </w:tc>
        <w:tc>
          <w:tcPr>
            <w:tcW w:w="1220" w:type="dxa"/>
            <w:vAlign w:val="bottom"/>
          </w:tcPr>
          <w:p>
            <w:pPr>
              <w:jc w:val="right"/>
              <w:spacing w:after="0" w:line="173" w:lineRule="exact"/>
              <w:rPr>
                <w:sz w:val="20"/>
                <w:szCs w:val="20"/>
                <w:color w:val="auto"/>
              </w:rPr>
            </w:pPr>
            <w:r>
              <w:rPr>
                <w:rFonts w:ascii="Arial" w:cs="Arial" w:eastAsia="Arial" w:hAnsi="Arial"/>
                <w:sz w:val="18"/>
                <w:szCs w:val="18"/>
                <w:color w:val="auto"/>
              </w:rPr>
              <w:t>$6,315</w:t>
            </w:r>
          </w:p>
        </w:tc>
      </w:tr>
      <w:tr>
        <w:trPr>
          <w:trHeight w:val="203"/>
        </w:trPr>
        <w:tc>
          <w:tcPr>
            <w:tcW w:w="3820" w:type="dxa"/>
            <w:vAlign w:val="bottom"/>
          </w:tcPr>
          <w:p>
            <w:pPr>
              <w:ind w:left="40"/>
              <w:spacing w:after="0" w:line="202" w:lineRule="exact"/>
              <w:rPr>
                <w:sz w:val="20"/>
                <w:szCs w:val="20"/>
                <w:color w:val="auto"/>
              </w:rPr>
            </w:pPr>
            <w:r>
              <w:rPr>
                <w:rFonts w:ascii="Arial" w:cs="Arial" w:eastAsia="Arial" w:hAnsi="Arial"/>
                <w:sz w:val="18"/>
                <w:szCs w:val="18"/>
                <w:color w:val="auto"/>
              </w:rPr>
              <w:t>Engineered Composites</w:t>
            </w:r>
          </w:p>
        </w:tc>
        <w:tc>
          <w:tcPr>
            <w:tcW w:w="30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6</w:t>
            </w:r>
          </w:p>
        </w:tc>
        <w:tc>
          <w:tcPr>
            <w:tcW w:w="16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540</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25"/>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Unallocated expenses</w:t>
            </w:r>
          </w:p>
        </w:tc>
        <w:tc>
          <w:tcPr>
            <w:tcW w:w="3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196"/>
        </w:trPr>
        <w:tc>
          <w:tcPr>
            <w:tcW w:w="38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30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$2,256</w:t>
            </w:r>
          </w:p>
        </w:tc>
        <w:tc>
          <w:tcPr>
            <w:tcW w:w="16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$2,739</w:t>
            </w:r>
          </w:p>
        </w:tc>
        <w:tc>
          <w:tcPr>
            <w:tcW w:w="16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$27,213</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$6,149</w:t>
            </w:r>
          </w:p>
        </w:tc>
      </w:tr>
    </w:tbl>
    <w:p>
      <w:pPr>
        <w:spacing w:after="0" w:line="20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Substantially all of the MC restructuring charges recorded in 2013 relate to the completion of consultations with employee works councils in Sélestat and St. Junien, France, leading to restructuring charges, primarily for severance and social costs, of $2.0 million for the third quarter and $26.3 million for the nine months ending September 30, 2013. The restructuring program was driven by the Company’s need to balance manufacturing capacity and demand and will result in the reduction of approximately 200 employees, about half of which will leave the Company during the fourth quarter of 2013. Under the terms of the restructuring plan, the Company will also provide training, outplacement and other programs. The costs for those benefits will be recorded as restructuring when they are incurred. The Company expects to record a curtailment gain related to the elimination of pension accruals. The curtailment gain will be recorded as employees terminate and, accordingly, most of the gain is expected to be recorded in the fourth quarter of 2013, with the balance to be recorded in 2014. The remaining costs for this program, net of the curtailment gain, are expected to be between $4.0 and $6.0 million, and are expected to be recorded over the next several quarters. Whereas most of the affected employees were involved in the production process, the full effect of cost savings associated with this restructuring program will not be fully realized until 2014.</w:t>
      </w:r>
    </w:p>
    <w:p>
      <w:pPr>
        <w:spacing w:after="0" w:line="192"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Through the first nine months of 2013, the Company incurred some restructuring costs in the Engineered Composites segment that were related to organizational changes and exiting certain aerospace programs.</w:t>
      </w:r>
    </w:p>
    <w:p>
      <w:pPr>
        <w:spacing w:after="0" w:line="183" w:lineRule="exact"/>
        <w:rPr>
          <w:sz w:val="20"/>
          <w:szCs w:val="20"/>
          <w:color w:val="auto"/>
        </w:rPr>
      </w:pPr>
    </w:p>
    <w:p>
      <w:pPr>
        <w:jc w:val="both"/>
        <w:ind w:right="200" w:firstLine="648"/>
        <w:spacing w:after="0"/>
        <w:rPr>
          <w:sz w:val="20"/>
          <w:szCs w:val="20"/>
          <w:color w:val="auto"/>
        </w:rPr>
      </w:pPr>
      <w:r>
        <w:rPr>
          <w:rFonts w:ascii="Arial" w:cs="Arial" w:eastAsia="Arial" w:hAnsi="Arial"/>
          <w:sz w:val="18"/>
          <w:szCs w:val="18"/>
          <w:color w:val="auto"/>
        </w:rPr>
        <w:t>2012 restructuring expense were principally due to a reduction in workforce in Sweden and curtailment of manufacturing in New York and Wisconsin, driven by lower demand for paper machine clothing. Those costs were partially offset by a reduction in accruals related to the Company’s headquarters.</w:t>
      </w:r>
    </w:p>
    <w:p>
      <w:pPr>
        <w:spacing w:after="0" w:line="162"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Three months ended September</w:t>
            </w:r>
          </w:p>
        </w:tc>
        <w:tc>
          <w:tcPr>
            <w:tcW w:w="236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181"/>
        </w:trPr>
        <w:tc>
          <w:tcPr>
            <w:tcW w:w="52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40" w:type="dxa"/>
            <w:vAlign w:val="bottom"/>
          </w:tcPr>
          <w:p>
            <w:pPr>
              <w:jc w:val="right"/>
              <w:ind w:right="1350"/>
              <w:spacing w:after="0" w:line="181" w:lineRule="exact"/>
              <w:rPr>
                <w:sz w:val="20"/>
                <w:szCs w:val="20"/>
                <w:color w:val="auto"/>
              </w:rPr>
            </w:pPr>
            <w:r>
              <w:rPr>
                <w:rFonts w:ascii="Arial" w:cs="Arial" w:eastAsia="Arial" w:hAnsi="Arial"/>
                <w:sz w:val="18"/>
                <w:szCs w:val="18"/>
                <w:color w:val="auto"/>
              </w:rPr>
              <w:t>30,</w:t>
            </w:r>
          </w:p>
        </w:tc>
        <w:tc>
          <w:tcPr>
            <w:tcW w:w="2360" w:type="dxa"/>
            <w:vAlign w:val="bottom"/>
            <w:gridSpan w:val="2"/>
          </w:tcPr>
          <w:p>
            <w:pPr>
              <w:jc w:val="right"/>
              <w:ind w:right="570"/>
              <w:spacing w:after="0" w:line="181" w:lineRule="exact"/>
              <w:rPr>
                <w:sz w:val="20"/>
                <w:szCs w:val="20"/>
                <w:color w:val="auto"/>
              </w:rPr>
            </w:pPr>
            <w:r>
              <w:rPr>
                <w:rFonts w:ascii="Arial" w:cs="Arial" w:eastAsia="Arial" w:hAnsi="Arial"/>
                <w:sz w:val="18"/>
                <w:szCs w:val="18"/>
                <w:color w:val="auto"/>
              </w:rPr>
              <w:t>September 30,</w:t>
            </w:r>
          </w:p>
        </w:tc>
      </w:tr>
      <w:tr>
        <w:trPr>
          <w:trHeight w:val="225"/>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7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2012</w:t>
            </w: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r>
      <w:tr>
        <w:trPr>
          <w:trHeight w:val="173"/>
        </w:trPr>
        <w:tc>
          <w:tcPr>
            <w:tcW w:w="5280" w:type="dxa"/>
            <w:vAlign w:val="bottom"/>
          </w:tcPr>
          <w:p>
            <w:pPr>
              <w:ind w:left="40"/>
              <w:spacing w:after="0" w:line="173" w:lineRule="exact"/>
              <w:rPr>
                <w:sz w:val="20"/>
                <w:szCs w:val="20"/>
                <w:color w:val="auto"/>
              </w:rPr>
            </w:pPr>
            <w:r>
              <w:rPr>
                <w:rFonts w:ascii="Arial" w:cs="Arial" w:eastAsia="Arial" w:hAnsi="Arial"/>
                <w:sz w:val="18"/>
                <w:szCs w:val="18"/>
                <w:color w:val="auto"/>
              </w:rPr>
              <w:t>Interest expense, net</w:t>
            </w:r>
          </w:p>
        </w:tc>
        <w:tc>
          <w:tcPr>
            <w:tcW w:w="20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$3,484</w:t>
            </w:r>
          </w:p>
        </w:tc>
        <w:tc>
          <w:tcPr>
            <w:tcW w:w="1740" w:type="dxa"/>
            <w:vAlign w:val="bottom"/>
          </w:tcPr>
          <w:p>
            <w:pPr>
              <w:jc w:val="right"/>
              <w:ind w:right="430"/>
              <w:spacing w:after="0" w:line="173" w:lineRule="exact"/>
              <w:rPr>
                <w:sz w:val="20"/>
                <w:szCs w:val="20"/>
                <w:color w:val="auto"/>
              </w:rPr>
            </w:pPr>
            <w:r>
              <w:rPr>
                <w:rFonts w:ascii="Arial" w:cs="Arial" w:eastAsia="Arial" w:hAnsi="Arial"/>
                <w:sz w:val="18"/>
                <w:szCs w:val="18"/>
                <w:color w:val="auto"/>
              </w:rPr>
              <w:t>$3,997</w:t>
            </w:r>
          </w:p>
        </w:tc>
        <w:tc>
          <w:tcPr>
            <w:tcW w:w="132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$11,056</w:t>
            </w:r>
          </w:p>
        </w:tc>
        <w:tc>
          <w:tcPr>
            <w:tcW w:w="1040" w:type="dxa"/>
            <w:vAlign w:val="bottom"/>
          </w:tcPr>
          <w:p>
            <w:pPr>
              <w:jc w:val="right"/>
              <w:spacing w:after="0" w:line="173" w:lineRule="exact"/>
              <w:rPr>
                <w:sz w:val="20"/>
                <w:szCs w:val="20"/>
                <w:color w:val="auto"/>
              </w:rPr>
            </w:pPr>
            <w:r>
              <w:rPr>
                <w:rFonts w:ascii="Arial" w:cs="Arial" w:eastAsia="Arial" w:hAnsi="Arial"/>
                <w:sz w:val="18"/>
                <w:szCs w:val="18"/>
                <w:color w:val="auto"/>
              </w:rPr>
              <w:t>$12,610</w:t>
            </w:r>
          </w:p>
        </w:tc>
      </w:tr>
      <w:tr>
        <w:trPr>
          <w:trHeight w:val="203"/>
        </w:trPr>
        <w:tc>
          <w:tcPr>
            <w:tcW w:w="5280" w:type="dxa"/>
            <w:vAlign w:val="bottom"/>
          </w:tcPr>
          <w:p>
            <w:pPr>
              <w:ind w:left="40"/>
              <w:spacing w:after="0" w:line="202" w:lineRule="exact"/>
              <w:rPr>
                <w:sz w:val="20"/>
                <w:szCs w:val="20"/>
                <w:color w:val="auto"/>
              </w:rPr>
            </w:pPr>
            <w:r>
              <w:rPr>
                <w:rFonts w:ascii="Arial" w:cs="Arial" w:eastAsia="Arial" w:hAnsi="Arial"/>
                <w:sz w:val="18"/>
                <w:szCs w:val="18"/>
                <w:color w:val="auto"/>
              </w:rPr>
              <w:t>Other expense/(income), net</w:t>
            </w:r>
          </w:p>
        </w:tc>
        <w:tc>
          <w:tcPr>
            <w:tcW w:w="2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2,692</w:t>
            </w:r>
          </w:p>
        </w:tc>
        <w:tc>
          <w:tcPr>
            <w:tcW w:w="17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3,069</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5,637</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5,062</w:t>
            </w:r>
          </w:p>
        </w:tc>
      </w:tr>
      <w:tr>
        <w:trPr>
          <w:trHeight w:val="203"/>
        </w:trPr>
        <w:tc>
          <w:tcPr>
            <w:tcW w:w="5280" w:type="dxa"/>
            <w:vAlign w:val="bottom"/>
          </w:tcPr>
          <w:p>
            <w:pPr>
              <w:ind w:left="40"/>
              <w:spacing w:after="0" w:line="202" w:lineRule="exact"/>
              <w:rPr>
                <w:sz w:val="20"/>
                <w:szCs w:val="20"/>
                <w:color w:val="auto"/>
              </w:rPr>
            </w:pPr>
            <w:r>
              <w:rPr>
                <w:rFonts w:ascii="Arial" w:cs="Arial" w:eastAsia="Arial" w:hAnsi="Arial"/>
                <w:sz w:val="18"/>
                <w:szCs w:val="18"/>
                <w:color w:val="auto"/>
              </w:rPr>
              <w:t>Income tax expense/(benefit)</w:t>
            </w:r>
          </w:p>
        </w:tc>
        <w:tc>
          <w:tcPr>
            <w:tcW w:w="2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2,381</w:t>
            </w:r>
          </w:p>
        </w:tc>
        <w:tc>
          <w:tcPr>
            <w:tcW w:w="17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6,965</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6,386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(32,650)</w:t>
            </w:r>
          </w:p>
        </w:tc>
      </w:tr>
      <w:tr>
        <w:trPr>
          <w:trHeight w:val="203"/>
        </w:trPr>
        <w:tc>
          <w:tcPr>
            <w:tcW w:w="5280" w:type="dxa"/>
            <w:vAlign w:val="bottom"/>
          </w:tcPr>
          <w:p>
            <w:pPr>
              <w:ind w:left="40"/>
              <w:spacing w:after="0" w:line="202" w:lineRule="exact"/>
              <w:rPr>
                <w:sz w:val="20"/>
                <w:szCs w:val="20"/>
                <w:color w:val="auto"/>
              </w:rPr>
            </w:pPr>
            <w:r>
              <w:rPr>
                <w:rFonts w:ascii="Arial" w:cs="Arial" w:eastAsia="Arial" w:hAnsi="Arial"/>
                <w:sz w:val="18"/>
                <w:szCs w:val="18"/>
                <w:color w:val="auto"/>
              </w:rPr>
              <w:t>(Loss)/income from discontinued operations, net of tax</w:t>
            </w:r>
          </w:p>
        </w:tc>
        <w:tc>
          <w:tcPr>
            <w:tcW w:w="2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382</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(351)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71,582</w:t>
            </w:r>
          </w:p>
        </w:tc>
      </w:tr>
      <w:tr>
        <w:trPr>
          <w:trHeight w:val="239"/>
        </w:trPr>
        <w:tc>
          <w:tcPr>
            <w:tcW w:w="5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4,698</w:t>
            </w:r>
          </w:p>
        </w:tc>
        <w:tc>
          <w:tcPr>
            <w:tcW w:w="1740" w:type="dxa"/>
            <w:vAlign w:val="bottom"/>
          </w:tcPr>
          <w:p>
            <w:pPr>
              <w:jc w:val="right"/>
              <w:ind w:right="430"/>
              <w:spacing w:after="0"/>
              <w:rPr>
                <w:sz w:val="20"/>
                <w:szCs w:val="20"/>
                <w:color w:val="auto"/>
              </w:rPr>
            </w:pPr>
            <w:r>
              <w:rPr>
                <w:rFonts w:ascii="Arial" w:cs="Arial" w:eastAsia="Arial" w:hAnsi="Arial"/>
                <w:sz w:val="18"/>
                <w:szCs w:val="18"/>
                <w:color w:val="auto"/>
              </w:rPr>
              <w:t>9,463</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8,830</w:t>
            </w:r>
          </w:p>
        </w:tc>
        <w:tc>
          <w:tcPr>
            <w:tcW w:w="1040" w:type="dxa"/>
            <w:vAlign w:val="bottom"/>
          </w:tcPr>
          <w:p>
            <w:pPr>
              <w:jc w:val="right"/>
              <w:spacing w:after="0"/>
              <w:rPr>
                <w:sz w:val="20"/>
                <w:szCs w:val="20"/>
                <w:color w:val="auto"/>
              </w:rPr>
            </w:pPr>
            <w:r>
              <w:rPr>
                <w:rFonts w:ascii="Arial" w:cs="Arial" w:eastAsia="Arial" w:hAnsi="Arial"/>
                <w:sz w:val="18"/>
                <w:szCs w:val="18"/>
                <w:color w:val="auto"/>
              </w:rPr>
              <w:t>22,759</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20"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Year to date interest expense, net, decreased $1.6 million compared to the first nine months of 2012 and $0.5 million in the third quarter as compared to prior year principally due to a reduction in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jc w:val="both"/>
        <w:ind w:right="140"/>
        <w:spacing w:after="0"/>
        <w:rPr>
          <w:sz w:val="20"/>
          <w:szCs w:val="20"/>
          <w:color w:val="auto"/>
        </w:rPr>
      </w:pPr>
      <w:r>
        <w:rPr>
          <w:rFonts w:ascii="Arial" w:cs="Arial" w:eastAsia="Arial" w:hAnsi="Arial"/>
          <w:sz w:val="18"/>
          <w:szCs w:val="18"/>
          <w:color w:val="auto"/>
        </w:rPr>
        <w:t>interest rates under our Credit Agreement. The average balance outstanding under our revolving credit agreement for the first nine months of 2013 and 2012 was $156.6 million and $151.2 million, respectively. For more information on borrowings and interest rates, see Note 13 to the Consolidated Financial Statements in Item 1 which is incorporated herein by reference.</w:t>
      </w:r>
    </w:p>
    <w:p>
      <w:pPr>
        <w:spacing w:after="0" w:line="18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March 2013, the Company amended and extended its Credit Agreement and the Prudential Agreement to substantially conform financial and other covenants to the Credit agreement. The total cost for the amendments was $1.6 million. At March 2013 debt levels, the annual savings in interest and associated fees resulting from improved terms of the Credit Agreement would be approximately $1.9 million. See the Capital Resources section below for further discussion of borrowings and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 net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expense/(income), net included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20" w:lineRule="exact"/>
        <w:rPr>
          <w:sz w:val="20"/>
          <w:szCs w:val="20"/>
          <w:color w:val="auto"/>
        </w:rPr>
      </w:pPr>
    </w:p>
    <w:p>
      <w:pPr>
        <w:ind w:left="800" w:right="40" w:hanging="13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losses of $2.0 million during the third quarter 2013 and $2.2 million in the same quarter in 2012. The revaluation effects were principally due to the Euro’s relative strength against the U.S. dollar, Canadian dollar, Australian dollar, and Japanese yen.</w:t>
      </w:r>
    </w:p>
    <w:p>
      <w:pPr>
        <w:spacing w:after="0" w:line="94" w:lineRule="exact"/>
        <w:rPr>
          <w:rFonts w:ascii="Arial" w:cs="Arial" w:eastAsia="Arial" w:hAnsi="Arial"/>
          <w:sz w:val="18"/>
          <w:szCs w:val="18"/>
          <w:color w:val="auto"/>
        </w:rPr>
      </w:pPr>
    </w:p>
    <w:p>
      <w:pPr>
        <w:ind w:left="800" w:hanging="13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Q3 2013 includes $0.5 million in fees associated with the creation of Albany Safran Composites.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20" w:lineRule="exact"/>
        <w:rPr>
          <w:sz w:val="20"/>
          <w:szCs w:val="20"/>
          <w:color w:val="auto"/>
        </w:rPr>
      </w:pPr>
    </w:p>
    <w:p>
      <w:pPr>
        <w:ind w:left="800" w:right="40" w:hanging="13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losses of $3.9 million for the first nine months of 2013 and losses of $2.9 million for the same period in 2012. The revaluation effects were principally due to the Euro’s relative strength against the U.S. dollar, Canadian dollar, Australian dollar, and Japanese yen.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0" w:lineRule="exact"/>
        <w:rPr>
          <w:sz w:val="20"/>
          <w:szCs w:val="20"/>
          <w:color w:val="auto"/>
        </w:rPr>
      </w:pPr>
    </w:p>
    <w:p>
      <w:pPr>
        <w:jc w:val="both"/>
        <w:ind w:right="160" w:firstLine="648"/>
        <w:spacing w:after="0"/>
        <w:rPr>
          <w:sz w:val="20"/>
          <w:szCs w:val="20"/>
          <w:color w:val="auto"/>
        </w:rPr>
      </w:pPr>
      <w:r>
        <w:rPr>
          <w:rFonts w:ascii="Arial" w:cs="Arial" w:eastAsia="Arial" w:hAnsi="Arial"/>
          <w:sz w:val="18"/>
          <w:szCs w:val="18"/>
          <w:color w:val="auto"/>
        </w:rPr>
        <w:t>The Company has operations which constitute a taxable presence in 16 countries outside of the United States. All of these countries except one had income tax rates that were lower than the United States federal tax rate of 35% during the periods reported. The jurisdictional location of earnings is a significant component of our effective tax rate each year and therefore on our overall income tax expense.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07"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The Company’s effective tax rates for the third quarters of 2013 and 2012 were 33.6% and 43.4%, respectively. The tax rate is affected by recurring items, such as the income tax rate in the U.S. and in non-U.S. jurisdictions and the mix of income earned in those jurisdictions. The tax rate is also affected by U.S. tax costs on foreign earnings that have been or will be repatriated to the U.S., and by discrete items that may occur in any given year but are not consistent from year to year.</w:t>
      </w:r>
    </w:p>
    <w:p>
      <w:pPr>
        <w:spacing w:after="0" w:line="15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 xml:space="preserve">Significant items that impacted the tax rate in the third quarter of 2013 included the following (percentages reflect the effect </w:t>
      </w:r>
      <w:r>
        <w:rPr>
          <w:rFonts w:ascii="Arial" w:cs="Arial" w:eastAsia="Arial" w:hAnsi="Arial"/>
          <w:sz w:val="19"/>
          <w:szCs w:val="19"/>
          <w:color w:val="auto"/>
        </w:rPr>
        <w:t>of each item</w:t>
      </w:r>
      <w:r>
        <w:rPr>
          <w:rFonts w:ascii="Arial" w:cs="Arial" w:eastAsia="Arial" w:hAnsi="Arial"/>
          <w:sz w:val="18"/>
          <w:szCs w:val="18"/>
          <w:color w:val="auto"/>
        </w:rPr>
        <w:t xml:space="preserve"> </w:t>
      </w:r>
      <w:r>
        <w:rPr>
          <w:rFonts w:ascii="Arial" w:cs="Arial" w:eastAsia="Arial" w:hAnsi="Arial"/>
          <w:sz w:val="19"/>
          <w:szCs w:val="19"/>
          <w:color w:val="auto"/>
        </w:rPr>
        <w:t>as a percentage of Income before income taxes)</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3" w:name="page34"/>
    <w:bookmarkEnd w:id="33"/>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$0.5 million (7.4%) net benefit related to discrete items and the effect of a change in the estimated tax rate for the year.</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41.0%.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that impacted the third-quarter 2012 tax rate included the following:</w:t>
      </w:r>
    </w:p>
    <w:p>
      <w:pPr>
        <w:spacing w:after="0" w:line="104"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$1.2 million (8.0%) net charge related to discrete items and the effect of a change in the estimated tax rate for the year.</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35.4%.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193"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The Company’s effective tax rates for the first nine month periods of 2013 and 2012 were 41.0% and 40.1%, respectively. The tax rate is affected by recurring items, such as the income tax rate in the U.S. and in non-U.S. jurisdictions and the mix of income earned in those jurisdictions. The tax rate is also affected by U.S. tax costs on foreign earnings that have been or will be repatriated to the U.S., and by discrete items that may occur in any given year but are not consistent from year to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Significant items that impacted the 2013 tax rate included the following (percentages reflect the effect </w:t>
      </w:r>
      <w:r>
        <w:rPr>
          <w:rFonts w:ascii="Arial" w:cs="Arial" w:eastAsia="Arial" w:hAnsi="Arial"/>
          <w:sz w:val="19"/>
          <w:szCs w:val="19"/>
          <w:color w:val="auto"/>
        </w:rPr>
        <w:t>of each item as a percentage of</w:t>
      </w:r>
    </w:p>
    <w:p>
      <w:pPr>
        <w:spacing w:after="0"/>
        <w:rPr>
          <w:sz w:val="20"/>
          <w:szCs w:val="20"/>
          <w:color w:val="auto"/>
        </w:rPr>
      </w:pPr>
      <w:r>
        <w:rPr>
          <w:rFonts w:ascii="Arial" w:cs="Arial" w:eastAsia="Arial" w:hAnsi="Arial"/>
          <w:sz w:val="20"/>
          <w:szCs w:val="20"/>
          <w:color w:val="auto"/>
        </w:rPr>
        <w:t>Income before income taxes)</w:t>
      </w:r>
      <w:r>
        <w:rPr>
          <w:rFonts w:ascii="Arial" w:cs="Arial" w:eastAsia="Arial" w:hAnsi="Arial"/>
          <w:sz w:val="18"/>
          <w:szCs w:val="18"/>
          <w:color w:val="auto"/>
        </w:rPr>
        <w:t>:</w:t>
      </w:r>
    </w:p>
    <w:p>
      <w:pPr>
        <w:spacing w:after="0" w:line="164" w:lineRule="exact"/>
        <w:rPr>
          <w:sz w:val="20"/>
          <w:szCs w:val="20"/>
          <w:color w:val="auto"/>
        </w:rPr>
      </w:pPr>
    </w:p>
    <w:p>
      <w:pPr>
        <w:ind w:right="4380" w:firstLine="8"/>
        <w:spacing w:after="0" w:line="360" w:lineRule="auto"/>
        <w:tabs>
          <w:tab w:leader="none" w:pos="3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41.0%. Significant items that impacted the 2012 tax rate included the following:</w:t>
      </w: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$39.5 million (48.4%) discrete income tax benefit related to pension settlements in Sweden and the U.S.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discrete tax benefit of $6.7 million (8.3%) primarily related to the settlement of a tax audit in Canada.</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35.4%.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220"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In the first quarter of 2012, the Company completed the sale of its Albany Door Systems business and, in the second quarter 2012, the Company completed the sale of its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resulting in a pre-tax gain of $92.4 million. Including operations of the discontinued business, recognition of pre-closing liabilities and related income taxes, nine-month period loss from discontinued operations was $0.4 million in 2013, compared to a gain of $71.6 million in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9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Machine Clothing is our primary business segment and has accounted for nearly 89% of our consolidated revenues during the first nine months of 2013. Machine clothing is purchased primarily by manufacturers of paper and paperboard.</w:t>
      </w:r>
    </w:p>
    <w:p>
      <w:pPr>
        <w:spacing w:after="0" w:line="183"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2-3% over the next five years, driven primarily by secular demand increases in Asia and South America, with stabilization in the mature markets of Europe and North America.</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4" w:name="page35"/>
    <w:bookmarkEnd w:id="34"/>
    <w:p>
      <w:pPr>
        <w:ind w:firstLine="648"/>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were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 These factors help to explain why Paper Machine Clothing revenue growth grows at a lesser rate than growth in paper production.</w:t>
      </w:r>
    </w:p>
    <w:p>
      <w:pPr>
        <w:spacing w:after="0" w:line="190"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88"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Paper Machine Clothing manufacturing capacity in the United States, Canada, Germany, Finland, France, the Netherlands, Sweden, and Australia.</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Borders>
              <w:top w:val="single" w:sz="8" w:color="auto"/>
            </w:tcBorders>
          </w:tcPr>
          <w:p>
            <w:pPr>
              <w:spacing w:after="0"/>
              <w:rPr>
                <w:sz w:val="18"/>
                <w:szCs w:val="18"/>
                <w:color w:val="auto"/>
              </w:rPr>
            </w:pPr>
          </w:p>
        </w:tc>
        <w:tc>
          <w:tcPr>
            <w:tcW w:w="3920" w:type="dxa"/>
            <w:vAlign w:val="bottom"/>
            <w:tcBorders>
              <w:top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Three months ended</w:t>
            </w:r>
          </w:p>
        </w:tc>
        <w:tc>
          <w:tcPr>
            <w:tcW w:w="28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Nine months ended September</w:t>
            </w:r>
          </w:p>
        </w:tc>
      </w:tr>
      <w:tr>
        <w:trPr>
          <w:trHeight w:val="181"/>
        </w:trPr>
        <w:tc>
          <w:tcPr>
            <w:tcW w:w="4620" w:type="dxa"/>
            <w:vAlign w:val="bottom"/>
          </w:tcPr>
          <w:p>
            <w:pPr>
              <w:spacing w:after="0"/>
              <w:rPr>
                <w:sz w:val="15"/>
                <w:szCs w:val="15"/>
                <w:color w:val="auto"/>
              </w:rPr>
            </w:pPr>
          </w:p>
        </w:tc>
        <w:tc>
          <w:tcPr>
            <w:tcW w:w="3920" w:type="dxa"/>
            <w:vAlign w:val="bottom"/>
            <w:gridSpan w:val="2"/>
          </w:tcPr>
          <w:p>
            <w:pPr>
              <w:jc w:val="right"/>
              <w:ind w:right="870"/>
              <w:spacing w:after="0" w:line="181" w:lineRule="exact"/>
              <w:rPr>
                <w:sz w:val="20"/>
                <w:szCs w:val="20"/>
                <w:color w:val="auto"/>
              </w:rPr>
            </w:pPr>
            <w:r>
              <w:rPr>
                <w:rFonts w:ascii="Arial" w:cs="Arial" w:eastAsia="Arial" w:hAnsi="Arial"/>
                <w:sz w:val="18"/>
                <w:szCs w:val="18"/>
                <w:color w:val="auto"/>
              </w:rPr>
              <w:t>September 30,</w:t>
            </w:r>
          </w:p>
        </w:tc>
        <w:tc>
          <w:tcPr>
            <w:tcW w:w="1820" w:type="dxa"/>
            <w:vAlign w:val="bottom"/>
          </w:tcPr>
          <w:p>
            <w:pPr>
              <w:jc w:val="right"/>
              <w:ind w:right="90"/>
              <w:spacing w:after="0" w:line="181" w:lineRule="exact"/>
              <w:rPr>
                <w:sz w:val="20"/>
                <w:szCs w:val="20"/>
                <w:color w:val="auto"/>
              </w:rPr>
            </w:pPr>
            <w:r>
              <w:rPr>
                <w:rFonts w:ascii="Arial" w:cs="Arial" w:eastAsia="Arial" w:hAnsi="Arial"/>
                <w:sz w:val="18"/>
                <w:szCs w:val="18"/>
                <w:color w:val="auto"/>
              </w:rPr>
              <w:t>30,</w:t>
            </w:r>
          </w:p>
        </w:tc>
        <w:tc>
          <w:tcPr>
            <w:tcW w:w="1060" w:type="dxa"/>
            <w:vAlign w:val="bottom"/>
          </w:tcPr>
          <w:p>
            <w:pPr>
              <w:spacing w:after="0"/>
              <w:rPr>
                <w:sz w:val="15"/>
                <w:szCs w:val="15"/>
                <w:color w:val="auto"/>
              </w:rPr>
            </w:pPr>
          </w:p>
        </w:tc>
      </w:tr>
      <w:tr>
        <w:trPr>
          <w:trHeight w:val="225"/>
        </w:trPr>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 except percentages)</w:t>
            </w:r>
          </w:p>
        </w:tc>
        <w:tc>
          <w:tcPr>
            <w:tcW w:w="2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2012</w:t>
            </w:r>
          </w:p>
        </w:tc>
        <w:tc>
          <w:tcPr>
            <w:tcW w:w="18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r>
      <w:tr>
        <w:trPr>
          <w:trHeight w:val="173"/>
        </w:trPr>
        <w:tc>
          <w:tcPr>
            <w:tcW w:w="4620" w:type="dxa"/>
            <w:vAlign w:val="bottom"/>
          </w:tcPr>
          <w:p>
            <w:pPr>
              <w:ind w:left="100"/>
              <w:spacing w:after="0" w:line="173" w:lineRule="exact"/>
              <w:rPr>
                <w:sz w:val="20"/>
                <w:szCs w:val="20"/>
                <w:color w:val="auto"/>
              </w:rPr>
            </w:pPr>
            <w:r>
              <w:rPr>
                <w:rFonts w:ascii="Arial" w:cs="Arial" w:eastAsia="Arial" w:hAnsi="Arial"/>
                <w:sz w:val="18"/>
                <w:szCs w:val="18"/>
                <w:color w:val="auto"/>
              </w:rPr>
              <w:t>Net sales</w:t>
            </w:r>
          </w:p>
        </w:tc>
        <w:tc>
          <w:tcPr>
            <w:tcW w:w="256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$162,864</w:t>
            </w:r>
          </w:p>
        </w:tc>
        <w:tc>
          <w:tcPr>
            <w:tcW w:w="136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$177,471</w:t>
            </w:r>
          </w:p>
        </w:tc>
        <w:tc>
          <w:tcPr>
            <w:tcW w:w="182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$507,809</w:t>
            </w:r>
          </w:p>
        </w:tc>
        <w:tc>
          <w:tcPr>
            <w:tcW w:w="10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$518,881</w:t>
            </w:r>
          </w:p>
        </w:tc>
      </w:tr>
      <w:tr>
        <w:trPr>
          <w:trHeight w:val="203"/>
        </w:trPr>
        <w:tc>
          <w:tcPr>
            <w:tcW w:w="462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25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67,773</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79,195</w:t>
            </w:r>
          </w:p>
        </w:tc>
        <w:tc>
          <w:tcPr>
            <w:tcW w:w="18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219,559</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225,440</w:t>
            </w:r>
          </w:p>
        </w:tc>
      </w:tr>
      <w:tr>
        <w:trPr>
          <w:trHeight w:val="203"/>
        </w:trPr>
        <w:tc>
          <w:tcPr>
            <w:tcW w:w="4620" w:type="dxa"/>
            <w:vAlign w:val="bottom"/>
          </w:tcPr>
          <w:p>
            <w:pPr>
              <w:ind w:left="100"/>
              <w:spacing w:after="0" w:line="202" w:lineRule="exact"/>
              <w:rPr>
                <w:sz w:val="20"/>
                <w:szCs w:val="20"/>
                <w:color w:val="auto"/>
              </w:rPr>
            </w:pPr>
            <w:r>
              <w:rPr>
                <w:rFonts w:ascii="Arial" w:cs="Arial" w:eastAsia="Arial" w:hAnsi="Arial"/>
                <w:sz w:val="18"/>
                <w:szCs w:val="18"/>
                <w:color w:val="auto"/>
              </w:rPr>
              <w:t>% of net sales</w:t>
            </w:r>
          </w:p>
        </w:tc>
        <w:tc>
          <w:tcPr>
            <w:tcW w:w="25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41.6%</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44.6%</w:t>
            </w:r>
          </w:p>
        </w:tc>
        <w:tc>
          <w:tcPr>
            <w:tcW w:w="18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43.2%</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43.4%</w:t>
            </w:r>
          </w:p>
        </w:tc>
      </w:tr>
      <w:tr>
        <w:trPr>
          <w:trHeight w:val="225"/>
        </w:trPr>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income/(loss)</w:t>
            </w:r>
          </w:p>
        </w:tc>
        <w:tc>
          <w:tcPr>
            <w:tcW w:w="2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33,196</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44,918</w:t>
            </w: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96,803</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120,760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20" w:lineRule="exact"/>
        <w:rPr>
          <w:sz w:val="20"/>
          <w:szCs w:val="20"/>
          <w:color w:val="auto"/>
        </w:rPr>
      </w:pPr>
    </w:p>
    <w:p>
      <w:pPr>
        <w:ind w:left="800" w:hanging="13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2013 sales by $1.5 million.</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sales decreased 9.8% compared to the same period in 2012.</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third-quarter 2012 change in contract terms with a North American Machine Clothing customer increased sales by $8.0 million.</w:t>
      </w:r>
    </w:p>
    <w:p>
      <w:pPr>
        <w:spacing w:after="0" w:line="117" w:lineRule="exact"/>
        <w:rPr>
          <w:rFonts w:ascii="Arial" w:cs="Arial" w:eastAsia="Arial" w:hAnsi="Arial"/>
          <w:sz w:val="18"/>
          <w:szCs w:val="18"/>
          <w:color w:val="auto"/>
        </w:rPr>
      </w:pPr>
    </w:p>
    <w:p>
      <w:pPr>
        <w:ind w:left="800" w:right="720" w:hanging="135"/>
        <w:spacing w:after="0" w:line="246"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Summer slowdowns in 2013 were more severe than expected and sales in Asia were 10% below the third quarter of 2012 as customer operating rates in both packaging and publication grades remained soft.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20" w:lineRule="exact"/>
        <w:rPr>
          <w:sz w:val="20"/>
          <w:szCs w:val="20"/>
          <w:color w:val="auto"/>
        </w:rPr>
      </w:pPr>
    </w:p>
    <w:p>
      <w:pPr>
        <w:ind w:left="800" w:hanging="13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2013 sales by $1.2 million.</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sales decreased 2.4% compared to the same period in 2012.</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third-quarter 2012 change in contract terms with a North American Machine Clothing customer increased sales by $8.0 million.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gross profit was principally due to the net effect of the following:</w:t>
      </w:r>
    </w:p>
    <w:p>
      <w:pPr>
        <w:spacing w:after="0" w:line="198" w:lineRule="exact"/>
        <w:rPr>
          <w:sz w:val="20"/>
          <w:szCs w:val="20"/>
          <w:color w:val="auto"/>
        </w:rPr>
      </w:pPr>
    </w:p>
    <w:p>
      <w:pPr>
        <w:ind w:left="800" w:right="400" w:hanging="135"/>
        <w:spacing w:after="0" w:line="246"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Third-quarter 2012 gross profit was increased by $3.5 million as a result of a change in contract terms with a North America MC customer.</w:t>
      </w:r>
    </w:p>
    <w:p>
      <w:pPr>
        <w:spacing w:after="0" w:line="88" w:lineRule="exact"/>
        <w:rPr>
          <w:rFonts w:ascii="Arial" w:cs="Arial" w:eastAsia="Arial" w:hAnsi="Arial"/>
          <w:sz w:val="18"/>
          <w:szCs w:val="18"/>
          <w:color w:val="auto"/>
        </w:rPr>
      </w:pPr>
    </w:p>
    <w:p>
      <w:pPr>
        <w:ind w:left="800" w:hanging="13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$3.0 million decrease due to other sales decreases.</w:t>
      </w:r>
    </w:p>
    <w:p>
      <w:pPr>
        <w:spacing w:after="0" w:line="117" w:lineRule="exact"/>
        <w:rPr>
          <w:rFonts w:ascii="Arial" w:cs="Arial" w:eastAsia="Arial" w:hAnsi="Arial"/>
          <w:sz w:val="18"/>
          <w:szCs w:val="18"/>
          <w:color w:val="auto"/>
        </w:rPr>
      </w:pPr>
    </w:p>
    <w:p>
      <w:pPr>
        <w:ind w:left="800" w:hanging="135"/>
        <w:spacing w:after="0" w:line="246"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$5.3 million decrease due to a lower gross profit margin. The decrease was principally attributable to an unfavorable change in the geographic mix and a more severe-than-expected seasonal effect that resulted in production inefficiencies.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gross profit was principally due to the net effect of the following:</w:t>
      </w:r>
    </w:p>
    <w:p>
      <w:pPr>
        <w:spacing w:after="0" w:line="198" w:lineRule="exact"/>
        <w:rPr>
          <w:sz w:val="20"/>
          <w:szCs w:val="20"/>
          <w:color w:val="auto"/>
        </w:rPr>
      </w:pPr>
    </w:p>
    <w:p>
      <w:pPr>
        <w:ind w:left="800" w:right="400" w:hanging="135"/>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Third-quarter 2012 gross profit was increased by $3.5 million as a result of a change in contract terms with a North America MC customer.</w:t>
      </w:r>
    </w:p>
    <w:p>
      <w:pPr>
        <w:spacing w:after="0" w:line="88" w:lineRule="exact"/>
        <w:rPr>
          <w:rFonts w:ascii="Arial" w:cs="Arial" w:eastAsia="Arial" w:hAnsi="Arial"/>
          <w:sz w:val="18"/>
          <w:szCs w:val="18"/>
          <w:color w:val="auto"/>
        </w:rPr>
      </w:pPr>
    </w:p>
    <w:p>
      <w:pPr>
        <w:ind w:left="800" w:hanging="13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$1.3 million decrease due to other sales decreases.</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$1.1 million decrease due to a lower gross profit margin.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operating income/(loss) was principally due to the net effect of the following:</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20" w:lineRule="exact"/>
        <w:rPr>
          <w:sz w:val="20"/>
          <w:szCs w:val="20"/>
          <w:color w:val="auto"/>
        </w:rPr>
      </w:pPr>
    </w:p>
    <w:p>
      <w:pPr>
        <w:ind w:left="800" w:hanging="135"/>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charges of $2.3 million in third quarter 2013 compared to $2.7 million in the comparable period 2012.</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gross profit, as described above.</w:t>
      </w:r>
    </w:p>
    <w:p>
      <w:pPr>
        <w:spacing w:after="0" w:line="117" w:lineRule="exact"/>
        <w:rPr>
          <w:rFonts w:ascii="Arial" w:cs="Arial" w:eastAsia="Arial" w:hAnsi="Arial"/>
          <w:sz w:val="18"/>
          <w:szCs w:val="18"/>
          <w:color w:val="auto"/>
        </w:rPr>
      </w:pPr>
    </w:p>
    <w:p>
      <w:pPr>
        <w:ind w:left="800" w:right="100" w:hanging="135"/>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third quarter losses of $1.3 million in 2013 and losses of $1.4 million in the comparable period in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20" w:lineRule="exact"/>
        <w:rPr>
          <w:sz w:val="20"/>
          <w:szCs w:val="20"/>
          <w:color w:val="auto"/>
        </w:rPr>
      </w:pPr>
    </w:p>
    <w:p>
      <w:pPr>
        <w:ind w:left="800" w:hanging="13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gross profit, as described above.</w:t>
      </w:r>
    </w:p>
    <w:p>
      <w:pPr>
        <w:spacing w:after="0" w:line="117" w:lineRule="exact"/>
        <w:rPr>
          <w:rFonts w:ascii="Arial" w:cs="Arial" w:eastAsia="Arial" w:hAnsi="Arial"/>
          <w:sz w:val="18"/>
          <w:szCs w:val="18"/>
          <w:color w:val="auto"/>
        </w:rPr>
      </w:pPr>
    </w:p>
    <w:p>
      <w:pPr>
        <w:ind w:left="800" w:hanging="13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charges of $26.7 million in 2013 compared to $6.3 million in 2012.</w:t>
      </w:r>
    </w:p>
    <w:p>
      <w:pPr>
        <w:spacing w:after="0" w:line="117" w:lineRule="exact"/>
        <w:rPr>
          <w:rFonts w:ascii="Arial" w:cs="Arial" w:eastAsia="Arial" w:hAnsi="Arial"/>
          <w:sz w:val="18"/>
          <w:szCs w:val="18"/>
          <w:color w:val="auto"/>
        </w:rPr>
      </w:pPr>
    </w:p>
    <w:p>
      <w:pPr>
        <w:ind w:left="800" w:right="60" w:hanging="135"/>
        <w:spacing w:after="0" w:line="24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$0.1 million in 2013 and losses of $0.5 million in the comparable period in 2012.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46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Engineered Composites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98" w:lineRule="exact"/>
        <w:rPr>
          <w:sz w:val="20"/>
          <w:szCs w:val="20"/>
          <w:color w:val="auto"/>
        </w:rPr>
      </w:pPr>
    </w:p>
    <w:p>
      <w:pPr>
        <w:ind w:right="420" w:firstLine="648"/>
        <w:spacing w:after="0" w:line="238" w:lineRule="auto"/>
        <w:rPr>
          <w:sz w:val="20"/>
          <w:szCs w:val="20"/>
          <w:color w:val="auto"/>
        </w:rPr>
      </w:pPr>
      <w:r>
        <w:rPr>
          <w:rFonts w:ascii="Arial" w:cs="Arial" w:eastAsia="Arial" w:hAnsi="Arial"/>
          <w:sz w:val="18"/>
          <w:szCs w:val="18"/>
          <w:color w:val="auto"/>
        </w:rPr>
        <w:t>The Engineered Composites segment (AEC) provides custom-designed advanced composite structures based on proprietary technology to customers in the aerospace and defense industries. AEC’s largest current development program relates to the LEAP engine being developed by CFM International. Under this program, AEC is developing a family of composite parts, including fan blades, to be incorporated into the LEAP engine. In 2012, approximately 25% of this segment’s sales were related to U.S. government contracts or programs.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Borders>
              <w:top w:val="single" w:sz="8" w:color="auto"/>
            </w:tcBorders>
          </w:tcPr>
          <w:p>
            <w:pPr>
              <w:spacing w:after="0"/>
              <w:rPr>
                <w:sz w:val="18"/>
                <w:szCs w:val="18"/>
                <w:color w:val="auto"/>
              </w:rPr>
            </w:pPr>
          </w:p>
        </w:tc>
        <w:tc>
          <w:tcPr>
            <w:tcW w:w="3920" w:type="dxa"/>
            <w:vAlign w:val="bottom"/>
            <w:tcBorders>
              <w:top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Three months ended</w:t>
            </w:r>
          </w:p>
        </w:tc>
        <w:tc>
          <w:tcPr>
            <w:tcW w:w="28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Nine months ended September</w:t>
            </w:r>
          </w:p>
        </w:tc>
      </w:tr>
      <w:tr>
        <w:trPr>
          <w:trHeight w:val="181"/>
        </w:trPr>
        <w:tc>
          <w:tcPr>
            <w:tcW w:w="4620" w:type="dxa"/>
            <w:vAlign w:val="bottom"/>
          </w:tcPr>
          <w:p>
            <w:pPr>
              <w:spacing w:after="0"/>
              <w:rPr>
                <w:sz w:val="15"/>
                <w:szCs w:val="15"/>
                <w:color w:val="auto"/>
              </w:rPr>
            </w:pPr>
          </w:p>
        </w:tc>
        <w:tc>
          <w:tcPr>
            <w:tcW w:w="3920" w:type="dxa"/>
            <w:vAlign w:val="bottom"/>
            <w:gridSpan w:val="2"/>
          </w:tcPr>
          <w:p>
            <w:pPr>
              <w:jc w:val="right"/>
              <w:ind w:right="870"/>
              <w:spacing w:after="0" w:line="181" w:lineRule="exact"/>
              <w:rPr>
                <w:sz w:val="20"/>
                <w:szCs w:val="20"/>
                <w:color w:val="auto"/>
              </w:rPr>
            </w:pPr>
            <w:r>
              <w:rPr>
                <w:rFonts w:ascii="Arial" w:cs="Arial" w:eastAsia="Arial" w:hAnsi="Arial"/>
                <w:sz w:val="18"/>
                <w:szCs w:val="18"/>
                <w:color w:val="auto"/>
              </w:rPr>
              <w:t>September 30,</w:t>
            </w:r>
          </w:p>
        </w:tc>
        <w:tc>
          <w:tcPr>
            <w:tcW w:w="1820" w:type="dxa"/>
            <w:vAlign w:val="bottom"/>
          </w:tcPr>
          <w:p>
            <w:pPr>
              <w:jc w:val="right"/>
              <w:ind w:right="90"/>
              <w:spacing w:after="0" w:line="181" w:lineRule="exact"/>
              <w:rPr>
                <w:sz w:val="20"/>
                <w:szCs w:val="20"/>
                <w:color w:val="auto"/>
              </w:rPr>
            </w:pPr>
            <w:r>
              <w:rPr>
                <w:rFonts w:ascii="Arial" w:cs="Arial" w:eastAsia="Arial" w:hAnsi="Arial"/>
                <w:sz w:val="18"/>
                <w:szCs w:val="18"/>
                <w:color w:val="auto"/>
              </w:rPr>
              <w:t>30,</w:t>
            </w:r>
          </w:p>
        </w:tc>
        <w:tc>
          <w:tcPr>
            <w:tcW w:w="1060" w:type="dxa"/>
            <w:vAlign w:val="bottom"/>
          </w:tcPr>
          <w:p>
            <w:pPr>
              <w:spacing w:after="0"/>
              <w:rPr>
                <w:sz w:val="15"/>
                <w:szCs w:val="15"/>
                <w:color w:val="auto"/>
              </w:rPr>
            </w:pPr>
          </w:p>
        </w:tc>
      </w:tr>
      <w:tr>
        <w:trPr>
          <w:trHeight w:val="225"/>
        </w:trPr>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 except percentages)</w:t>
            </w:r>
          </w:p>
        </w:tc>
        <w:tc>
          <w:tcPr>
            <w:tcW w:w="2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2012</w:t>
            </w:r>
          </w:p>
        </w:tc>
        <w:tc>
          <w:tcPr>
            <w:tcW w:w="18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r>
      <w:tr>
        <w:trPr>
          <w:trHeight w:val="173"/>
        </w:trPr>
        <w:tc>
          <w:tcPr>
            <w:tcW w:w="4620" w:type="dxa"/>
            <w:vAlign w:val="bottom"/>
          </w:tcPr>
          <w:p>
            <w:pPr>
              <w:ind w:left="100"/>
              <w:spacing w:after="0" w:line="173" w:lineRule="exact"/>
              <w:rPr>
                <w:sz w:val="20"/>
                <w:szCs w:val="20"/>
                <w:color w:val="auto"/>
              </w:rPr>
            </w:pPr>
            <w:r>
              <w:rPr>
                <w:rFonts w:ascii="Arial" w:cs="Arial" w:eastAsia="Arial" w:hAnsi="Arial"/>
                <w:sz w:val="18"/>
                <w:szCs w:val="18"/>
                <w:color w:val="auto"/>
              </w:rPr>
              <w:t>Net sales</w:t>
            </w:r>
          </w:p>
        </w:tc>
        <w:tc>
          <w:tcPr>
            <w:tcW w:w="256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$20,283</w:t>
            </w:r>
          </w:p>
        </w:tc>
        <w:tc>
          <w:tcPr>
            <w:tcW w:w="136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$17,118</w:t>
            </w:r>
          </w:p>
        </w:tc>
        <w:tc>
          <w:tcPr>
            <w:tcW w:w="182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$59,966</w:t>
            </w:r>
          </w:p>
        </w:tc>
        <w:tc>
          <w:tcPr>
            <w:tcW w:w="10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$47,725</w:t>
            </w:r>
          </w:p>
        </w:tc>
      </w:tr>
      <w:tr>
        <w:trPr>
          <w:trHeight w:val="203"/>
        </w:trPr>
        <w:tc>
          <w:tcPr>
            <w:tcW w:w="462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25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1,061</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1,515</w:t>
            </w:r>
          </w:p>
        </w:tc>
        <w:tc>
          <w:tcPr>
            <w:tcW w:w="18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1,542</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4,218</w:t>
            </w:r>
          </w:p>
        </w:tc>
      </w:tr>
      <w:tr>
        <w:trPr>
          <w:trHeight w:val="203"/>
        </w:trPr>
        <w:tc>
          <w:tcPr>
            <w:tcW w:w="4620" w:type="dxa"/>
            <w:vAlign w:val="bottom"/>
          </w:tcPr>
          <w:p>
            <w:pPr>
              <w:ind w:left="100"/>
              <w:spacing w:after="0" w:line="202" w:lineRule="exact"/>
              <w:rPr>
                <w:sz w:val="20"/>
                <w:szCs w:val="20"/>
                <w:color w:val="auto"/>
              </w:rPr>
            </w:pPr>
            <w:r>
              <w:rPr>
                <w:rFonts w:ascii="Arial" w:cs="Arial" w:eastAsia="Arial" w:hAnsi="Arial"/>
                <w:sz w:val="18"/>
                <w:szCs w:val="18"/>
                <w:color w:val="auto"/>
              </w:rPr>
              <w:t>% of net sales</w:t>
            </w:r>
          </w:p>
        </w:tc>
        <w:tc>
          <w:tcPr>
            <w:tcW w:w="25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5.2%</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8.9%</w:t>
            </w:r>
          </w:p>
        </w:tc>
        <w:tc>
          <w:tcPr>
            <w:tcW w:w="18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2.6%</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w:t>
            </w:r>
          </w:p>
        </w:tc>
      </w:tr>
      <w:tr>
        <w:trPr>
          <w:trHeight w:val="225"/>
        </w:trPr>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income/(loss)</w:t>
            </w:r>
          </w:p>
        </w:tc>
        <w:tc>
          <w:tcPr>
            <w:tcW w:w="2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(572)</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(312)</w:t>
            </w: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(4,460)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 comparison</w:t>
      </w:r>
    </w:p>
    <w:p>
      <w:pPr>
        <w:spacing w:after="0" w:line="220" w:lineRule="exact"/>
        <w:rPr>
          <w:sz w:val="20"/>
          <w:szCs w:val="20"/>
          <w:color w:val="auto"/>
        </w:rPr>
      </w:pPr>
    </w:p>
    <w:p>
      <w:pPr>
        <w:ind w:left="800" w:hanging="135"/>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 in sales was principally due to LEAP program activities.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 comparison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gross profit included the following:</w:t>
      </w:r>
    </w:p>
    <w:p>
      <w:pPr>
        <w:spacing w:after="0" w:line="306" w:lineRule="exact"/>
        <w:rPr>
          <w:sz w:val="20"/>
          <w:szCs w:val="20"/>
          <w:color w:val="auto"/>
        </w:rPr>
      </w:pPr>
    </w:p>
    <w:p>
      <w:pPr>
        <w:ind w:left="800" w:right="120" w:hanging="135"/>
        <w:spacing w:after="0" w:line="275"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AEC gross margin was negatively affected by inventory write-offs and lower profitability associated with legacy programs at the Company’s Boerne, Texas, facility that amounted to $0.6 million in the third quarter and $2.9 million for the first nine months of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 comparison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Third-quarter 2013 operating income/(loss) decreased principally due to the decrease in gross profit as described above.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Borders>
              <w:top w:val="single" w:sz="8" w:color="auto"/>
            </w:tcBorders>
          </w:tcPr>
          <w:p>
            <w:pPr>
              <w:spacing w:after="0"/>
              <w:rPr>
                <w:sz w:val="18"/>
                <w:szCs w:val="18"/>
                <w:color w:val="auto"/>
              </w:rPr>
            </w:pPr>
          </w:p>
        </w:tc>
        <w:tc>
          <w:tcPr>
            <w:tcW w:w="44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Nine months ended September</w:t>
            </w:r>
          </w:p>
        </w:tc>
        <w:tc>
          <w:tcPr>
            <w:tcW w:w="0" w:type="dxa"/>
            <w:vAlign w:val="bottom"/>
          </w:tcPr>
          <w:p>
            <w:pPr>
              <w:spacing w:after="0"/>
              <w:rPr>
                <w:sz w:val="1"/>
                <w:szCs w:val="1"/>
                <w:color w:val="auto"/>
              </w:rPr>
            </w:pPr>
          </w:p>
        </w:tc>
      </w:tr>
      <w:tr>
        <w:trPr>
          <w:trHeight w:val="203"/>
        </w:trPr>
        <w:tc>
          <w:tcPr>
            <w:tcW w:w="70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 thousands)</w:t>
            </w:r>
          </w:p>
        </w:tc>
        <w:tc>
          <w:tcPr>
            <w:tcW w:w="28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560" w:type="dxa"/>
            <w:vAlign w:val="bottom"/>
          </w:tcPr>
          <w:p>
            <w:pPr>
              <w:jc w:val="right"/>
              <w:ind w:right="1210"/>
              <w:spacing w:after="0" w:line="202" w:lineRule="exact"/>
              <w:rPr>
                <w:sz w:val="20"/>
                <w:szCs w:val="20"/>
                <w:color w:val="auto"/>
              </w:rPr>
            </w:pPr>
            <w:r>
              <w:rPr>
                <w:rFonts w:ascii="Arial" w:cs="Arial" w:eastAsia="Arial" w:hAnsi="Arial"/>
                <w:sz w:val="18"/>
                <w:szCs w:val="18"/>
                <w:color w:val="auto"/>
                <w:w w:val="95"/>
              </w:rPr>
              <w:t>30,</w:t>
            </w:r>
          </w:p>
        </w:tc>
        <w:tc>
          <w:tcPr>
            <w:tcW w:w="0" w:type="dxa"/>
            <w:vAlign w:val="bottom"/>
          </w:tcPr>
          <w:p>
            <w:pPr>
              <w:spacing w:after="0"/>
              <w:rPr>
                <w:sz w:val="1"/>
                <w:szCs w:val="1"/>
                <w:color w:val="auto"/>
              </w:rPr>
            </w:pPr>
          </w:p>
        </w:tc>
      </w:tr>
      <w:tr>
        <w:trPr>
          <w:trHeight w:val="203"/>
        </w:trPr>
        <w:tc>
          <w:tcPr>
            <w:tcW w:w="7000" w:type="dxa"/>
            <w:vAlign w:val="bottom"/>
            <w:tcBorders>
              <w:bottom w:val="single" w:sz="8" w:color="auto"/>
            </w:tcBorders>
            <w:vMerge w:val="continue"/>
          </w:tcPr>
          <w:p>
            <w:pPr>
              <w:spacing w:after="0"/>
              <w:rPr>
                <w:sz w:val="17"/>
                <w:szCs w:val="17"/>
                <w:color w:val="auto"/>
              </w:rPr>
            </w:pPr>
          </w:p>
        </w:tc>
        <w:tc>
          <w:tcPr>
            <w:tcW w:w="286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73"/>
        </w:trPr>
        <w:tc>
          <w:tcPr>
            <w:tcW w:w="7000" w:type="dxa"/>
            <w:vAlign w:val="bottom"/>
          </w:tcPr>
          <w:p>
            <w:pPr>
              <w:ind w:left="100"/>
              <w:spacing w:after="0" w:line="173" w:lineRule="exact"/>
              <w:rPr>
                <w:sz w:val="20"/>
                <w:szCs w:val="20"/>
                <w:color w:val="auto"/>
              </w:rPr>
            </w:pPr>
            <w:r>
              <w:rPr>
                <w:rFonts w:ascii="Arial" w:cs="Arial" w:eastAsia="Arial" w:hAnsi="Arial"/>
                <w:sz w:val="18"/>
                <w:szCs w:val="18"/>
                <w:color w:val="auto"/>
              </w:rPr>
              <w:t>Net income</w:t>
            </w:r>
          </w:p>
        </w:tc>
        <w:tc>
          <w:tcPr>
            <w:tcW w:w="28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$8,830</w:t>
            </w:r>
          </w:p>
        </w:tc>
        <w:tc>
          <w:tcPr>
            <w:tcW w:w="15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$22,759</w:t>
            </w:r>
          </w:p>
        </w:tc>
        <w:tc>
          <w:tcPr>
            <w:tcW w:w="0" w:type="dxa"/>
            <w:vAlign w:val="bottom"/>
          </w:tcPr>
          <w:p>
            <w:pPr>
              <w:spacing w:after="0"/>
              <w:rPr>
                <w:sz w:val="1"/>
                <w:szCs w:val="1"/>
                <w:color w:val="auto"/>
              </w:rPr>
            </w:pPr>
          </w:p>
        </w:tc>
      </w:tr>
      <w:tr>
        <w:trPr>
          <w:trHeight w:val="203"/>
        </w:trPr>
        <w:tc>
          <w:tcPr>
            <w:tcW w:w="7000" w:type="dxa"/>
            <w:vAlign w:val="bottom"/>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2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47,752</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47,500</w:t>
            </w:r>
          </w:p>
        </w:tc>
        <w:tc>
          <w:tcPr>
            <w:tcW w:w="0" w:type="dxa"/>
            <w:vAlign w:val="bottom"/>
          </w:tcPr>
          <w:p>
            <w:pPr>
              <w:spacing w:after="0"/>
              <w:rPr>
                <w:sz w:val="1"/>
                <w:szCs w:val="1"/>
                <w:color w:val="auto"/>
              </w:rPr>
            </w:pPr>
          </w:p>
        </w:tc>
      </w:tr>
      <w:tr>
        <w:trPr>
          <w:trHeight w:val="203"/>
        </w:trPr>
        <w:tc>
          <w:tcPr>
            <w:tcW w:w="7000" w:type="dxa"/>
            <w:vAlign w:val="bottom"/>
          </w:tcPr>
          <w:p>
            <w:pPr>
              <w:ind w:left="160"/>
              <w:spacing w:after="0" w:line="202" w:lineRule="exact"/>
              <w:rPr>
                <w:sz w:val="20"/>
                <w:szCs w:val="20"/>
                <w:color w:val="auto"/>
              </w:rPr>
            </w:pPr>
            <w:r>
              <w:rPr>
                <w:rFonts w:ascii="Arial" w:cs="Arial" w:eastAsia="Arial" w:hAnsi="Arial"/>
                <w:sz w:val="18"/>
                <w:szCs w:val="18"/>
                <w:color w:val="auto"/>
              </w:rPr>
              <w:t>Changes in working capital</w:t>
            </w:r>
          </w:p>
        </w:tc>
        <w:tc>
          <w:tcPr>
            <w:tcW w:w="2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16,011</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17,313</w:t>
            </w:r>
          </w:p>
        </w:tc>
        <w:tc>
          <w:tcPr>
            <w:tcW w:w="0" w:type="dxa"/>
            <w:vAlign w:val="bottom"/>
          </w:tcPr>
          <w:p>
            <w:pPr>
              <w:spacing w:after="0"/>
              <w:rPr>
                <w:sz w:val="1"/>
                <w:szCs w:val="1"/>
                <w:color w:val="auto"/>
              </w:rPr>
            </w:pPr>
          </w:p>
        </w:tc>
      </w:tr>
      <w:tr>
        <w:trPr>
          <w:trHeight w:val="203"/>
        </w:trPr>
        <w:tc>
          <w:tcPr>
            <w:tcW w:w="7000" w:type="dxa"/>
            <w:vAlign w:val="bottom"/>
          </w:tcPr>
          <w:p>
            <w:pPr>
              <w:ind w:left="160"/>
              <w:spacing w:after="0" w:line="202" w:lineRule="exact"/>
              <w:rPr>
                <w:sz w:val="20"/>
                <w:szCs w:val="20"/>
                <w:color w:val="auto"/>
              </w:rPr>
            </w:pPr>
            <w:r>
              <w:rPr>
                <w:rFonts w:ascii="Arial" w:cs="Arial" w:eastAsia="Arial" w:hAnsi="Arial"/>
                <w:sz w:val="18"/>
                <w:szCs w:val="18"/>
                <w:color w:val="auto"/>
              </w:rPr>
              <w:t>Gain on disposition of assets</w:t>
            </w:r>
          </w:p>
        </w:tc>
        <w:tc>
          <w:tcPr>
            <w:tcW w:w="2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(3,763)</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(92,376)</w:t>
            </w:r>
          </w:p>
        </w:tc>
        <w:tc>
          <w:tcPr>
            <w:tcW w:w="0" w:type="dxa"/>
            <w:vAlign w:val="bottom"/>
          </w:tcPr>
          <w:p>
            <w:pPr>
              <w:spacing w:after="0"/>
              <w:rPr>
                <w:sz w:val="1"/>
                <w:szCs w:val="1"/>
                <w:color w:val="auto"/>
              </w:rPr>
            </w:pPr>
          </w:p>
        </w:tc>
      </w:tr>
      <w:tr>
        <w:trPr>
          <w:trHeight w:val="203"/>
        </w:trPr>
        <w:tc>
          <w:tcPr>
            <w:tcW w:w="7000" w:type="dxa"/>
            <w:vAlign w:val="bottom"/>
          </w:tcPr>
          <w:p>
            <w:pPr>
              <w:ind w:left="16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2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(4,274)</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(126,606)</w:t>
            </w:r>
          </w:p>
        </w:tc>
        <w:tc>
          <w:tcPr>
            <w:tcW w:w="0" w:type="dxa"/>
            <w:vAlign w:val="bottom"/>
          </w:tcPr>
          <w:p>
            <w:pPr>
              <w:spacing w:after="0"/>
              <w:rPr>
                <w:sz w:val="1"/>
                <w:szCs w:val="1"/>
                <w:color w:val="auto"/>
              </w:rPr>
            </w:pPr>
          </w:p>
        </w:tc>
      </w:tr>
      <w:tr>
        <w:trPr>
          <w:trHeight w:val="203"/>
        </w:trPr>
        <w:tc>
          <w:tcPr>
            <w:tcW w:w="7000" w:type="dxa"/>
            <w:vAlign w:val="bottom"/>
          </w:tcPr>
          <w:p>
            <w:pPr>
              <w:ind w:left="160"/>
              <w:spacing w:after="0" w:line="202" w:lineRule="exact"/>
              <w:rPr>
                <w:sz w:val="20"/>
                <w:szCs w:val="20"/>
                <w:color w:val="auto"/>
              </w:rPr>
            </w:pPr>
            <w:r>
              <w:rPr>
                <w:rFonts w:ascii="Arial" w:cs="Arial" w:eastAsia="Arial" w:hAnsi="Arial"/>
                <w:sz w:val="18"/>
                <w:szCs w:val="18"/>
                <w:color w:val="auto"/>
              </w:rPr>
              <w:t>Write-off of pension liability adjustment</w:t>
            </w:r>
          </w:p>
        </w:tc>
        <w:tc>
          <w:tcPr>
            <w:tcW w:w="2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118,350</w:t>
            </w:r>
          </w:p>
        </w:tc>
        <w:tc>
          <w:tcPr>
            <w:tcW w:w="0" w:type="dxa"/>
            <w:vAlign w:val="bottom"/>
          </w:tcPr>
          <w:p>
            <w:pPr>
              <w:spacing w:after="0"/>
              <w:rPr>
                <w:sz w:val="1"/>
                <w:szCs w:val="1"/>
                <w:color w:val="auto"/>
              </w:rPr>
            </w:pPr>
          </w:p>
        </w:tc>
      </w:tr>
      <w:tr>
        <w:trPr>
          <w:trHeight w:val="225"/>
        </w:trPr>
        <w:tc>
          <w:tcPr>
            <w:tcW w:w="7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operating items</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(1,502)</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173"/>
        </w:trPr>
        <w:tc>
          <w:tcPr>
            <w:tcW w:w="7000" w:type="dxa"/>
            <w:vAlign w:val="bottom"/>
          </w:tcPr>
          <w:p>
            <w:pPr>
              <w:ind w:left="100"/>
              <w:spacing w:after="0" w:line="173" w:lineRule="exact"/>
              <w:rPr>
                <w:sz w:val="20"/>
                <w:szCs w:val="20"/>
                <w:color w:val="auto"/>
              </w:rPr>
            </w:pPr>
            <w:r>
              <w:rPr>
                <w:rFonts w:ascii="Arial" w:cs="Arial" w:eastAsia="Arial" w:hAnsi="Arial"/>
                <w:sz w:val="18"/>
                <w:szCs w:val="18"/>
                <w:color w:val="auto"/>
              </w:rPr>
              <w:t>Net cash provided by/(used in) operating activities</w:t>
            </w:r>
          </w:p>
        </w:tc>
        <w:tc>
          <w:tcPr>
            <w:tcW w:w="28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63,054</w:t>
            </w:r>
          </w:p>
        </w:tc>
        <w:tc>
          <w:tcPr>
            <w:tcW w:w="15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(10,278)</w:t>
            </w:r>
          </w:p>
        </w:tc>
        <w:tc>
          <w:tcPr>
            <w:tcW w:w="0" w:type="dxa"/>
            <w:vAlign w:val="bottom"/>
          </w:tcPr>
          <w:p>
            <w:pPr>
              <w:spacing w:after="0"/>
              <w:rPr>
                <w:sz w:val="1"/>
                <w:szCs w:val="1"/>
                <w:color w:val="auto"/>
              </w:rPr>
            </w:pPr>
          </w:p>
        </w:tc>
      </w:tr>
      <w:tr>
        <w:trPr>
          <w:trHeight w:val="203"/>
        </w:trPr>
        <w:tc>
          <w:tcPr>
            <w:tcW w:w="7000" w:type="dxa"/>
            <w:vAlign w:val="bottom"/>
          </w:tcPr>
          <w:p>
            <w:pPr>
              <w:ind w:left="100"/>
              <w:spacing w:after="0" w:line="202" w:lineRule="exact"/>
              <w:rPr>
                <w:sz w:val="20"/>
                <w:szCs w:val="20"/>
                <w:color w:val="auto"/>
              </w:rPr>
            </w:pPr>
            <w:r>
              <w:rPr>
                <w:rFonts w:ascii="Arial" w:cs="Arial" w:eastAsia="Arial" w:hAnsi="Arial"/>
                <w:sz w:val="18"/>
                <w:szCs w:val="18"/>
                <w:color w:val="auto"/>
              </w:rPr>
              <w:t>Net cash provided by/(used in) investing activities</w:t>
            </w:r>
          </w:p>
        </w:tc>
        <w:tc>
          <w:tcPr>
            <w:tcW w:w="2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(28,294)</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125,263</w:t>
            </w:r>
          </w:p>
        </w:tc>
        <w:tc>
          <w:tcPr>
            <w:tcW w:w="0" w:type="dxa"/>
            <w:vAlign w:val="bottom"/>
          </w:tcPr>
          <w:p>
            <w:pPr>
              <w:spacing w:after="0"/>
              <w:rPr>
                <w:sz w:val="1"/>
                <w:szCs w:val="1"/>
                <w:color w:val="auto"/>
              </w:rPr>
            </w:pPr>
          </w:p>
        </w:tc>
      </w:tr>
      <w:tr>
        <w:trPr>
          <w:trHeight w:val="203"/>
        </w:trPr>
        <w:tc>
          <w:tcPr>
            <w:tcW w:w="7000" w:type="dxa"/>
            <w:vAlign w:val="bottom"/>
          </w:tcPr>
          <w:p>
            <w:pPr>
              <w:ind w:left="100"/>
              <w:spacing w:after="0" w:line="202" w:lineRule="exact"/>
              <w:rPr>
                <w:sz w:val="20"/>
                <w:szCs w:val="20"/>
                <w:color w:val="auto"/>
              </w:rPr>
            </w:pPr>
            <w:r>
              <w:rPr>
                <w:rFonts w:ascii="Arial" w:cs="Arial" w:eastAsia="Arial" w:hAnsi="Arial"/>
                <w:sz w:val="18"/>
                <w:szCs w:val="18"/>
                <w:color w:val="auto"/>
              </w:rPr>
              <w:t>Net cash (used in) financing activities</w:t>
            </w:r>
          </w:p>
        </w:tc>
        <w:tc>
          <w:tcPr>
            <w:tcW w:w="2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(17,281)</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(64,602)</w:t>
            </w:r>
          </w:p>
        </w:tc>
        <w:tc>
          <w:tcPr>
            <w:tcW w:w="0" w:type="dxa"/>
            <w:vAlign w:val="bottom"/>
          </w:tcPr>
          <w:p>
            <w:pPr>
              <w:spacing w:after="0"/>
              <w:rPr>
                <w:sz w:val="1"/>
                <w:szCs w:val="1"/>
                <w:color w:val="auto"/>
              </w:rPr>
            </w:pPr>
          </w:p>
        </w:tc>
      </w:tr>
      <w:tr>
        <w:trPr>
          <w:trHeight w:val="225"/>
        </w:trPr>
        <w:tc>
          <w:tcPr>
            <w:tcW w:w="7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Effect of exchange rate changes on cash flows</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4,612</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173"/>
        </w:trPr>
        <w:tc>
          <w:tcPr>
            <w:tcW w:w="7000" w:type="dxa"/>
            <w:vAlign w:val="bottom"/>
          </w:tcPr>
          <w:p>
            <w:pPr>
              <w:ind w:left="100"/>
              <w:spacing w:after="0" w:line="173" w:lineRule="exact"/>
              <w:rPr>
                <w:sz w:val="20"/>
                <w:szCs w:val="20"/>
                <w:color w:val="auto"/>
              </w:rPr>
            </w:pPr>
            <w:r>
              <w:rPr>
                <w:rFonts w:ascii="Arial" w:cs="Arial" w:eastAsia="Arial" w:hAnsi="Arial"/>
                <w:sz w:val="18"/>
                <w:szCs w:val="18"/>
                <w:color w:val="auto"/>
              </w:rPr>
              <w:t>Increase in cash and cash equivalents</w:t>
            </w:r>
          </w:p>
        </w:tc>
        <w:tc>
          <w:tcPr>
            <w:tcW w:w="28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22,091</w:t>
            </w:r>
          </w:p>
        </w:tc>
        <w:tc>
          <w:tcPr>
            <w:tcW w:w="15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55,030</w:t>
            </w:r>
          </w:p>
        </w:tc>
        <w:tc>
          <w:tcPr>
            <w:tcW w:w="0" w:type="dxa"/>
            <w:vAlign w:val="bottom"/>
          </w:tcPr>
          <w:p>
            <w:pPr>
              <w:spacing w:after="0"/>
              <w:rPr>
                <w:sz w:val="1"/>
                <w:szCs w:val="1"/>
                <w:color w:val="auto"/>
              </w:rPr>
            </w:pPr>
          </w:p>
        </w:tc>
      </w:tr>
      <w:tr>
        <w:trPr>
          <w:trHeight w:val="225"/>
        </w:trPr>
        <w:tc>
          <w:tcPr>
            <w:tcW w:w="7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Cash and cash equivalents at beginning of year</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190,718</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118,909</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Cash and cash equivalents at end of year</w:t>
            </w:r>
          </w:p>
        </w:tc>
        <w:tc>
          <w:tcPr>
            <w:tcW w:w="2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$212,809</w:t>
            </w:r>
          </w:p>
        </w:tc>
        <w:tc>
          <w:tcPr>
            <w:tcW w:w="15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$173,939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Cash provided by operating activities was $63.1 million in 2013, compared to a use of $10.3 million for the same period last year. Cash flow in 2012 was heavily influenced by contributions to pension plans, which is included in changes in long-term liabilities, deferred taxes and other credits in the above table. As part of the Company’s plan to fund or settle part of our pension liabilities in the U.S., Canada, and Sweden, $30 million of cash was used to settle Swedish pension liabilities in Q1 2012, we contributed $30 million in Q1 and $20 million in Q2 to the U.S. pension plan, and subsequently settled two-thirds of our U.S. pension obligations, and $18 million was contributed in Q2 to the plan in Canada to fully fund the plan and settle about half of the plan obligation. As a result of the settlement activities, the Company recorded total settlement expense of $119.7 million in 2012, which included the write-off of $118.4 million of deferred pension charges.</w:t>
      </w:r>
    </w:p>
    <w:p>
      <w:pPr>
        <w:spacing w:after="0" w:line="190" w:lineRule="exact"/>
        <w:rPr>
          <w:sz w:val="20"/>
          <w:szCs w:val="20"/>
          <w:color w:val="auto"/>
        </w:rPr>
      </w:pPr>
    </w:p>
    <w:p>
      <w:pPr>
        <w:ind w:right="280" w:firstLine="648"/>
        <w:spacing w:after="0" w:line="237" w:lineRule="auto"/>
        <w:rPr>
          <w:sz w:val="20"/>
          <w:szCs w:val="20"/>
          <w:color w:val="auto"/>
        </w:rPr>
      </w:pPr>
      <w:r>
        <w:rPr>
          <w:rFonts w:ascii="Arial" w:cs="Arial" w:eastAsia="Arial" w:hAnsi="Arial"/>
          <w:sz w:val="18"/>
          <w:szCs w:val="18"/>
          <w:color w:val="auto"/>
        </w:rPr>
        <w:t>Changes in working capital provided cash flow of $16.0 million in 2013, principally resulting from an increase in Accounts payable of $3.9 million and $25.0 increase in Accrued liabilities associated with the French restructuring accruals, as described in Note 5 to the Consolidated Financial statements, offset by a decrease in Income taxes payable of $9.0 million. We expect substantially all of the France restructuring accrual will be paid in Q4 2013 and throughout 2014. For the first nine months of 2012, changes in working capital resulted in cash flow of $ 17.3 million that resulted primarily from increases in Accrued liabilities and a decrease in prepaid income taxes. Cash paid for income taxes through the first nine months of 2013 was $21.2 million and is expected to total about $27.0 million for the full year.</w:t>
      </w:r>
    </w:p>
    <w:p>
      <w:pPr>
        <w:spacing w:after="0" w:line="192"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At September 30, 2013, the Company had $212.8 million of cash and cash equivalents, of which $198.4 million was held by subsidiaries outside of the United States. As disclosed in the Notes to Consolidated Financial Statements, we determined that all but $4.4 million of this amount (which represents the amount of earnings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Capital spending for equipment and software was $47.6 million for 2013, including $30.3 million for the Engineered Composites segment and its expansion associated with the LEAP program. We currently expect average annual capital spending, for the entire Company, to be $50-$55 million for 2014 through 2016, growing to an average of $70 million for the balance of the decade. During 2013, the Company completed the sale of its production facility in Gosford, Australia, resulting in net proceeds of $6.3 million.</w:t>
      </w:r>
    </w:p>
    <w:p>
      <w:pPr>
        <w:spacing w:after="0" w:line="188" w:lineRule="exact"/>
        <w:rPr>
          <w:sz w:val="20"/>
          <w:szCs w:val="20"/>
          <w:color w:val="auto"/>
        </w:rPr>
      </w:pPr>
    </w:p>
    <w:p>
      <w:pPr>
        <w:ind w:right="360" w:firstLine="648"/>
        <w:spacing w:after="0" w:line="234" w:lineRule="auto"/>
        <w:rPr>
          <w:sz w:val="20"/>
          <w:szCs w:val="20"/>
          <w:color w:val="auto"/>
        </w:rPr>
      </w:pPr>
      <w:r>
        <w:rPr>
          <w:rFonts w:ascii="Arial" w:cs="Arial" w:eastAsia="Arial" w:hAnsi="Arial"/>
          <w:sz w:val="18"/>
          <w:szCs w:val="18"/>
          <w:color w:val="auto"/>
        </w:rPr>
        <w:t>In January 2012, the Company completed the sale of Albany Door Systems, and in March 2012, we finalized certain postclosing adjustments that increased the sale price by $5 million. As of December 31, 2012, $122 million of the total $135 million sale price had been</w:t>
      </w:r>
    </w:p>
    <w:p>
      <w:pPr>
        <w:spacing w:after="0" w:line="2" w:lineRule="exact"/>
        <w:rPr>
          <w:sz w:val="20"/>
          <w:szCs w:val="20"/>
          <w:color w:val="auto"/>
        </w:rPr>
      </w:pPr>
    </w:p>
    <w:p>
      <w:pPr>
        <w:ind w:right="580"/>
        <w:spacing w:after="0" w:line="199" w:lineRule="auto"/>
        <w:rPr>
          <w:sz w:val="20"/>
          <w:szCs w:val="20"/>
          <w:color w:val="auto"/>
        </w:rPr>
      </w:pPr>
      <w:r>
        <w:rPr>
          <w:rFonts w:ascii="Arial" w:cs="Arial" w:eastAsia="Arial" w:hAnsi="Arial"/>
          <w:sz w:val="18"/>
          <w:szCs w:val="18"/>
          <w:color w:val="auto"/>
        </w:rPr>
        <w:t>received, and the remaining $13.0 million was received in July 2013. During Q2 2012, the Company completed the sale of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Of the $38 million sale price, $34 million was received in June, with the remainder expected to be received in December 2013.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The dividend declared in the fourth quarter of 2012 was also paid during that quarter which resulted in two dividend payments during the fourth quarter of 2012, and no cash payments for dividends during the first quarter of 2013.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0"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September 30, 2013 was held by non-U.S. subsidiaries. Based on cash on hand and credit facilities, we anticipate that the Company has sufficient capital resources to operate for the foreseeable future. We were in compliance with all debt covenants as of September 30, 2013.</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(the "Credit Agreement"), under which $152 million of borrowings were outstanding as of September 30, 2013. The Credit Agreement replaced the previous $ 390 million five-year facility agreement entered into in 2010. The applicable interest rate for borrowings under the Credit Agreement, as well as under the former agreement, is LIBOR plus a spread, based on our leverage ratio (as defined in the agreement) at the time of borrowing. The Company also amended its note agreement with Prudential to substantially conform the financial and other covenants to the Credit Agreement. The total cost for the amendments was $1.6 million. At March 2013 debt levels, the annual savings in interest and associated fees resulting from improved terms of the Credit Agreement would be approximately $1.9 million. For more information on our borrowings, see Note 13 to the Consolidated Financial Statements in Item 1, which is incorporated herein by reference.</w:t>
      </w:r>
    </w:p>
    <w:p>
      <w:pPr>
        <w:spacing w:after="0" w:line="208"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at the rate of 2.04% for a period of five years. Under the terms of these transactions,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9" w:name="page40"/>
    <w:bookmarkEnd w:id="39"/>
    <w:p>
      <w:pPr>
        <w:ind w:right="100"/>
        <w:spacing w:after="0" w:line="238" w:lineRule="auto"/>
        <w:rPr>
          <w:sz w:val="20"/>
          <w:szCs w:val="20"/>
          <w:color w:val="auto"/>
        </w:rPr>
      </w:pPr>
      <w:r>
        <w:rPr>
          <w:rFonts w:ascii="Arial" w:cs="Arial" w:eastAsia="Arial" w:hAnsi="Arial"/>
          <w:sz w:val="18"/>
          <w:szCs w:val="18"/>
          <w:color w:val="auto"/>
        </w:rPr>
        <w:t>we pay the fixed rate of 2.04% and the counterparties pay a floating rate based on the three-month LIBOR rate at each quarterly calculation date, which on July 16, 2013 was 0.27%. The net effect is to fix the effective interest rate on $105 million of indebtedness at 2.04%, plus the applicable spread, until these swap agreements expire on July 16, 2015. As of September 30, 2013, the all-in rate on this $105 million of debt was 3.415%. This interest rate swap is accounted for as a hedge of future cash flows. For more information on our interest rate swaps, see Note 14 to the Consolidated Financial Statements in Item 1, which is incorporated herein by reference.</w:t>
      </w:r>
    </w:p>
    <w:p>
      <w:pPr>
        <w:spacing w:after="0" w:line="162" w:lineRule="exact"/>
        <w:rPr>
          <w:sz w:val="20"/>
          <w:szCs w:val="20"/>
          <w:color w:val="auto"/>
        </w:rPr>
      </w:pPr>
    </w:p>
    <w:p>
      <w:pPr>
        <w:ind w:right="280" w:firstLine="648"/>
        <w:spacing w:after="0" w:line="234"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at the rate of 1.414% during this period. Under the terms of these transactions, we pay the fixed rate of 1.414% and the counterparties pay a floating rate based on the one-month LIBOR rate at each monthly calculation date, which on September 30, 2013 was</w:t>
      </w:r>
    </w:p>
    <w:p>
      <w:pPr>
        <w:spacing w:after="0" w:line="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0.18%. The net effect is to fix the effective interest rate on $110 million of indebtedness at 1.414%, plus the applicable spread, during the swap period. As of September 30, 2013, our leverage ratio was 1.77 to 1.00 and our interest coverage ratio was 8.30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0" w:lineRule="exact"/>
        <w:rPr>
          <w:sz w:val="20"/>
          <w:szCs w:val="20"/>
          <w:color w:val="auto"/>
        </w:rPr>
      </w:pPr>
    </w:p>
    <w:p>
      <w:pPr>
        <w:ind w:right="680" w:firstLine="648"/>
        <w:spacing w:after="0" w:line="246" w:lineRule="auto"/>
        <w:rPr>
          <w:sz w:val="20"/>
          <w:szCs w:val="20"/>
          <w:color w:val="auto"/>
        </w:rPr>
      </w:pPr>
      <w:r>
        <w:rPr>
          <w:rFonts w:ascii="Arial" w:cs="Arial" w:eastAsia="Arial" w:hAnsi="Arial"/>
          <w:sz w:val="18"/>
          <w:szCs w:val="18"/>
          <w:color w:val="auto"/>
        </w:rPr>
        <w:t>As of September 30, 2013, we have no off-balance sheet arrangements required to be disclosed pursuant to Item 303(a)(4) of Regulation 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right="520" w:firstLine="648"/>
        <w:spacing w:after="0" w:line="246" w:lineRule="auto"/>
        <w:rPr>
          <w:sz w:val="20"/>
          <w:szCs w:val="20"/>
          <w:color w:val="auto"/>
        </w:rPr>
      </w:pPr>
      <w:r>
        <w:rPr>
          <w:rFonts w:ascii="Arial" w:cs="Arial" w:eastAsia="Arial" w:hAnsi="Arial"/>
          <w:sz w:val="18"/>
          <w:szCs w:val="18"/>
          <w:color w:val="auto"/>
        </w:rPr>
        <w:t>The information set forth under Note 17 contained in the “Notes to Consolidated Financial Statements”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0"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EBITDA, Adjusted EBITDA, sales excluding currency effects, income tax rate exclusive of income tax adjustments, net debt, and certain income and expense items on a per 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quarter of specific restructuring costs, or other gains and losses, on operating income or EBITDA can give management and investors additional insight into quarterly performance, especially when compared to quarters in which such items had a greater or lesser effect, or no effect. All non-GAAP financial measures in this release relate to the Company’s continuing operations.</w:t>
      </w:r>
    </w:p>
    <w:p>
      <w:pPr>
        <w:spacing w:after="0" w:line="167"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Income tax adjustments by adding discrete tax items to the effect of a change in tax rate for the reporting period. The Company calculates its Income tax rate, exclusive of Income tax adjustments, by removing Income tax adjustments from total Income tax expense, then dividing that result by Income before tax. The Company calculates EBITDA by adding Interest expense net, Income taxes, and</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40" w:name="page41"/>
    <w:bookmarkEnd w:id="40"/>
    <w:p>
      <w:pPr>
        <w:ind w:right="20"/>
        <w:spacing w:after="0" w:line="236" w:lineRule="auto"/>
        <w:rPr>
          <w:sz w:val="20"/>
          <w:szCs w:val="20"/>
          <w:color w:val="auto"/>
        </w:rPr>
      </w:pPr>
      <w:r>
        <w:rPr>
          <w:rFonts w:ascii="Arial" w:cs="Arial" w:eastAsia="Arial" w:hAnsi="Arial"/>
          <w:sz w:val="18"/>
          <w:szCs w:val="18"/>
          <w:color w:val="auto"/>
        </w:rPr>
        <w:t>Depreciation and Amortization to Income from Continuing Operations. Adjusted EBITDA is calculated by adding to EBITDA, costs associated with restructuring and pension settlement charges, and then adding or subtracting revaluation losses or gains and subtracting building share gains.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pension settlement charges, and building sale gains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statements of income.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Three months ended September 30, 2013</w:t>
            </w:r>
          </w:p>
        </w:tc>
        <w:tc>
          <w:tcPr>
            <w:tcW w:w="29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Research and</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(in thousands)</w:t>
            </w:r>
          </w:p>
        </w:tc>
        <w:tc>
          <w:tcPr>
            <w:tcW w:w="29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Machine Clothing</w:t>
            </w:r>
          </w:p>
        </w:tc>
        <w:tc>
          <w:tcPr>
            <w:tcW w:w="11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AEC</w:t>
            </w:r>
          </w:p>
        </w:tc>
        <w:tc>
          <w:tcPr>
            <w:tcW w:w="15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Unallocated</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95"/>
        </w:trPr>
        <w:tc>
          <w:tcPr>
            <w:tcW w:w="4760" w:type="dxa"/>
            <w:vAlign w:val="bottom"/>
          </w:tcPr>
          <w:p>
            <w:pPr>
              <w:ind w:left="100"/>
              <w:spacing w:after="0" w:line="195" w:lineRule="exact"/>
              <w:rPr>
                <w:sz w:val="20"/>
                <w:szCs w:val="20"/>
                <w:color w:val="auto"/>
              </w:rPr>
            </w:pPr>
            <w:r>
              <w:rPr>
                <w:rFonts w:ascii="Arial" w:cs="Arial" w:eastAsia="Arial" w:hAnsi="Arial"/>
                <w:sz w:val="18"/>
                <w:szCs w:val="18"/>
                <w:color w:val="auto"/>
              </w:rPr>
              <w:t>Income/(loss) from continuing operations</w:t>
            </w:r>
          </w:p>
        </w:tc>
        <w:tc>
          <w:tcPr>
            <w:tcW w:w="29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$33,196</w:t>
            </w:r>
          </w:p>
        </w:tc>
        <w:tc>
          <w:tcPr>
            <w:tcW w:w="11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($572)</w:t>
            </w:r>
          </w:p>
        </w:tc>
        <w:tc>
          <w:tcPr>
            <w:tcW w:w="15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($27,926)</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03"/>
        </w:trPr>
        <w:tc>
          <w:tcPr>
            <w:tcW w:w="476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net</w:t>
            </w:r>
          </w:p>
        </w:tc>
        <w:tc>
          <w:tcPr>
            <w:tcW w:w="29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3,484</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03"/>
        </w:trPr>
        <w:tc>
          <w:tcPr>
            <w:tcW w:w="4760" w:type="dxa"/>
            <w:vAlign w:val="bottom"/>
          </w:tcPr>
          <w:p>
            <w:pPr>
              <w:ind w:left="100"/>
              <w:spacing w:after="0" w:line="202" w:lineRule="exact"/>
              <w:rPr>
                <w:sz w:val="20"/>
                <w:szCs w:val="20"/>
                <w:color w:val="auto"/>
              </w:rPr>
            </w:pPr>
            <w:r>
              <w:rPr>
                <w:rFonts w:ascii="Arial" w:cs="Arial" w:eastAsia="Arial" w:hAnsi="Arial"/>
                <w:sz w:val="18"/>
                <w:szCs w:val="18"/>
                <w:color w:val="auto"/>
              </w:rPr>
              <w:t>Income tax (benefit)/expense</w:t>
            </w:r>
          </w:p>
        </w:tc>
        <w:tc>
          <w:tcPr>
            <w:tcW w:w="29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2,381</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Depreciation and amortization</w:t>
            </w:r>
          </w:p>
        </w:tc>
        <w:tc>
          <w:tcPr>
            <w:tcW w:w="29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11,084</w:t>
            </w:r>
          </w:p>
        </w:tc>
        <w:tc>
          <w:tcPr>
            <w:tcW w:w="11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2,009</w:t>
            </w:r>
          </w:p>
        </w:tc>
        <w:tc>
          <w:tcPr>
            <w:tcW w:w="15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2,704</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195"/>
        </w:trPr>
        <w:tc>
          <w:tcPr>
            <w:tcW w:w="4760" w:type="dxa"/>
            <w:vAlign w:val="bottom"/>
          </w:tcPr>
          <w:p>
            <w:pPr>
              <w:ind w:left="100"/>
              <w:spacing w:after="0" w:line="195" w:lineRule="exact"/>
              <w:rPr>
                <w:sz w:val="20"/>
                <w:szCs w:val="20"/>
                <w:color w:val="auto"/>
              </w:rPr>
            </w:pPr>
            <w:r>
              <w:rPr>
                <w:rFonts w:ascii="Arial" w:cs="Arial" w:eastAsia="Arial" w:hAnsi="Arial"/>
                <w:sz w:val="18"/>
                <w:szCs w:val="18"/>
                <w:color w:val="auto"/>
              </w:rPr>
              <w:t>EBITDA</w:t>
            </w:r>
          </w:p>
        </w:tc>
        <w:tc>
          <w:tcPr>
            <w:tcW w:w="29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44,280</w:t>
            </w:r>
          </w:p>
        </w:tc>
        <w:tc>
          <w:tcPr>
            <w:tcW w:w="11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1,437</w:t>
            </w:r>
          </w:p>
        </w:tc>
        <w:tc>
          <w:tcPr>
            <w:tcW w:w="15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(19,357)</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26,360</w:t>
            </w:r>
          </w:p>
        </w:tc>
        <w:tc>
          <w:tcPr>
            <w:tcW w:w="0" w:type="dxa"/>
            <w:vAlign w:val="bottom"/>
          </w:tcPr>
          <w:p>
            <w:pPr>
              <w:spacing w:after="0"/>
              <w:rPr>
                <w:sz w:val="1"/>
                <w:szCs w:val="1"/>
                <w:color w:val="auto"/>
              </w:rPr>
            </w:pPr>
          </w:p>
        </w:tc>
      </w:tr>
      <w:tr>
        <w:trPr>
          <w:trHeight w:val="203"/>
        </w:trPr>
        <w:tc>
          <w:tcPr>
            <w:tcW w:w="4760" w:type="dxa"/>
            <w:vAlign w:val="bottom"/>
          </w:tcPr>
          <w:p>
            <w:pPr>
              <w:ind w:left="100"/>
              <w:spacing w:after="0" w:line="202" w:lineRule="exact"/>
              <w:rPr>
                <w:sz w:val="20"/>
                <w:szCs w:val="20"/>
                <w:color w:val="auto"/>
              </w:rPr>
            </w:pPr>
            <w:r>
              <w:rPr>
                <w:rFonts w:ascii="Arial" w:cs="Arial" w:eastAsia="Arial" w:hAnsi="Arial"/>
                <w:sz w:val="18"/>
                <w:szCs w:val="18"/>
                <w:color w:val="auto"/>
              </w:rPr>
              <w:t>Restructuring and other, net</w:t>
            </w:r>
          </w:p>
        </w:tc>
        <w:tc>
          <w:tcPr>
            <w:tcW w:w="29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2,250</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w:t>
            </w: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Foreign currency revaluation losses/(gains)</w:t>
            </w:r>
          </w:p>
        </w:tc>
        <w:tc>
          <w:tcPr>
            <w:tcW w:w="29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1,328</w:t>
            </w:r>
          </w:p>
        </w:tc>
        <w:tc>
          <w:tcPr>
            <w:tcW w:w="11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1,975</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Adjusted EBITDA</w:t>
            </w:r>
          </w:p>
        </w:tc>
        <w:tc>
          <w:tcPr>
            <w:tcW w:w="29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$47,858</w:t>
            </w:r>
          </w:p>
        </w:tc>
        <w:tc>
          <w:tcPr>
            <w:tcW w:w="11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$1,443</w:t>
            </w:r>
          </w:p>
        </w:tc>
        <w:tc>
          <w:tcPr>
            <w:tcW w:w="15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($17,382)</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$31,919</w:t>
            </w:r>
          </w:p>
        </w:tc>
        <w:tc>
          <w:tcPr>
            <w:tcW w:w="0" w:type="dxa"/>
            <w:vAlign w:val="bottom"/>
          </w:tcPr>
          <w:p>
            <w:pPr>
              <w:spacing w:after="0"/>
              <w:rPr>
                <w:sz w:val="1"/>
                <w:szCs w:val="1"/>
                <w:color w:val="auto"/>
              </w:rPr>
            </w:pPr>
          </w:p>
        </w:tc>
      </w:tr>
      <w:tr>
        <w:trPr>
          <w:trHeight w:val="399"/>
        </w:trPr>
        <w:tc>
          <w:tcPr>
            <w:tcW w:w="47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100"/>
              <w:spacing w:after="0"/>
              <w:rPr>
                <w:sz w:val="20"/>
                <w:szCs w:val="20"/>
                <w:color w:val="auto"/>
              </w:rPr>
            </w:pPr>
            <w:r>
              <w:rPr>
                <w:rFonts w:ascii="Arial" w:cs="Arial" w:eastAsia="Arial" w:hAnsi="Arial"/>
                <w:sz w:val="18"/>
                <w:szCs w:val="18"/>
                <w:color w:val="auto"/>
              </w:rPr>
              <w:t>Nine months ended September 30, 2013</w:t>
            </w: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vMerge w:val="restart"/>
          </w:tcPr>
          <w:p>
            <w:pPr>
              <w:jc w:val="right"/>
              <w:ind w:right="110"/>
              <w:spacing w:after="0"/>
              <w:rPr>
                <w:sz w:val="20"/>
                <w:szCs w:val="20"/>
                <w:color w:val="auto"/>
              </w:rPr>
            </w:pPr>
            <w:r>
              <w:rPr>
                <w:rFonts w:ascii="Arial" w:cs="Arial" w:eastAsia="Arial" w:hAnsi="Arial"/>
                <w:sz w:val="18"/>
                <w:szCs w:val="18"/>
                <w:color w:val="auto"/>
              </w:rPr>
              <w:t>Research and</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(in thousands)</w:t>
            </w:r>
          </w:p>
        </w:tc>
        <w:tc>
          <w:tcPr>
            <w:tcW w:w="29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Machine Clothing</w:t>
            </w:r>
          </w:p>
        </w:tc>
        <w:tc>
          <w:tcPr>
            <w:tcW w:w="11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AEC</w:t>
            </w:r>
          </w:p>
        </w:tc>
        <w:tc>
          <w:tcPr>
            <w:tcW w:w="15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Unallocated</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95"/>
        </w:trPr>
        <w:tc>
          <w:tcPr>
            <w:tcW w:w="4760" w:type="dxa"/>
            <w:vAlign w:val="bottom"/>
          </w:tcPr>
          <w:p>
            <w:pPr>
              <w:ind w:left="100"/>
              <w:spacing w:after="0" w:line="195" w:lineRule="exact"/>
              <w:rPr>
                <w:sz w:val="20"/>
                <w:szCs w:val="20"/>
                <w:color w:val="auto"/>
              </w:rPr>
            </w:pPr>
            <w:r>
              <w:rPr>
                <w:rFonts w:ascii="Arial" w:cs="Arial" w:eastAsia="Arial" w:hAnsi="Arial"/>
                <w:sz w:val="18"/>
                <w:szCs w:val="18"/>
                <w:color w:val="auto"/>
              </w:rPr>
              <w:t>Income/(loss) from continuing operations</w:t>
            </w:r>
          </w:p>
        </w:tc>
        <w:tc>
          <w:tcPr>
            <w:tcW w:w="29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$96,803</w:t>
            </w:r>
          </w:p>
        </w:tc>
        <w:tc>
          <w:tcPr>
            <w:tcW w:w="11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($4,460)</w:t>
            </w:r>
          </w:p>
        </w:tc>
        <w:tc>
          <w:tcPr>
            <w:tcW w:w="15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($83,162)</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03"/>
        </w:trPr>
        <w:tc>
          <w:tcPr>
            <w:tcW w:w="476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net</w:t>
            </w:r>
          </w:p>
        </w:tc>
        <w:tc>
          <w:tcPr>
            <w:tcW w:w="29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11,056</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03"/>
        </w:trPr>
        <w:tc>
          <w:tcPr>
            <w:tcW w:w="4760" w:type="dxa"/>
            <w:vAlign w:val="bottom"/>
          </w:tcPr>
          <w:p>
            <w:pPr>
              <w:ind w:left="100"/>
              <w:spacing w:after="0" w:line="202" w:lineRule="exact"/>
              <w:rPr>
                <w:sz w:val="20"/>
                <w:szCs w:val="20"/>
                <w:color w:val="auto"/>
              </w:rPr>
            </w:pPr>
            <w:r>
              <w:rPr>
                <w:rFonts w:ascii="Arial" w:cs="Arial" w:eastAsia="Arial" w:hAnsi="Arial"/>
                <w:sz w:val="18"/>
                <w:szCs w:val="18"/>
                <w:color w:val="auto"/>
              </w:rPr>
              <w:t>Income tax (benefit)/expense</w:t>
            </w:r>
          </w:p>
        </w:tc>
        <w:tc>
          <w:tcPr>
            <w:tcW w:w="29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6,386</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Depreciation and amortization</w:t>
            </w:r>
          </w:p>
        </w:tc>
        <w:tc>
          <w:tcPr>
            <w:tcW w:w="29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34,123</w:t>
            </w:r>
          </w:p>
        </w:tc>
        <w:tc>
          <w:tcPr>
            <w:tcW w:w="11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5,585</w:t>
            </w:r>
          </w:p>
        </w:tc>
        <w:tc>
          <w:tcPr>
            <w:tcW w:w="15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8,044</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47,752</w:t>
            </w:r>
          </w:p>
        </w:tc>
        <w:tc>
          <w:tcPr>
            <w:tcW w:w="0" w:type="dxa"/>
            <w:vAlign w:val="bottom"/>
          </w:tcPr>
          <w:p>
            <w:pPr>
              <w:spacing w:after="0"/>
              <w:rPr>
                <w:sz w:val="1"/>
                <w:szCs w:val="1"/>
                <w:color w:val="auto"/>
              </w:rPr>
            </w:pPr>
          </w:p>
        </w:tc>
      </w:tr>
      <w:tr>
        <w:trPr>
          <w:trHeight w:val="195"/>
        </w:trPr>
        <w:tc>
          <w:tcPr>
            <w:tcW w:w="4760" w:type="dxa"/>
            <w:vAlign w:val="bottom"/>
          </w:tcPr>
          <w:p>
            <w:pPr>
              <w:ind w:left="100"/>
              <w:spacing w:after="0" w:line="195" w:lineRule="exact"/>
              <w:rPr>
                <w:sz w:val="20"/>
                <w:szCs w:val="20"/>
                <w:color w:val="auto"/>
              </w:rPr>
            </w:pPr>
            <w:r>
              <w:rPr>
                <w:rFonts w:ascii="Arial" w:cs="Arial" w:eastAsia="Arial" w:hAnsi="Arial"/>
                <w:sz w:val="18"/>
                <w:szCs w:val="18"/>
                <w:color w:val="auto"/>
              </w:rPr>
              <w:t>EBITDA</w:t>
            </w:r>
          </w:p>
        </w:tc>
        <w:tc>
          <w:tcPr>
            <w:tcW w:w="29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130,926</w:t>
            </w:r>
          </w:p>
        </w:tc>
        <w:tc>
          <w:tcPr>
            <w:tcW w:w="11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1,125</w:t>
            </w:r>
          </w:p>
        </w:tc>
        <w:tc>
          <w:tcPr>
            <w:tcW w:w="15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(57,676)</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74,375</w:t>
            </w:r>
          </w:p>
        </w:tc>
        <w:tc>
          <w:tcPr>
            <w:tcW w:w="0" w:type="dxa"/>
            <w:vAlign w:val="bottom"/>
          </w:tcPr>
          <w:p>
            <w:pPr>
              <w:spacing w:after="0"/>
              <w:rPr>
                <w:sz w:val="1"/>
                <w:szCs w:val="1"/>
                <w:color w:val="auto"/>
              </w:rPr>
            </w:pPr>
          </w:p>
        </w:tc>
      </w:tr>
      <w:tr>
        <w:trPr>
          <w:trHeight w:val="203"/>
        </w:trPr>
        <w:tc>
          <w:tcPr>
            <w:tcW w:w="4760" w:type="dxa"/>
            <w:vAlign w:val="bottom"/>
          </w:tcPr>
          <w:p>
            <w:pPr>
              <w:ind w:left="100"/>
              <w:spacing w:after="0" w:line="202" w:lineRule="exact"/>
              <w:rPr>
                <w:sz w:val="20"/>
                <w:szCs w:val="20"/>
                <w:color w:val="auto"/>
              </w:rPr>
            </w:pPr>
            <w:r>
              <w:rPr>
                <w:rFonts w:ascii="Arial" w:cs="Arial" w:eastAsia="Arial" w:hAnsi="Arial"/>
                <w:sz w:val="18"/>
                <w:szCs w:val="18"/>
                <w:color w:val="auto"/>
              </w:rPr>
              <w:t>Restructuring and other, net</w:t>
            </w:r>
          </w:p>
        </w:tc>
        <w:tc>
          <w:tcPr>
            <w:tcW w:w="29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26,673</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540</w:t>
            </w: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27,213</w:t>
            </w:r>
          </w:p>
        </w:tc>
        <w:tc>
          <w:tcPr>
            <w:tcW w:w="0" w:type="dxa"/>
            <w:vAlign w:val="bottom"/>
          </w:tcPr>
          <w:p>
            <w:pPr>
              <w:spacing w:after="0"/>
              <w:rPr>
                <w:sz w:val="1"/>
                <w:szCs w:val="1"/>
                <w:color w:val="auto"/>
              </w:rPr>
            </w:pPr>
          </w:p>
        </w:tc>
      </w:tr>
      <w:tr>
        <w:trPr>
          <w:trHeight w:val="203"/>
        </w:trPr>
        <w:tc>
          <w:tcPr>
            <w:tcW w:w="476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revaluation losses/(gains)</w:t>
            </w:r>
          </w:p>
        </w:tc>
        <w:tc>
          <w:tcPr>
            <w:tcW w:w="29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133</w:t>
            </w:r>
          </w:p>
        </w:tc>
        <w:tc>
          <w:tcPr>
            <w:tcW w:w="1140" w:type="dxa"/>
            <w:vAlign w:val="bottom"/>
          </w:tcPr>
          <w:p>
            <w:pPr>
              <w:spacing w:after="0"/>
              <w:rPr>
                <w:sz w:val="17"/>
                <w:szCs w:val="17"/>
                <w:color w:val="auto"/>
              </w:rPr>
            </w:pP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3,882</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(Gain) on sale of former manufacturing facilities</w:t>
            </w:r>
          </w:p>
        </w:tc>
        <w:tc>
          <w:tcPr>
            <w:tcW w:w="29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(3,763)</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Adjusted EBITDA</w:t>
            </w:r>
          </w:p>
        </w:tc>
        <w:tc>
          <w:tcPr>
            <w:tcW w:w="29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$157,732</w:t>
            </w:r>
          </w:p>
        </w:tc>
        <w:tc>
          <w:tcPr>
            <w:tcW w:w="11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$1,665</w:t>
            </w:r>
          </w:p>
        </w:tc>
        <w:tc>
          <w:tcPr>
            <w:tcW w:w="15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($57,557)</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$101,840</w:t>
            </w:r>
          </w:p>
        </w:tc>
        <w:tc>
          <w:tcPr>
            <w:tcW w:w="0" w:type="dxa"/>
            <w:vAlign w:val="bottom"/>
          </w:tcPr>
          <w:p>
            <w:pPr>
              <w:spacing w:after="0"/>
              <w:rPr>
                <w:sz w:val="1"/>
                <w:szCs w:val="1"/>
                <w:color w:val="auto"/>
              </w:rPr>
            </w:pPr>
          </w:p>
        </w:tc>
      </w:tr>
      <w:tr>
        <w:trPr>
          <w:trHeight w:val="520"/>
        </w:trPr>
        <w:tc>
          <w:tcPr>
            <w:tcW w:w="4760" w:type="dxa"/>
            <w:vAlign w:val="bottom"/>
          </w:tcPr>
          <w:p>
            <w:pPr>
              <w:spacing w:after="0"/>
              <w:rPr>
                <w:sz w:val="24"/>
                <w:szCs w:val="24"/>
                <w:color w:val="auto"/>
              </w:rPr>
            </w:pPr>
          </w:p>
        </w:tc>
        <w:tc>
          <w:tcPr>
            <w:tcW w:w="2940" w:type="dxa"/>
            <w:vAlign w:val="bottom"/>
          </w:tcPr>
          <w:p>
            <w:pPr>
              <w:jc w:val="right"/>
              <w:ind w:right="1790"/>
              <w:spacing w:after="0"/>
              <w:rPr>
                <w:sz w:val="20"/>
                <w:szCs w:val="20"/>
                <w:color w:val="auto"/>
              </w:rPr>
            </w:pPr>
            <w:r>
              <w:rPr>
                <w:rFonts w:ascii="Arial" w:cs="Arial" w:eastAsia="Arial" w:hAnsi="Arial"/>
                <w:sz w:val="18"/>
                <w:szCs w:val="18"/>
                <w:color w:val="auto"/>
              </w:rPr>
              <w:t>41</w:t>
            </w: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76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Three months ended September 30, 2012</w:t>
            </w:r>
          </w:p>
        </w:tc>
        <w:tc>
          <w:tcPr>
            <w:tcW w:w="30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Research and</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(in thousands)</w:t>
            </w:r>
          </w:p>
        </w:tc>
        <w:tc>
          <w:tcPr>
            <w:tcW w:w="30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Machine Clothing</w:t>
            </w:r>
          </w:p>
        </w:tc>
        <w:tc>
          <w:tcPr>
            <w:tcW w:w="9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AEC</w:t>
            </w:r>
          </w:p>
        </w:tc>
        <w:tc>
          <w:tcPr>
            <w:tcW w:w="14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Unallocated</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95"/>
        </w:trPr>
        <w:tc>
          <w:tcPr>
            <w:tcW w:w="4920" w:type="dxa"/>
            <w:vAlign w:val="bottom"/>
          </w:tcPr>
          <w:p>
            <w:pPr>
              <w:ind w:left="100"/>
              <w:spacing w:after="0" w:line="195" w:lineRule="exact"/>
              <w:rPr>
                <w:sz w:val="20"/>
                <w:szCs w:val="20"/>
                <w:color w:val="auto"/>
              </w:rPr>
            </w:pPr>
            <w:r>
              <w:rPr>
                <w:rFonts w:ascii="Arial" w:cs="Arial" w:eastAsia="Arial" w:hAnsi="Arial"/>
                <w:sz w:val="18"/>
                <w:szCs w:val="18"/>
                <w:color w:val="auto"/>
              </w:rPr>
              <w:t>Income/(loss) from continuing operations</w:t>
            </w:r>
          </w:p>
        </w:tc>
        <w:tc>
          <w:tcPr>
            <w:tcW w:w="30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$44,918</w:t>
            </w:r>
          </w:p>
        </w:tc>
        <w:tc>
          <w:tcPr>
            <w:tcW w:w="9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($312)</w:t>
            </w:r>
          </w:p>
        </w:tc>
        <w:tc>
          <w:tcPr>
            <w:tcW w:w="14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($35,525)</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203"/>
        </w:trPr>
        <w:tc>
          <w:tcPr>
            <w:tcW w:w="492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net</w:t>
            </w:r>
          </w:p>
        </w:tc>
        <w:tc>
          <w:tcPr>
            <w:tcW w:w="3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3,997</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03"/>
        </w:trPr>
        <w:tc>
          <w:tcPr>
            <w:tcW w:w="4920" w:type="dxa"/>
            <w:vAlign w:val="bottom"/>
          </w:tcPr>
          <w:p>
            <w:pPr>
              <w:ind w:left="100"/>
              <w:spacing w:after="0" w:line="202" w:lineRule="exact"/>
              <w:rPr>
                <w:sz w:val="20"/>
                <w:szCs w:val="20"/>
                <w:color w:val="auto"/>
              </w:rPr>
            </w:pPr>
            <w:r>
              <w:rPr>
                <w:rFonts w:ascii="Arial" w:cs="Arial" w:eastAsia="Arial" w:hAnsi="Arial"/>
                <w:sz w:val="18"/>
                <w:szCs w:val="18"/>
                <w:color w:val="auto"/>
              </w:rPr>
              <w:t>Income tax (benefit)/expense</w:t>
            </w:r>
          </w:p>
        </w:tc>
        <w:tc>
          <w:tcPr>
            <w:tcW w:w="3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6,965</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Depreciation and amortization</w:t>
            </w:r>
          </w:p>
        </w:tc>
        <w:tc>
          <w:tcPr>
            <w:tcW w:w="30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11,469</w:t>
            </w:r>
          </w:p>
        </w:tc>
        <w:tc>
          <w:tcPr>
            <w:tcW w:w="9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1,471</w:t>
            </w:r>
          </w:p>
        </w:tc>
        <w:tc>
          <w:tcPr>
            <w:tcW w:w="14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2,606</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15,546</w:t>
            </w:r>
          </w:p>
        </w:tc>
        <w:tc>
          <w:tcPr>
            <w:tcW w:w="0" w:type="dxa"/>
            <w:vAlign w:val="bottom"/>
          </w:tcPr>
          <w:p>
            <w:pPr>
              <w:spacing w:after="0"/>
              <w:rPr>
                <w:sz w:val="1"/>
                <w:szCs w:val="1"/>
                <w:color w:val="auto"/>
              </w:rPr>
            </w:pPr>
          </w:p>
        </w:tc>
      </w:tr>
      <w:tr>
        <w:trPr>
          <w:trHeight w:val="195"/>
        </w:trPr>
        <w:tc>
          <w:tcPr>
            <w:tcW w:w="4920" w:type="dxa"/>
            <w:vAlign w:val="bottom"/>
          </w:tcPr>
          <w:p>
            <w:pPr>
              <w:ind w:left="100"/>
              <w:spacing w:after="0" w:line="195" w:lineRule="exact"/>
              <w:rPr>
                <w:sz w:val="20"/>
                <w:szCs w:val="20"/>
                <w:color w:val="auto"/>
              </w:rPr>
            </w:pPr>
            <w:r>
              <w:rPr>
                <w:rFonts w:ascii="Arial" w:cs="Arial" w:eastAsia="Arial" w:hAnsi="Arial"/>
                <w:sz w:val="18"/>
                <w:szCs w:val="18"/>
                <w:color w:val="auto"/>
              </w:rPr>
              <w:t>EBITDA</w:t>
            </w:r>
          </w:p>
        </w:tc>
        <w:tc>
          <w:tcPr>
            <w:tcW w:w="30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56,387</w:t>
            </w:r>
          </w:p>
        </w:tc>
        <w:tc>
          <w:tcPr>
            <w:tcW w:w="9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1,159</w:t>
            </w:r>
          </w:p>
        </w:tc>
        <w:tc>
          <w:tcPr>
            <w:tcW w:w="14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(21,957)</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35,589</w:t>
            </w:r>
          </w:p>
        </w:tc>
        <w:tc>
          <w:tcPr>
            <w:tcW w:w="0" w:type="dxa"/>
            <w:vAlign w:val="bottom"/>
          </w:tcPr>
          <w:p>
            <w:pPr>
              <w:spacing w:after="0"/>
              <w:rPr>
                <w:sz w:val="1"/>
                <w:szCs w:val="1"/>
                <w:color w:val="auto"/>
              </w:rPr>
            </w:pPr>
          </w:p>
        </w:tc>
      </w:tr>
      <w:tr>
        <w:trPr>
          <w:trHeight w:val="203"/>
        </w:trPr>
        <w:tc>
          <w:tcPr>
            <w:tcW w:w="4920" w:type="dxa"/>
            <w:vAlign w:val="bottom"/>
          </w:tcPr>
          <w:p>
            <w:pPr>
              <w:ind w:left="100"/>
              <w:spacing w:after="0" w:line="202" w:lineRule="exact"/>
              <w:rPr>
                <w:sz w:val="20"/>
                <w:szCs w:val="20"/>
                <w:color w:val="auto"/>
              </w:rPr>
            </w:pPr>
            <w:r>
              <w:rPr>
                <w:rFonts w:ascii="Arial" w:cs="Arial" w:eastAsia="Arial" w:hAnsi="Arial"/>
                <w:sz w:val="18"/>
                <w:szCs w:val="18"/>
                <w:color w:val="auto"/>
              </w:rPr>
              <w:t>Restructuring and other, net</w:t>
            </w:r>
          </w:p>
        </w:tc>
        <w:tc>
          <w:tcPr>
            <w:tcW w:w="3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2,739</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Foreign currency revaluation (gains)/losses</w:t>
            </w:r>
          </w:p>
        </w:tc>
        <w:tc>
          <w:tcPr>
            <w:tcW w:w="30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1,401</w:t>
            </w:r>
          </w:p>
        </w:tc>
        <w:tc>
          <w:tcPr>
            <w:tcW w:w="9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3</w:t>
            </w:r>
          </w:p>
        </w:tc>
        <w:tc>
          <w:tcPr>
            <w:tcW w:w="14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2,176</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Adjusted EBITDA</w:t>
            </w:r>
          </w:p>
        </w:tc>
        <w:tc>
          <w:tcPr>
            <w:tcW w:w="30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$60,527</w:t>
            </w: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$1,162</w:t>
            </w:r>
          </w:p>
        </w:tc>
        <w:tc>
          <w:tcPr>
            <w:tcW w:w="14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($19,781)</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$41,908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100"/>
              <w:spacing w:after="0"/>
              <w:rPr>
                <w:sz w:val="20"/>
                <w:szCs w:val="20"/>
                <w:color w:val="auto"/>
              </w:rPr>
            </w:pPr>
            <w:r>
              <w:rPr>
                <w:rFonts w:ascii="Arial" w:cs="Arial" w:eastAsia="Arial" w:hAnsi="Arial"/>
                <w:sz w:val="18"/>
                <w:szCs w:val="18"/>
                <w:color w:val="auto"/>
              </w:rPr>
              <w:t>Nine months ended September 30, 2012</w:t>
            </w:r>
          </w:p>
        </w:tc>
        <w:tc>
          <w:tcPr>
            <w:tcW w:w="3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vMerge w:val="restart"/>
          </w:tcPr>
          <w:p>
            <w:pPr>
              <w:jc w:val="right"/>
              <w:ind w:right="110"/>
              <w:spacing w:after="0"/>
              <w:rPr>
                <w:sz w:val="20"/>
                <w:szCs w:val="20"/>
                <w:color w:val="auto"/>
              </w:rPr>
            </w:pPr>
            <w:r>
              <w:rPr>
                <w:rFonts w:ascii="Arial" w:cs="Arial" w:eastAsia="Arial" w:hAnsi="Arial"/>
                <w:sz w:val="18"/>
                <w:szCs w:val="18"/>
                <w:color w:val="auto"/>
              </w:rPr>
              <w:t>Research and</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(in thousands)</w:t>
            </w:r>
          </w:p>
        </w:tc>
        <w:tc>
          <w:tcPr>
            <w:tcW w:w="30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Machine Clothing</w:t>
            </w:r>
          </w:p>
        </w:tc>
        <w:tc>
          <w:tcPr>
            <w:tcW w:w="9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AEC</w:t>
            </w:r>
          </w:p>
        </w:tc>
        <w:tc>
          <w:tcPr>
            <w:tcW w:w="14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Unallocated</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95"/>
        </w:trPr>
        <w:tc>
          <w:tcPr>
            <w:tcW w:w="4920" w:type="dxa"/>
            <w:vAlign w:val="bottom"/>
          </w:tcPr>
          <w:p>
            <w:pPr>
              <w:ind w:left="100"/>
              <w:spacing w:after="0" w:line="195" w:lineRule="exact"/>
              <w:rPr>
                <w:sz w:val="20"/>
                <w:szCs w:val="20"/>
                <w:color w:val="auto"/>
              </w:rPr>
            </w:pPr>
            <w:r>
              <w:rPr>
                <w:rFonts w:ascii="Arial" w:cs="Arial" w:eastAsia="Arial" w:hAnsi="Arial"/>
                <w:sz w:val="18"/>
                <w:szCs w:val="18"/>
                <w:color w:val="auto"/>
              </w:rPr>
              <w:t>Income/(loss) from continuing operations</w:t>
            </w:r>
          </w:p>
        </w:tc>
        <w:tc>
          <w:tcPr>
            <w:tcW w:w="30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$120,760</w:t>
            </w:r>
          </w:p>
        </w:tc>
        <w:tc>
          <w:tcPr>
            <w:tcW w:w="9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($653)</w:t>
            </w:r>
          </w:p>
        </w:tc>
        <w:tc>
          <w:tcPr>
            <w:tcW w:w="14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($168,930)</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($48,823)</w:t>
            </w:r>
          </w:p>
        </w:tc>
        <w:tc>
          <w:tcPr>
            <w:tcW w:w="0" w:type="dxa"/>
            <w:vAlign w:val="bottom"/>
          </w:tcPr>
          <w:p>
            <w:pPr>
              <w:spacing w:after="0"/>
              <w:rPr>
                <w:sz w:val="1"/>
                <w:szCs w:val="1"/>
                <w:color w:val="auto"/>
              </w:rPr>
            </w:pPr>
          </w:p>
        </w:tc>
      </w:tr>
      <w:tr>
        <w:trPr>
          <w:trHeight w:val="203"/>
        </w:trPr>
        <w:tc>
          <w:tcPr>
            <w:tcW w:w="492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net</w:t>
            </w:r>
          </w:p>
        </w:tc>
        <w:tc>
          <w:tcPr>
            <w:tcW w:w="3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12,610</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12,610</w:t>
            </w:r>
          </w:p>
        </w:tc>
        <w:tc>
          <w:tcPr>
            <w:tcW w:w="0" w:type="dxa"/>
            <w:vAlign w:val="bottom"/>
          </w:tcPr>
          <w:p>
            <w:pPr>
              <w:spacing w:after="0"/>
              <w:rPr>
                <w:sz w:val="1"/>
                <w:szCs w:val="1"/>
                <w:color w:val="auto"/>
              </w:rPr>
            </w:pPr>
          </w:p>
        </w:tc>
      </w:tr>
      <w:tr>
        <w:trPr>
          <w:trHeight w:val="203"/>
        </w:trPr>
        <w:tc>
          <w:tcPr>
            <w:tcW w:w="4920" w:type="dxa"/>
            <w:vAlign w:val="bottom"/>
          </w:tcPr>
          <w:p>
            <w:pPr>
              <w:ind w:left="100"/>
              <w:spacing w:after="0" w:line="202" w:lineRule="exact"/>
              <w:rPr>
                <w:sz w:val="20"/>
                <w:szCs w:val="20"/>
                <w:color w:val="auto"/>
              </w:rPr>
            </w:pPr>
            <w:r>
              <w:rPr>
                <w:rFonts w:ascii="Arial" w:cs="Arial" w:eastAsia="Arial" w:hAnsi="Arial"/>
                <w:sz w:val="18"/>
                <w:szCs w:val="18"/>
                <w:color w:val="auto"/>
              </w:rPr>
              <w:t>Income tax (benefit)/expense</w:t>
            </w:r>
          </w:p>
        </w:tc>
        <w:tc>
          <w:tcPr>
            <w:tcW w:w="3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(32,650)</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(32,650)</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Depreciation and amortization</w:t>
            </w:r>
          </w:p>
        </w:tc>
        <w:tc>
          <w:tcPr>
            <w:tcW w:w="30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35,267</w:t>
            </w:r>
          </w:p>
        </w:tc>
        <w:tc>
          <w:tcPr>
            <w:tcW w:w="9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4,325</w:t>
            </w:r>
          </w:p>
        </w:tc>
        <w:tc>
          <w:tcPr>
            <w:tcW w:w="14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7,741</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47,333</w:t>
            </w:r>
          </w:p>
        </w:tc>
        <w:tc>
          <w:tcPr>
            <w:tcW w:w="0" w:type="dxa"/>
            <w:vAlign w:val="bottom"/>
          </w:tcPr>
          <w:p>
            <w:pPr>
              <w:spacing w:after="0"/>
              <w:rPr>
                <w:sz w:val="1"/>
                <w:szCs w:val="1"/>
                <w:color w:val="auto"/>
              </w:rPr>
            </w:pPr>
          </w:p>
        </w:tc>
      </w:tr>
      <w:tr>
        <w:trPr>
          <w:trHeight w:val="195"/>
        </w:trPr>
        <w:tc>
          <w:tcPr>
            <w:tcW w:w="4920" w:type="dxa"/>
            <w:vAlign w:val="bottom"/>
          </w:tcPr>
          <w:p>
            <w:pPr>
              <w:ind w:left="100"/>
              <w:spacing w:after="0" w:line="195" w:lineRule="exact"/>
              <w:rPr>
                <w:sz w:val="20"/>
                <w:szCs w:val="20"/>
                <w:color w:val="auto"/>
              </w:rPr>
            </w:pPr>
            <w:r>
              <w:rPr>
                <w:rFonts w:ascii="Arial" w:cs="Arial" w:eastAsia="Arial" w:hAnsi="Arial"/>
                <w:sz w:val="18"/>
                <w:szCs w:val="18"/>
                <w:color w:val="auto"/>
              </w:rPr>
              <w:t>EBITDA</w:t>
            </w:r>
          </w:p>
        </w:tc>
        <w:tc>
          <w:tcPr>
            <w:tcW w:w="30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156,027</w:t>
            </w:r>
          </w:p>
        </w:tc>
        <w:tc>
          <w:tcPr>
            <w:tcW w:w="9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3,672</w:t>
            </w:r>
          </w:p>
        </w:tc>
        <w:tc>
          <w:tcPr>
            <w:tcW w:w="14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(181,229)</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03"/>
        </w:trPr>
        <w:tc>
          <w:tcPr>
            <w:tcW w:w="4920" w:type="dxa"/>
            <w:vAlign w:val="bottom"/>
          </w:tcPr>
          <w:p>
            <w:pPr>
              <w:ind w:left="100"/>
              <w:spacing w:after="0" w:line="202" w:lineRule="exact"/>
              <w:rPr>
                <w:sz w:val="20"/>
                <w:szCs w:val="20"/>
                <w:color w:val="auto"/>
              </w:rPr>
            </w:pPr>
            <w:r>
              <w:rPr>
                <w:rFonts w:ascii="Arial" w:cs="Arial" w:eastAsia="Arial" w:hAnsi="Arial"/>
                <w:sz w:val="18"/>
                <w:szCs w:val="18"/>
                <w:color w:val="auto"/>
              </w:rPr>
              <w:t>Restructuring and other, net</w:t>
            </w:r>
          </w:p>
        </w:tc>
        <w:tc>
          <w:tcPr>
            <w:tcW w:w="3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6,315</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(166)</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3"/>
        </w:trPr>
        <w:tc>
          <w:tcPr>
            <w:tcW w:w="492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revaluation (gains)/losses</w:t>
            </w:r>
          </w:p>
        </w:tc>
        <w:tc>
          <w:tcPr>
            <w:tcW w:w="3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446</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2,884</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Pension plan settlement charges</w:t>
            </w:r>
          </w:p>
        </w:tc>
        <w:tc>
          <w:tcPr>
            <w:tcW w:w="30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119,735</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119,735</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Adjusted EBITDA</w:t>
            </w:r>
          </w:p>
        </w:tc>
        <w:tc>
          <w:tcPr>
            <w:tcW w:w="30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$162,788</w:t>
            </w: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$3,675</w:t>
            </w:r>
          </w:p>
        </w:tc>
        <w:tc>
          <w:tcPr>
            <w:tcW w:w="14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($58,776)</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$107,687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The Company calculates its income tax rate excluding tax adjustments by removing from tax expense any tax adjustments, and then dividing that result by income before income tax. Tax adjustments includes any discrete tax provisions, the effect on tax expense resulting from a change in the estimated tax rate that occurred since the last reporting period, and the income tax associated with unusual pre-tax events, such as pension settlements or the sale of discontinued businesses.</w:t>
      </w:r>
    </w:p>
    <w:p>
      <w:pPr>
        <w:spacing w:after="0" w:line="161"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We disclose certain income and expense items on a per share basis. We believe that such disclosures provide important insight into the underlying quarterly earnings and are financial performance metrics commonly used by investors. We calculate the per share amount for items included in continuing operations by using the effective tax rate for the most recent quarterly period, the full year tax rate for the comparable quarter of the prior year, and the weighted average number of shares outstanding for each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Three months ended September 30, 2013</w:t>
            </w:r>
          </w:p>
        </w:tc>
        <w:tc>
          <w:tcPr>
            <w:tcW w:w="1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Pre tax</w:t>
            </w: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Tax</w:t>
            </w:r>
          </w:p>
        </w:tc>
        <w:tc>
          <w:tcPr>
            <w:tcW w:w="11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After tax</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Shares</w:t>
            </w:r>
          </w:p>
        </w:tc>
        <w:tc>
          <w:tcPr>
            <w:tcW w:w="11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Per Share</w:t>
            </w:r>
          </w:p>
        </w:tc>
      </w:tr>
      <w:tr>
        <w:trPr>
          <w:trHeight w:val="203"/>
        </w:trPr>
        <w:tc>
          <w:tcPr>
            <w:tcW w:w="49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(in thousands, except per share amounts)</w:t>
            </w:r>
          </w:p>
        </w:tc>
        <w:tc>
          <w:tcPr>
            <w:tcW w:w="16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Amounts</w:t>
            </w:r>
          </w:p>
        </w:tc>
        <w:tc>
          <w:tcPr>
            <w:tcW w:w="12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Effect</w:t>
            </w:r>
          </w:p>
        </w:tc>
        <w:tc>
          <w:tcPr>
            <w:tcW w:w="118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Effect</w:t>
            </w:r>
          </w:p>
        </w:tc>
        <w:tc>
          <w:tcPr>
            <w:tcW w:w="1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Outstanding</w:t>
            </w: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Effect</w:t>
            </w:r>
          </w:p>
        </w:tc>
      </w:tr>
      <w:tr>
        <w:trPr>
          <w:trHeight w:val="195"/>
        </w:trPr>
        <w:tc>
          <w:tcPr>
            <w:tcW w:w="4940" w:type="dxa"/>
            <w:vAlign w:val="bottom"/>
          </w:tcPr>
          <w:p>
            <w:pPr>
              <w:ind w:left="100"/>
              <w:spacing w:after="0" w:line="195" w:lineRule="exact"/>
              <w:rPr>
                <w:sz w:val="20"/>
                <w:szCs w:val="20"/>
                <w:color w:val="auto"/>
              </w:rPr>
            </w:pPr>
            <w:r>
              <w:rPr>
                <w:rFonts w:ascii="Arial" w:cs="Arial" w:eastAsia="Arial" w:hAnsi="Arial"/>
                <w:sz w:val="18"/>
                <w:szCs w:val="18"/>
                <w:color w:val="auto"/>
              </w:rPr>
              <w:t>Restructuring and other, net</w:t>
            </w:r>
          </w:p>
        </w:tc>
        <w:tc>
          <w:tcPr>
            <w:tcW w:w="16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$2,256</w:t>
            </w:r>
          </w:p>
        </w:tc>
        <w:tc>
          <w:tcPr>
            <w:tcW w:w="12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$925</w:t>
            </w:r>
          </w:p>
        </w:tc>
        <w:tc>
          <w:tcPr>
            <w:tcW w:w="11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$1,331</w:t>
            </w:r>
          </w:p>
        </w:tc>
        <w:tc>
          <w:tcPr>
            <w:tcW w:w="13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31,719</w:t>
            </w:r>
          </w:p>
        </w:tc>
        <w:tc>
          <w:tcPr>
            <w:tcW w:w="11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$0.04</w:t>
            </w:r>
          </w:p>
        </w:tc>
      </w:tr>
      <w:tr>
        <w:trPr>
          <w:trHeight w:val="203"/>
        </w:trPr>
        <w:tc>
          <w:tcPr>
            <w:tcW w:w="494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revaluation losses</w:t>
            </w:r>
          </w:p>
        </w:tc>
        <w:tc>
          <w:tcPr>
            <w:tcW w:w="16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3,303</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1,354</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1,949</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31,719</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4940" w:type="dxa"/>
            <w:vAlign w:val="bottom"/>
          </w:tcPr>
          <w:p>
            <w:pPr>
              <w:ind w:left="100"/>
              <w:spacing w:after="0" w:line="202" w:lineRule="exact"/>
              <w:rPr>
                <w:sz w:val="20"/>
                <w:szCs w:val="20"/>
                <w:color w:val="auto"/>
              </w:rPr>
            </w:pPr>
            <w:r>
              <w:rPr>
                <w:rFonts w:ascii="Arial" w:cs="Arial" w:eastAsia="Arial" w:hAnsi="Arial"/>
                <w:sz w:val="18"/>
                <w:szCs w:val="18"/>
                <w:color w:val="auto"/>
              </w:rPr>
              <w:t>Negative effect of change in estimated income tax rate</w:t>
            </w:r>
          </w:p>
        </w:tc>
        <w:tc>
          <w:tcPr>
            <w:tcW w:w="16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170</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170</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31,719</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49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Net discrete tax benefit</w:t>
            </w:r>
          </w:p>
        </w:tc>
        <w:tc>
          <w:tcPr>
            <w:tcW w:w="16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691</w:t>
            </w: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691</w:t>
            </w:r>
          </w:p>
        </w:tc>
        <w:tc>
          <w:tcPr>
            <w:tcW w:w="13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31,719</w:t>
            </w:r>
          </w:p>
        </w:tc>
        <w:tc>
          <w:tcPr>
            <w:tcW w:w="11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0.02</w:t>
            </w:r>
          </w:p>
        </w:tc>
      </w:tr>
      <w:tr>
        <w:trPr>
          <w:trHeight w:val="520"/>
        </w:trPr>
        <w:tc>
          <w:tcPr>
            <w:tcW w:w="4940" w:type="dxa"/>
            <w:vAlign w:val="bottom"/>
          </w:tcPr>
          <w:p>
            <w:pPr>
              <w:spacing w:after="0"/>
              <w:rPr>
                <w:sz w:val="24"/>
                <w:szCs w:val="24"/>
                <w:color w:val="auto"/>
              </w:rPr>
            </w:pPr>
          </w:p>
        </w:tc>
        <w:tc>
          <w:tcPr>
            <w:tcW w:w="1620" w:type="dxa"/>
            <w:vAlign w:val="bottom"/>
          </w:tcPr>
          <w:p>
            <w:pPr>
              <w:jc w:val="right"/>
              <w:ind w:right="650"/>
              <w:spacing w:after="0"/>
              <w:rPr>
                <w:sz w:val="20"/>
                <w:szCs w:val="20"/>
                <w:color w:val="auto"/>
              </w:rPr>
            </w:pPr>
            <w:r>
              <w:rPr>
                <w:rFonts w:ascii="Arial" w:cs="Arial" w:eastAsia="Arial" w:hAnsi="Arial"/>
                <w:sz w:val="18"/>
                <w:szCs w:val="18"/>
                <w:color w:val="auto"/>
              </w:rPr>
              <w:t>42</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4"/>
        </w:trPr>
        <w:tc>
          <w:tcPr>
            <w:tcW w:w="49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68"/>
        </w:trPr>
        <w:tc>
          <w:tcPr>
            <w:tcW w:w="494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73"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Nine months ended September 30, 2013</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Pre tax</w:t>
            </w:r>
          </w:p>
        </w:tc>
        <w:tc>
          <w:tcPr>
            <w:tcW w:w="120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3"/>
              </w:rPr>
              <w:t>Tax</w:t>
            </w:r>
          </w:p>
        </w:tc>
        <w:tc>
          <w:tcPr>
            <w:tcW w:w="11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8"/>
              </w:rPr>
              <w:t>After tax</w:t>
            </w:r>
          </w:p>
        </w:tc>
        <w:tc>
          <w:tcPr>
            <w:tcW w:w="13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rPr>
              <w:t>Shares</w:t>
            </w:r>
          </w:p>
        </w:tc>
        <w:tc>
          <w:tcPr>
            <w:tcW w:w="11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8"/>
              </w:rPr>
              <w:t>Per Share</w:t>
            </w:r>
          </w:p>
        </w:tc>
      </w:tr>
      <w:tr>
        <w:trPr>
          <w:trHeight w:val="203"/>
        </w:trPr>
        <w:tc>
          <w:tcPr>
            <w:tcW w:w="49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(in thousands, except per share amounts)</w:t>
            </w:r>
          </w:p>
        </w:tc>
        <w:tc>
          <w:tcPr>
            <w:tcW w:w="17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Amounts</w:t>
            </w:r>
          </w:p>
        </w:tc>
        <w:tc>
          <w:tcPr>
            <w:tcW w:w="1200" w:type="dxa"/>
            <w:vAlign w:val="bottom"/>
            <w:tcBorders>
              <w:bottom w:val="single" w:sz="8" w:color="auto"/>
            </w:tcBorders>
          </w:tcPr>
          <w:p>
            <w:pPr>
              <w:jc w:val="center"/>
              <w:ind w:right="250"/>
              <w:spacing w:after="0" w:line="203" w:lineRule="exact"/>
              <w:rPr>
                <w:sz w:val="20"/>
                <w:szCs w:val="20"/>
                <w:color w:val="auto"/>
              </w:rPr>
            </w:pPr>
            <w:r>
              <w:rPr>
                <w:rFonts w:ascii="Arial" w:cs="Arial" w:eastAsia="Arial" w:hAnsi="Arial"/>
                <w:sz w:val="18"/>
                <w:szCs w:val="18"/>
                <w:color w:val="auto"/>
                <w:w w:val="99"/>
              </w:rPr>
              <w:t>Effect</w:t>
            </w:r>
          </w:p>
        </w:tc>
        <w:tc>
          <w:tcPr>
            <w:tcW w:w="1180" w:type="dxa"/>
            <w:vAlign w:val="bottom"/>
            <w:tcBorders>
              <w:bottom w:val="single" w:sz="8" w:color="auto"/>
            </w:tcBorders>
          </w:tcPr>
          <w:p>
            <w:pPr>
              <w:jc w:val="center"/>
              <w:ind w:right="110"/>
              <w:spacing w:after="0" w:line="203" w:lineRule="exact"/>
              <w:rPr>
                <w:sz w:val="20"/>
                <w:szCs w:val="20"/>
                <w:color w:val="auto"/>
              </w:rPr>
            </w:pPr>
            <w:r>
              <w:rPr>
                <w:rFonts w:ascii="Arial" w:cs="Arial" w:eastAsia="Arial" w:hAnsi="Arial"/>
                <w:sz w:val="18"/>
                <w:szCs w:val="18"/>
                <w:color w:val="auto"/>
                <w:w w:val="99"/>
              </w:rPr>
              <w:t>Effect</w:t>
            </w:r>
          </w:p>
        </w:tc>
        <w:tc>
          <w:tcPr>
            <w:tcW w:w="1300" w:type="dxa"/>
            <w:vAlign w:val="bottom"/>
            <w:tcBorders>
              <w:bottom w:val="single" w:sz="8" w:color="auto"/>
            </w:tcBorders>
          </w:tcPr>
          <w:p>
            <w:pPr>
              <w:jc w:val="center"/>
              <w:ind w:right="70"/>
              <w:spacing w:after="0" w:line="203" w:lineRule="exact"/>
              <w:rPr>
                <w:sz w:val="20"/>
                <w:szCs w:val="20"/>
                <w:color w:val="auto"/>
              </w:rPr>
            </w:pPr>
            <w:r>
              <w:rPr>
                <w:rFonts w:ascii="Arial" w:cs="Arial" w:eastAsia="Arial" w:hAnsi="Arial"/>
                <w:sz w:val="18"/>
                <w:szCs w:val="18"/>
                <w:color w:val="auto"/>
              </w:rPr>
              <w:t>Outstanding</w:t>
            </w:r>
          </w:p>
        </w:tc>
        <w:tc>
          <w:tcPr>
            <w:tcW w:w="1140" w:type="dxa"/>
            <w:vAlign w:val="bottom"/>
            <w:tcBorders>
              <w:bottom w:val="single" w:sz="8" w:color="auto"/>
            </w:tcBorders>
          </w:tcPr>
          <w:p>
            <w:pPr>
              <w:jc w:val="center"/>
              <w:ind w:right="10"/>
              <w:spacing w:after="0" w:line="203" w:lineRule="exact"/>
              <w:rPr>
                <w:sz w:val="20"/>
                <w:szCs w:val="20"/>
                <w:color w:val="auto"/>
              </w:rPr>
            </w:pPr>
            <w:r>
              <w:rPr>
                <w:rFonts w:ascii="Arial" w:cs="Arial" w:eastAsia="Arial" w:hAnsi="Arial"/>
                <w:sz w:val="18"/>
                <w:szCs w:val="18"/>
                <w:color w:val="auto"/>
                <w:w w:val="95"/>
              </w:rPr>
              <w:t>Effect</w:t>
            </w:r>
          </w:p>
        </w:tc>
      </w:tr>
      <w:tr>
        <w:trPr>
          <w:trHeight w:val="195"/>
        </w:trPr>
        <w:tc>
          <w:tcPr>
            <w:tcW w:w="4900" w:type="dxa"/>
            <w:vAlign w:val="bottom"/>
          </w:tcPr>
          <w:p>
            <w:pPr>
              <w:ind w:left="40"/>
              <w:spacing w:after="0" w:line="195" w:lineRule="exact"/>
              <w:rPr>
                <w:sz w:val="20"/>
                <w:szCs w:val="20"/>
                <w:color w:val="auto"/>
              </w:rPr>
            </w:pPr>
            <w:r>
              <w:rPr>
                <w:rFonts w:ascii="Arial" w:cs="Arial" w:eastAsia="Arial" w:hAnsi="Arial"/>
                <w:sz w:val="18"/>
                <w:szCs w:val="18"/>
                <w:color w:val="auto"/>
              </w:rPr>
              <w:t>Restructuring and other, net</w:t>
            </w:r>
          </w:p>
        </w:tc>
        <w:tc>
          <w:tcPr>
            <w:tcW w:w="17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$27,213</w:t>
            </w:r>
          </w:p>
        </w:tc>
        <w:tc>
          <w:tcPr>
            <w:tcW w:w="12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$11,157</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$16,056</w:t>
            </w:r>
          </w:p>
        </w:tc>
        <w:tc>
          <w:tcPr>
            <w:tcW w:w="13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31,615</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$0.51</w:t>
            </w:r>
          </w:p>
        </w:tc>
      </w:tr>
      <w:tr>
        <w:trPr>
          <w:trHeight w:val="203"/>
        </w:trPr>
        <w:tc>
          <w:tcPr>
            <w:tcW w:w="4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revaluation losses</w:t>
            </w: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4,015</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1,646</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2,369</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31,615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r>
      <w:tr>
        <w:trPr>
          <w:trHeight w:val="203"/>
        </w:trPr>
        <w:tc>
          <w:tcPr>
            <w:tcW w:w="4900" w:type="dxa"/>
            <w:vAlign w:val="bottom"/>
          </w:tcPr>
          <w:p>
            <w:pPr>
              <w:ind w:left="40"/>
              <w:spacing w:after="0" w:line="202" w:lineRule="exact"/>
              <w:rPr>
                <w:sz w:val="20"/>
                <w:szCs w:val="20"/>
                <w:color w:val="auto"/>
              </w:rPr>
            </w:pPr>
            <w:r>
              <w:rPr>
                <w:rFonts w:ascii="Arial" w:cs="Arial" w:eastAsia="Arial" w:hAnsi="Arial"/>
                <w:sz w:val="18"/>
                <w:szCs w:val="18"/>
                <w:color w:val="auto"/>
              </w:rPr>
              <w:t>Gain on sale of former manufacturing facility</w:t>
            </w: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3,763</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1,543</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2,220</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31,615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r>
      <w:tr>
        <w:trPr>
          <w:trHeight w:val="203"/>
        </w:trPr>
        <w:tc>
          <w:tcPr>
            <w:tcW w:w="49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Net discrete tax charges</w:t>
            </w:r>
          </w:p>
        </w:tc>
        <w:tc>
          <w:tcPr>
            <w:tcW w:w="17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3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31,615</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0.00</w:t>
            </w:r>
          </w:p>
        </w:tc>
      </w:tr>
      <w:tr>
        <w:trPr>
          <w:trHeight w:val="196"/>
        </w:trPr>
        <w:tc>
          <w:tcPr>
            <w:tcW w:w="49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95"/>
        </w:trPr>
        <w:tc>
          <w:tcPr>
            <w:tcW w:w="4900" w:type="dxa"/>
            <w:vAlign w:val="bottom"/>
          </w:tcPr>
          <w:p>
            <w:pPr>
              <w:ind w:left="40"/>
              <w:spacing w:after="0" w:line="195" w:lineRule="exact"/>
              <w:rPr>
                <w:sz w:val="20"/>
                <w:szCs w:val="20"/>
                <w:color w:val="auto"/>
              </w:rPr>
            </w:pPr>
            <w:r>
              <w:rPr>
                <w:rFonts w:ascii="Arial" w:cs="Arial" w:eastAsia="Arial" w:hAnsi="Arial"/>
                <w:sz w:val="18"/>
                <w:szCs w:val="18"/>
                <w:color w:val="auto"/>
              </w:rPr>
              <w:t>Three months ended September 30, 2012</w:t>
            </w:r>
          </w:p>
        </w:tc>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8"/>
              </w:rPr>
              <w:t>Pre tax</w:t>
            </w:r>
          </w:p>
        </w:tc>
        <w:tc>
          <w:tcPr>
            <w:tcW w:w="1200" w:type="dxa"/>
            <w:vAlign w:val="bottom"/>
          </w:tcPr>
          <w:p>
            <w:pPr>
              <w:jc w:val="center"/>
              <w:ind w:right="230"/>
              <w:spacing w:after="0" w:line="195" w:lineRule="exact"/>
              <w:rPr>
                <w:sz w:val="20"/>
                <w:szCs w:val="20"/>
                <w:color w:val="auto"/>
              </w:rPr>
            </w:pPr>
            <w:r>
              <w:rPr>
                <w:rFonts w:ascii="Arial" w:cs="Arial" w:eastAsia="Arial" w:hAnsi="Arial"/>
                <w:sz w:val="18"/>
                <w:szCs w:val="18"/>
                <w:color w:val="auto"/>
                <w:w w:val="93"/>
              </w:rPr>
              <w:t>Tax</w:t>
            </w:r>
          </w:p>
        </w:tc>
        <w:tc>
          <w:tcPr>
            <w:tcW w:w="118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8"/>
              </w:rPr>
              <w:t>After tax</w:t>
            </w:r>
          </w:p>
        </w:tc>
        <w:tc>
          <w:tcPr>
            <w:tcW w:w="1300" w:type="dxa"/>
            <w:vAlign w:val="bottom"/>
          </w:tcPr>
          <w:p>
            <w:pPr>
              <w:jc w:val="center"/>
              <w:ind w:right="70"/>
              <w:spacing w:after="0" w:line="195" w:lineRule="exact"/>
              <w:rPr>
                <w:sz w:val="20"/>
                <w:szCs w:val="20"/>
                <w:color w:val="auto"/>
              </w:rPr>
            </w:pPr>
            <w:r>
              <w:rPr>
                <w:rFonts w:ascii="Arial" w:cs="Arial" w:eastAsia="Arial" w:hAnsi="Arial"/>
                <w:sz w:val="18"/>
                <w:szCs w:val="18"/>
                <w:color w:val="auto"/>
              </w:rPr>
              <w:t>Shares</w:t>
            </w:r>
          </w:p>
        </w:tc>
        <w:tc>
          <w:tcPr>
            <w:tcW w:w="114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8"/>
              </w:rPr>
              <w:t>Per Share</w:t>
            </w:r>
          </w:p>
        </w:tc>
      </w:tr>
      <w:tr>
        <w:trPr>
          <w:trHeight w:val="203"/>
        </w:trPr>
        <w:tc>
          <w:tcPr>
            <w:tcW w:w="49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(in thousands, except per share amounts)</w:t>
            </w:r>
          </w:p>
        </w:tc>
        <w:tc>
          <w:tcPr>
            <w:tcW w:w="17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Amounts</w:t>
            </w:r>
          </w:p>
        </w:tc>
        <w:tc>
          <w:tcPr>
            <w:tcW w:w="1200" w:type="dxa"/>
            <w:vAlign w:val="bottom"/>
            <w:tcBorders>
              <w:bottom w:val="single" w:sz="8" w:color="auto"/>
            </w:tcBorders>
          </w:tcPr>
          <w:p>
            <w:pPr>
              <w:jc w:val="center"/>
              <w:ind w:right="250"/>
              <w:spacing w:after="0" w:line="203" w:lineRule="exact"/>
              <w:rPr>
                <w:sz w:val="20"/>
                <w:szCs w:val="20"/>
                <w:color w:val="auto"/>
              </w:rPr>
            </w:pPr>
            <w:r>
              <w:rPr>
                <w:rFonts w:ascii="Arial" w:cs="Arial" w:eastAsia="Arial" w:hAnsi="Arial"/>
                <w:sz w:val="18"/>
                <w:szCs w:val="18"/>
                <w:color w:val="auto"/>
                <w:w w:val="99"/>
              </w:rPr>
              <w:t>Effect</w:t>
            </w:r>
          </w:p>
        </w:tc>
        <w:tc>
          <w:tcPr>
            <w:tcW w:w="1180" w:type="dxa"/>
            <w:vAlign w:val="bottom"/>
            <w:tcBorders>
              <w:bottom w:val="single" w:sz="8" w:color="auto"/>
            </w:tcBorders>
          </w:tcPr>
          <w:p>
            <w:pPr>
              <w:jc w:val="center"/>
              <w:ind w:right="110"/>
              <w:spacing w:after="0" w:line="203" w:lineRule="exact"/>
              <w:rPr>
                <w:sz w:val="20"/>
                <w:szCs w:val="20"/>
                <w:color w:val="auto"/>
              </w:rPr>
            </w:pPr>
            <w:r>
              <w:rPr>
                <w:rFonts w:ascii="Arial" w:cs="Arial" w:eastAsia="Arial" w:hAnsi="Arial"/>
                <w:sz w:val="18"/>
                <w:szCs w:val="18"/>
                <w:color w:val="auto"/>
                <w:w w:val="99"/>
              </w:rPr>
              <w:t>Effect</w:t>
            </w:r>
          </w:p>
        </w:tc>
        <w:tc>
          <w:tcPr>
            <w:tcW w:w="1300" w:type="dxa"/>
            <w:vAlign w:val="bottom"/>
            <w:tcBorders>
              <w:bottom w:val="single" w:sz="8" w:color="auto"/>
            </w:tcBorders>
          </w:tcPr>
          <w:p>
            <w:pPr>
              <w:jc w:val="center"/>
              <w:ind w:right="70"/>
              <w:spacing w:after="0" w:line="203" w:lineRule="exact"/>
              <w:rPr>
                <w:sz w:val="20"/>
                <w:szCs w:val="20"/>
                <w:color w:val="auto"/>
              </w:rPr>
            </w:pPr>
            <w:r>
              <w:rPr>
                <w:rFonts w:ascii="Arial" w:cs="Arial" w:eastAsia="Arial" w:hAnsi="Arial"/>
                <w:sz w:val="18"/>
                <w:szCs w:val="18"/>
                <w:color w:val="auto"/>
              </w:rPr>
              <w:t>Outstanding</w:t>
            </w:r>
          </w:p>
        </w:tc>
        <w:tc>
          <w:tcPr>
            <w:tcW w:w="1140" w:type="dxa"/>
            <w:vAlign w:val="bottom"/>
            <w:tcBorders>
              <w:bottom w:val="single" w:sz="8" w:color="auto"/>
            </w:tcBorders>
          </w:tcPr>
          <w:p>
            <w:pPr>
              <w:jc w:val="center"/>
              <w:ind w:right="10"/>
              <w:spacing w:after="0" w:line="203" w:lineRule="exact"/>
              <w:rPr>
                <w:sz w:val="20"/>
                <w:szCs w:val="20"/>
                <w:color w:val="auto"/>
              </w:rPr>
            </w:pPr>
            <w:r>
              <w:rPr>
                <w:rFonts w:ascii="Arial" w:cs="Arial" w:eastAsia="Arial" w:hAnsi="Arial"/>
                <w:sz w:val="18"/>
                <w:szCs w:val="18"/>
                <w:color w:val="auto"/>
                <w:w w:val="95"/>
              </w:rPr>
              <w:t>Effect</w:t>
            </w:r>
          </w:p>
        </w:tc>
      </w:tr>
      <w:tr>
        <w:trPr>
          <w:trHeight w:val="195"/>
        </w:trPr>
        <w:tc>
          <w:tcPr>
            <w:tcW w:w="4900" w:type="dxa"/>
            <w:vAlign w:val="bottom"/>
          </w:tcPr>
          <w:p>
            <w:pPr>
              <w:ind w:left="40"/>
              <w:spacing w:after="0" w:line="195" w:lineRule="exact"/>
              <w:rPr>
                <w:sz w:val="20"/>
                <w:szCs w:val="20"/>
                <w:color w:val="auto"/>
              </w:rPr>
            </w:pPr>
            <w:r>
              <w:rPr>
                <w:rFonts w:ascii="Arial" w:cs="Arial" w:eastAsia="Arial" w:hAnsi="Arial"/>
                <w:sz w:val="18"/>
                <w:szCs w:val="18"/>
                <w:color w:val="auto"/>
              </w:rPr>
              <w:t>Restructuring and other, net</w:t>
            </w:r>
          </w:p>
        </w:tc>
        <w:tc>
          <w:tcPr>
            <w:tcW w:w="17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$2,739</w:t>
            </w:r>
          </w:p>
        </w:tc>
        <w:tc>
          <w:tcPr>
            <w:tcW w:w="12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$1,055</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$1,684</w:t>
            </w:r>
          </w:p>
        </w:tc>
        <w:tc>
          <w:tcPr>
            <w:tcW w:w="13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31,363</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$0.05</w:t>
            </w:r>
          </w:p>
        </w:tc>
      </w:tr>
      <w:tr>
        <w:trPr>
          <w:trHeight w:val="203"/>
        </w:trPr>
        <w:tc>
          <w:tcPr>
            <w:tcW w:w="4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revaluation losses</w:t>
            </w: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3,580</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$1,378</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2,202</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31,363</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r>
      <w:tr>
        <w:trPr>
          <w:trHeight w:val="203"/>
        </w:trPr>
        <w:tc>
          <w:tcPr>
            <w:tcW w:w="4900" w:type="dxa"/>
            <w:vAlign w:val="bottom"/>
          </w:tcPr>
          <w:p>
            <w:pPr>
              <w:ind w:left="40"/>
              <w:spacing w:after="0" w:line="202" w:lineRule="exact"/>
              <w:rPr>
                <w:sz w:val="20"/>
                <w:szCs w:val="20"/>
                <w:color w:val="auto"/>
              </w:rPr>
            </w:pPr>
            <w:r>
              <w:rPr>
                <w:rFonts w:ascii="Arial" w:cs="Arial" w:eastAsia="Arial" w:hAnsi="Arial"/>
                <w:sz w:val="18"/>
                <w:szCs w:val="18"/>
                <w:color w:val="auto"/>
              </w:rPr>
              <w:t>Net favorable discrete tax adjustments</w:t>
            </w: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684</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31,363</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r>
      <w:tr>
        <w:trPr>
          <w:trHeight w:val="210"/>
        </w:trPr>
        <w:tc>
          <w:tcPr>
            <w:tcW w:w="49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Negative effect of change in estimated income tax rate</w:t>
            </w:r>
          </w:p>
        </w:tc>
        <w:tc>
          <w:tcPr>
            <w:tcW w:w="17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1,968</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1,968</w:t>
            </w:r>
          </w:p>
        </w:tc>
        <w:tc>
          <w:tcPr>
            <w:tcW w:w="13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31,363</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0.06</w:t>
            </w:r>
          </w:p>
        </w:tc>
      </w:tr>
      <w:tr>
        <w:trPr>
          <w:trHeight w:val="405"/>
        </w:trPr>
        <w:tc>
          <w:tcPr>
            <w:tcW w:w="49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95"/>
        </w:trPr>
        <w:tc>
          <w:tcPr>
            <w:tcW w:w="4900" w:type="dxa"/>
            <w:vAlign w:val="bottom"/>
          </w:tcPr>
          <w:p>
            <w:pPr>
              <w:ind w:left="40"/>
              <w:spacing w:after="0" w:line="195" w:lineRule="exact"/>
              <w:rPr>
                <w:sz w:val="20"/>
                <w:szCs w:val="20"/>
                <w:color w:val="auto"/>
              </w:rPr>
            </w:pPr>
            <w:r>
              <w:rPr>
                <w:rFonts w:ascii="Arial" w:cs="Arial" w:eastAsia="Arial" w:hAnsi="Arial"/>
                <w:sz w:val="18"/>
                <w:szCs w:val="18"/>
                <w:color w:val="auto"/>
              </w:rPr>
              <w:t>Nine months ended September 30, 2012</w:t>
            </w:r>
          </w:p>
        </w:tc>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8"/>
              </w:rPr>
              <w:t>Pre tax</w:t>
            </w:r>
          </w:p>
        </w:tc>
        <w:tc>
          <w:tcPr>
            <w:tcW w:w="1200" w:type="dxa"/>
            <w:vAlign w:val="bottom"/>
          </w:tcPr>
          <w:p>
            <w:pPr>
              <w:jc w:val="center"/>
              <w:ind w:right="230"/>
              <w:spacing w:after="0" w:line="195" w:lineRule="exact"/>
              <w:rPr>
                <w:sz w:val="20"/>
                <w:szCs w:val="20"/>
                <w:color w:val="auto"/>
              </w:rPr>
            </w:pPr>
            <w:r>
              <w:rPr>
                <w:rFonts w:ascii="Arial" w:cs="Arial" w:eastAsia="Arial" w:hAnsi="Arial"/>
                <w:sz w:val="18"/>
                <w:szCs w:val="18"/>
                <w:color w:val="auto"/>
                <w:w w:val="93"/>
              </w:rPr>
              <w:t>Tax</w:t>
            </w:r>
          </w:p>
        </w:tc>
        <w:tc>
          <w:tcPr>
            <w:tcW w:w="118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8"/>
              </w:rPr>
              <w:t>After tax</w:t>
            </w:r>
          </w:p>
        </w:tc>
        <w:tc>
          <w:tcPr>
            <w:tcW w:w="1300" w:type="dxa"/>
            <w:vAlign w:val="bottom"/>
          </w:tcPr>
          <w:p>
            <w:pPr>
              <w:jc w:val="center"/>
              <w:ind w:right="70"/>
              <w:spacing w:after="0" w:line="195" w:lineRule="exact"/>
              <w:rPr>
                <w:sz w:val="20"/>
                <w:szCs w:val="20"/>
                <w:color w:val="auto"/>
              </w:rPr>
            </w:pPr>
            <w:r>
              <w:rPr>
                <w:rFonts w:ascii="Arial" w:cs="Arial" w:eastAsia="Arial" w:hAnsi="Arial"/>
                <w:sz w:val="18"/>
                <w:szCs w:val="18"/>
                <w:color w:val="auto"/>
              </w:rPr>
              <w:t>Shares</w:t>
            </w:r>
          </w:p>
        </w:tc>
        <w:tc>
          <w:tcPr>
            <w:tcW w:w="114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8"/>
              </w:rPr>
              <w:t>Per Share</w:t>
            </w:r>
          </w:p>
        </w:tc>
      </w:tr>
      <w:tr>
        <w:trPr>
          <w:trHeight w:val="203"/>
        </w:trPr>
        <w:tc>
          <w:tcPr>
            <w:tcW w:w="49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(in thousands, except per share amounts)</w:t>
            </w:r>
          </w:p>
        </w:tc>
        <w:tc>
          <w:tcPr>
            <w:tcW w:w="17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Amounts</w:t>
            </w:r>
          </w:p>
        </w:tc>
        <w:tc>
          <w:tcPr>
            <w:tcW w:w="1200" w:type="dxa"/>
            <w:vAlign w:val="bottom"/>
            <w:tcBorders>
              <w:bottom w:val="single" w:sz="8" w:color="auto"/>
            </w:tcBorders>
          </w:tcPr>
          <w:p>
            <w:pPr>
              <w:jc w:val="center"/>
              <w:ind w:right="250"/>
              <w:spacing w:after="0" w:line="203" w:lineRule="exact"/>
              <w:rPr>
                <w:sz w:val="20"/>
                <w:szCs w:val="20"/>
                <w:color w:val="auto"/>
              </w:rPr>
            </w:pPr>
            <w:r>
              <w:rPr>
                <w:rFonts w:ascii="Arial" w:cs="Arial" w:eastAsia="Arial" w:hAnsi="Arial"/>
                <w:sz w:val="18"/>
                <w:szCs w:val="18"/>
                <w:color w:val="auto"/>
                <w:w w:val="99"/>
              </w:rPr>
              <w:t>Effect</w:t>
            </w:r>
          </w:p>
        </w:tc>
        <w:tc>
          <w:tcPr>
            <w:tcW w:w="1180" w:type="dxa"/>
            <w:vAlign w:val="bottom"/>
            <w:tcBorders>
              <w:bottom w:val="single" w:sz="8" w:color="auto"/>
            </w:tcBorders>
          </w:tcPr>
          <w:p>
            <w:pPr>
              <w:jc w:val="center"/>
              <w:ind w:right="110"/>
              <w:spacing w:after="0" w:line="203" w:lineRule="exact"/>
              <w:rPr>
                <w:sz w:val="20"/>
                <w:szCs w:val="20"/>
                <w:color w:val="auto"/>
              </w:rPr>
            </w:pPr>
            <w:r>
              <w:rPr>
                <w:rFonts w:ascii="Arial" w:cs="Arial" w:eastAsia="Arial" w:hAnsi="Arial"/>
                <w:sz w:val="18"/>
                <w:szCs w:val="18"/>
                <w:color w:val="auto"/>
                <w:w w:val="99"/>
              </w:rPr>
              <w:t>Effect</w:t>
            </w:r>
          </w:p>
        </w:tc>
        <w:tc>
          <w:tcPr>
            <w:tcW w:w="1300" w:type="dxa"/>
            <w:vAlign w:val="bottom"/>
            <w:tcBorders>
              <w:bottom w:val="single" w:sz="8" w:color="auto"/>
            </w:tcBorders>
          </w:tcPr>
          <w:p>
            <w:pPr>
              <w:jc w:val="center"/>
              <w:ind w:right="70"/>
              <w:spacing w:after="0" w:line="203" w:lineRule="exact"/>
              <w:rPr>
                <w:sz w:val="20"/>
                <w:szCs w:val="20"/>
                <w:color w:val="auto"/>
              </w:rPr>
            </w:pPr>
            <w:r>
              <w:rPr>
                <w:rFonts w:ascii="Arial" w:cs="Arial" w:eastAsia="Arial" w:hAnsi="Arial"/>
                <w:sz w:val="18"/>
                <w:szCs w:val="18"/>
                <w:color w:val="auto"/>
              </w:rPr>
              <w:t>Outstanding</w:t>
            </w:r>
          </w:p>
        </w:tc>
        <w:tc>
          <w:tcPr>
            <w:tcW w:w="1140" w:type="dxa"/>
            <w:vAlign w:val="bottom"/>
            <w:tcBorders>
              <w:bottom w:val="single" w:sz="8" w:color="auto"/>
            </w:tcBorders>
          </w:tcPr>
          <w:p>
            <w:pPr>
              <w:jc w:val="center"/>
              <w:ind w:right="10"/>
              <w:spacing w:after="0" w:line="203" w:lineRule="exact"/>
              <w:rPr>
                <w:sz w:val="20"/>
                <w:szCs w:val="20"/>
                <w:color w:val="auto"/>
              </w:rPr>
            </w:pPr>
            <w:r>
              <w:rPr>
                <w:rFonts w:ascii="Arial" w:cs="Arial" w:eastAsia="Arial" w:hAnsi="Arial"/>
                <w:sz w:val="18"/>
                <w:szCs w:val="18"/>
                <w:color w:val="auto"/>
                <w:w w:val="95"/>
              </w:rPr>
              <w:t>Effect</w:t>
            </w:r>
          </w:p>
        </w:tc>
      </w:tr>
      <w:tr>
        <w:trPr>
          <w:trHeight w:val="195"/>
        </w:trPr>
        <w:tc>
          <w:tcPr>
            <w:tcW w:w="4900" w:type="dxa"/>
            <w:vAlign w:val="bottom"/>
          </w:tcPr>
          <w:p>
            <w:pPr>
              <w:ind w:left="40"/>
              <w:spacing w:after="0" w:line="195" w:lineRule="exact"/>
              <w:rPr>
                <w:sz w:val="20"/>
                <w:szCs w:val="20"/>
                <w:color w:val="auto"/>
              </w:rPr>
            </w:pPr>
            <w:r>
              <w:rPr>
                <w:rFonts w:ascii="Arial" w:cs="Arial" w:eastAsia="Arial" w:hAnsi="Arial"/>
                <w:sz w:val="18"/>
                <w:szCs w:val="18"/>
                <w:color w:val="auto"/>
              </w:rPr>
              <w:t>Restructuring and other, net</w:t>
            </w:r>
          </w:p>
        </w:tc>
        <w:tc>
          <w:tcPr>
            <w:tcW w:w="17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$6,149</w:t>
            </w:r>
          </w:p>
        </w:tc>
        <w:tc>
          <w:tcPr>
            <w:tcW w:w="12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$2,367</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$3,782</w:t>
            </w:r>
          </w:p>
        </w:tc>
        <w:tc>
          <w:tcPr>
            <w:tcW w:w="13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31,340</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$0.12</w:t>
            </w:r>
          </w:p>
        </w:tc>
      </w:tr>
      <w:tr>
        <w:trPr>
          <w:trHeight w:val="203"/>
        </w:trPr>
        <w:tc>
          <w:tcPr>
            <w:tcW w:w="4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revaluation losses</w:t>
            </w: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3,335</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$1,284</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2,051</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31,340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r>
      <w:tr>
        <w:trPr>
          <w:trHeight w:val="203"/>
        </w:trPr>
        <w:tc>
          <w:tcPr>
            <w:tcW w:w="4900" w:type="dxa"/>
            <w:vAlign w:val="bottom"/>
          </w:tcPr>
          <w:p>
            <w:pPr>
              <w:ind w:left="40"/>
              <w:spacing w:after="0" w:line="202" w:lineRule="exact"/>
              <w:rPr>
                <w:sz w:val="20"/>
                <w:szCs w:val="20"/>
                <w:color w:val="auto"/>
              </w:rPr>
            </w:pPr>
            <w:r>
              <w:rPr>
                <w:rFonts w:ascii="Arial" w:cs="Arial" w:eastAsia="Arial" w:hAnsi="Arial"/>
                <w:sz w:val="18"/>
                <w:szCs w:val="18"/>
                <w:color w:val="auto"/>
              </w:rPr>
              <w:t>Pension plan settlement charges</w:t>
            </w: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119,735</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39,460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80,275</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31,340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r>
      <w:tr>
        <w:trPr>
          <w:trHeight w:val="210"/>
        </w:trPr>
        <w:tc>
          <w:tcPr>
            <w:tcW w:w="49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Net favorable discrete tax adjustments</w:t>
            </w:r>
          </w:p>
        </w:tc>
        <w:tc>
          <w:tcPr>
            <w:tcW w:w="17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6,735</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6,735</w:t>
            </w:r>
          </w:p>
        </w:tc>
        <w:tc>
          <w:tcPr>
            <w:tcW w:w="13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31,340</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36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060" w:type="dxa"/>
            <w:vAlign w:val="bottom"/>
            <w:tcBorders>
              <w:top w:val="single" w:sz="8" w:color="auto"/>
              <w:bottom w:val="single" w:sz="8" w:color="auto"/>
              <w:right w:val="single" w:sz="8" w:color="auto"/>
            </w:tcBorders>
          </w:tcPr>
          <w:p>
            <w:pPr>
              <w:spacing w:after="0"/>
              <w:rPr>
                <w:sz w:val="17"/>
                <w:szCs w:val="17"/>
                <w:color w:val="auto"/>
              </w:rPr>
            </w:pPr>
          </w:p>
        </w:tc>
        <w:tc>
          <w:tcPr>
            <w:tcW w:w="1480" w:type="dxa"/>
            <w:vAlign w:val="bottom"/>
            <w:tcBorders>
              <w:top w:val="single" w:sz="8" w:color="auto"/>
              <w:bottom w:val="single" w:sz="8" w:color="auto"/>
              <w:right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right w:val="single" w:sz="8" w:color="auto"/>
            </w:tcBorders>
          </w:tcPr>
          <w:p>
            <w:pPr>
              <w:spacing w:after="0"/>
              <w:rPr>
                <w:sz w:val="17"/>
                <w:szCs w:val="17"/>
                <w:color w:val="auto"/>
              </w:rPr>
            </w:pPr>
          </w:p>
        </w:tc>
      </w:tr>
      <w:tr>
        <w:trPr>
          <w:trHeight w:val="183"/>
        </w:trPr>
        <w:tc>
          <w:tcPr>
            <w:tcW w:w="436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(in thousands)</w:t>
            </w:r>
          </w:p>
        </w:tc>
        <w:tc>
          <w:tcPr>
            <w:tcW w:w="2060" w:type="dxa"/>
            <w:vAlign w:val="bottom"/>
            <w:tcBorders>
              <w:bottom w:val="single" w:sz="8" w:color="auto"/>
              <w:right w:val="single" w:sz="8" w:color="auto"/>
            </w:tcBorders>
          </w:tcPr>
          <w:p>
            <w:pPr>
              <w:jc w:val="right"/>
              <w:ind w:right="211"/>
              <w:spacing w:after="0" w:line="183" w:lineRule="exact"/>
              <w:rPr>
                <w:sz w:val="20"/>
                <w:szCs w:val="20"/>
                <w:color w:val="auto"/>
              </w:rPr>
            </w:pPr>
            <w:r>
              <w:rPr>
                <w:rFonts w:ascii="Arial" w:cs="Arial" w:eastAsia="Arial" w:hAnsi="Arial"/>
                <w:sz w:val="16"/>
                <w:szCs w:val="16"/>
                <w:color w:val="auto"/>
              </w:rPr>
              <w:t>September 30, 2013</w:t>
            </w:r>
          </w:p>
        </w:tc>
        <w:tc>
          <w:tcPr>
            <w:tcW w:w="1480" w:type="dxa"/>
            <w:vAlign w:val="bottom"/>
            <w:tcBorders>
              <w:bottom w:val="single" w:sz="8" w:color="auto"/>
              <w:right w:val="single" w:sz="8" w:color="auto"/>
            </w:tcBorders>
          </w:tcPr>
          <w:p>
            <w:pPr>
              <w:jc w:val="right"/>
              <w:ind w:right="151"/>
              <w:spacing w:after="0" w:line="183" w:lineRule="exact"/>
              <w:rPr>
                <w:sz w:val="20"/>
                <w:szCs w:val="20"/>
                <w:color w:val="auto"/>
              </w:rPr>
            </w:pPr>
            <w:r>
              <w:rPr>
                <w:rFonts w:ascii="Arial" w:cs="Arial" w:eastAsia="Arial" w:hAnsi="Arial"/>
                <w:sz w:val="16"/>
                <w:szCs w:val="16"/>
                <w:color w:val="auto"/>
              </w:rPr>
              <w:t>June 30, 2013</w:t>
            </w:r>
          </w:p>
        </w:tc>
        <w:tc>
          <w:tcPr>
            <w:tcW w:w="1600" w:type="dxa"/>
            <w:vAlign w:val="bottom"/>
            <w:tcBorders>
              <w:bottom w:val="single" w:sz="8" w:color="auto"/>
              <w:right w:val="single" w:sz="8" w:color="auto"/>
            </w:tcBorders>
          </w:tcPr>
          <w:p>
            <w:pPr>
              <w:jc w:val="right"/>
              <w:ind w:right="171"/>
              <w:spacing w:after="0" w:line="183" w:lineRule="exact"/>
              <w:rPr>
                <w:sz w:val="20"/>
                <w:szCs w:val="20"/>
                <w:color w:val="auto"/>
              </w:rPr>
            </w:pPr>
            <w:r>
              <w:rPr>
                <w:rFonts w:ascii="Arial" w:cs="Arial" w:eastAsia="Arial" w:hAnsi="Arial"/>
                <w:sz w:val="16"/>
                <w:szCs w:val="16"/>
                <w:color w:val="auto"/>
              </w:rPr>
              <w:t>March 31, 2013</w:t>
            </w:r>
          </w:p>
        </w:tc>
        <w:tc>
          <w:tcPr>
            <w:tcW w:w="1920" w:type="dxa"/>
            <w:vAlign w:val="bottom"/>
            <w:tcBorders>
              <w:bottom w:val="single" w:sz="8" w:color="auto"/>
              <w:right w:val="single" w:sz="8" w:color="auto"/>
            </w:tcBorders>
          </w:tcPr>
          <w:p>
            <w:pPr>
              <w:jc w:val="right"/>
              <w:ind w:right="171"/>
              <w:spacing w:after="0" w:line="183" w:lineRule="exact"/>
              <w:rPr>
                <w:sz w:val="20"/>
                <w:szCs w:val="20"/>
                <w:color w:val="auto"/>
              </w:rPr>
            </w:pPr>
            <w:r>
              <w:rPr>
                <w:rFonts w:ascii="Arial" w:cs="Arial" w:eastAsia="Arial" w:hAnsi="Arial"/>
                <w:sz w:val="16"/>
                <w:szCs w:val="16"/>
                <w:color w:val="auto"/>
              </w:rPr>
              <w:t>December 31, 2012</w:t>
            </w:r>
          </w:p>
        </w:tc>
      </w:tr>
      <w:tr>
        <w:trPr>
          <w:trHeight w:val="196"/>
        </w:trPr>
        <w:tc>
          <w:tcPr>
            <w:tcW w:w="43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Notes and loans payable</w:t>
            </w:r>
          </w:p>
        </w:tc>
        <w:tc>
          <w:tcPr>
            <w:tcW w:w="206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$ 565</w:t>
            </w:r>
          </w:p>
        </w:tc>
        <w:tc>
          <w:tcPr>
            <w:tcW w:w="14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$ 610</w:t>
            </w:r>
          </w:p>
        </w:tc>
        <w:tc>
          <w:tcPr>
            <w:tcW w:w="160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$ 780</w:t>
            </w:r>
          </w:p>
        </w:tc>
        <w:tc>
          <w:tcPr>
            <w:tcW w:w="192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$ 586</w:t>
            </w:r>
          </w:p>
        </w:tc>
      </w:tr>
      <w:tr>
        <w:trPr>
          <w:trHeight w:val="196"/>
        </w:trPr>
        <w:tc>
          <w:tcPr>
            <w:tcW w:w="43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Current maturities of long-term debt</w:t>
            </w:r>
          </w:p>
        </w:tc>
        <w:tc>
          <w:tcPr>
            <w:tcW w:w="206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55,014</w:t>
            </w:r>
          </w:p>
        </w:tc>
        <w:tc>
          <w:tcPr>
            <w:tcW w:w="14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55,014</w:t>
            </w:r>
          </w:p>
        </w:tc>
        <w:tc>
          <w:tcPr>
            <w:tcW w:w="160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55,014</w:t>
            </w:r>
          </w:p>
        </w:tc>
        <w:tc>
          <w:tcPr>
            <w:tcW w:w="192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83,276</w:t>
            </w:r>
          </w:p>
        </w:tc>
      </w:tr>
      <w:tr>
        <w:trPr>
          <w:trHeight w:val="196"/>
        </w:trPr>
        <w:tc>
          <w:tcPr>
            <w:tcW w:w="43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Long-term debt</w:t>
            </w:r>
          </w:p>
        </w:tc>
        <w:tc>
          <w:tcPr>
            <w:tcW w:w="206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252,115</w:t>
            </w:r>
          </w:p>
        </w:tc>
        <w:tc>
          <w:tcPr>
            <w:tcW w:w="14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265,368</w:t>
            </w:r>
          </w:p>
        </w:tc>
        <w:tc>
          <w:tcPr>
            <w:tcW w:w="160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278,622</w:t>
            </w:r>
          </w:p>
        </w:tc>
        <w:tc>
          <w:tcPr>
            <w:tcW w:w="192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235,877</w:t>
            </w:r>
          </w:p>
        </w:tc>
      </w:tr>
      <w:tr>
        <w:trPr>
          <w:trHeight w:val="196"/>
        </w:trPr>
        <w:tc>
          <w:tcPr>
            <w:tcW w:w="43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Total debt</w:t>
            </w:r>
          </w:p>
        </w:tc>
        <w:tc>
          <w:tcPr>
            <w:tcW w:w="206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307,694</w:t>
            </w:r>
          </w:p>
        </w:tc>
        <w:tc>
          <w:tcPr>
            <w:tcW w:w="14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320,992</w:t>
            </w:r>
          </w:p>
        </w:tc>
        <w:tc>
          <w:tcPr>
            <w:tcW w:w="160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334,416</w:t>
            </w:r>
          </w:p>
        </w:tc>
        <w:tc>
          <w:tcPr>
            <w:tcW w:w="192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319,739</w:t>
            </w:r>
          </w:p>
        </w:tc>
      </w:tr>
      <w:tr>
        <w:trPr>
          <w:trHeight w:val="196"/>
        </w:trPr>
        <w:tc>
          <w:tcPr>
            <w:tcW w:w="43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Cash</w:t>
            </w:r>
          </w:p>
        </w:tc>
        <w:tc>
          <w:tcPr>
            <w:tcW w:w="206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212,809</w:t>
            </w:r>
          </w:p>
        </w:tc>
        <w:tc>
          <w:tcPr>
            <w:tcW w:w="14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197,321</w:t>
            </w:r>
          </w:p>
        </w:tc>
        <w:tc>
          <w:tcPr>
            <w:tcW w:w="160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199,833</w:t>
            </w:r>
          </w:p>
        </w:tc>
        <w:tc>
          <w:tcPr>
            <w:tcW w:w="192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190,718</w:t>
            </w:r>
          </w:p>
        </w:tc>
      </w:tr>
      <w:tr>
        <w:trPr>
          <w:trHeight w:val="196"/>
        </w:trPr>
        <w:tc>
          <w:tcPr>
            <w:tcW w:w="43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Net debt</w:t>
            </w:r>
          </w:p>
        </w:tc>
        <w:tc>
          <w:tcPr>
            <w:tcW w:w="206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$ 94,885</w:t>
            </w:r>
          </w:p>
        </w:tc>
        <w:tc>
          <w:tcPr>
            <w:tcW w:w="14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$ 123,671</w:t>
            </w:r>
          </w:p>
        </w:tc>
        <w:tc>
          <w:tcPr>
            <w:tcW w:w="160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$ 134,583</w:t>
            </w:r>
          </w:p>
        </w:tc>
        <w:tc>
          <w:tcPr>
            <w:tcW w:w="192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$ 129,021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04"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15d-15(e)) as 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3" w:right="239" w:bottom="1440" w:gutter="0" w:footer="0" w:header="0"/>
        </w:sectPr>
      </w:pPr>
    </w:p>
    <w:bookmarkStart w:id="43" w:name="page44"/>
    <w:bookmarkEnd w:id="43"/>
    <w:p>
      <w:pPr>
        <w:ind w:right="140"/>
        <w:spacing w:after="0" w:line="237" w:lineRule="auto"/>
        <w:rPr>
          <w:sz w:val="20"/>
          <w:szCs w:val="20"/>
          <w:color w:val="auto"/>
        </w:rPr>
      </w:pPr>
      <w:r>
        <w:rPr>
          <w:rFonts w:ascii="Arial" w:cs="Arial" w:eastAsia="Arial" w:hAnsi="Arial"/>
          <w:sz w:val="18"/>
          <w:szCs w:val="18"/>
          <w:color w:val="auto"/>
        </w:rPr>
        <w:t>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23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Changes in internal control over financial reporting.</w:t>
      </w:r>
    </w:p>
    <w:p>
      <w:pPr>
        <w:spacing w:after="0" w:line="104"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above under Note 15 in “Notes to Consolidated Financial Statements” is incorporated herein by reference.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w:t>
      </w:r>
    </w:p>
    <w:p>
      <w:pPr>
        <w:spacing w:after="0" w:line="193" w:lineRule="exact"/>
        <w:rPr>
          <w:sz w:val="20"/>
          <w:szCs w:val="20"/>
          <w:color w:val="auto"/>
        </w:rPr>
      </w:pPr>
    </w:p>
    <w:p>
      <w:pPr>
        <w:ind w:right="340" w:firstLine="486"/>
        <w:spacing w:after="0" w:line="246" w:lineRule="auto"/>
        <w:rPr>
          <w:sz w:val="20"/>
          <w:szCs w:val="20"/>
          <w:color w:val="auto"/>
        </w:rPr>
      </w:pPr>
      <w:r>
        <w:rPr>
          <w:rFonts w:ascii="Arial" w:cs="Arial" w:eastAsia="Arial" w:hAnsi="Arial"/>
          <w:sz w:val="18"/>
          <w:szCs w:val="18"/>
          <w:color w:val="auto"/>
        </w:rPr>
        <w:t>There have been no material changes in risks since December 31, 2012. For discussion of risk factors, refer to Item 1A of our Annual Report on Form 10-K for the year ended December 31, 2012.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7" w:lineRule="exact"/>
        <w:rPr>
          <w:sz w:val="20"/>
          <w:szCs w:val="20"/>
          <w:color w:val="auto"/>
        </w:rPr>
      </w:pPr>
    </w:p>
    <w:p>
      <w:pPr>
        <w:ind w:right="520" w:firstLine="486"/>
        <w:spacing w:after="0" w:line="246" w:lineRule="auto"/>
        <w:rPr>
          <w:sz w:val="20"/>
          <w:szCs w:val="20"/>
          <w:color w:val="auto"/>
        </w:rPr>
      </w:pPr>
      <w:r>
        <w:rPr>
          <w:rFonts w:ascii="Arial" w:cs="Arial" w:eastAsia="Arial" w:hAnsi="Arial"/>
          <w:sz w:val="18"/>
          <w:szCs w:val="18"/>
          <w:color w:val="auto"/>
        </w:rPr>
        <w:t>We made no share purchases during the third quarter of 2013. We remain authorized by the Board of Directors to purchase up to 2 million shares of our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Exhibit No.</w:t>
            </w:r>
          </w:p>
        </w:tc>
        <w:tc>
          <w:tcPr>
            <w:tcW w:w="10240" w:type="dxa"/>
            <w:vAlign w:val="bottom"/>
          </w:tcPr>
          <w:p>
            <w:pPr>
              <w:ind w:left="300"/>
              <w:spacing w:after="0"/>
              <w:rPr>
                <w:sz w:val="20"/>
                <w:szCs w:val="20"/>
                <w:color w:val="auto"/>
              </w:rPr>
            </w:pPr>
            <w:r>
              <w:rPr>
                <w:rFonts w:ascii="Arial" w:cs="Arial" w:eastAsia="Arial" w:hAnsi="Arial"/>
                <w:sz w:val="18"/>
                <w:szCs w:val="18"/>
                <w:color w:val="auto"/>
              </w:rPr>
              <w:t>Description</w:t>
            </w:r>
          </w:p>
        </w:tc>
      </w:tr>
      <w:tr>
        <w:trPr>
          <w:trHeight w:val="446"/>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tcPr>
          <w:p>
            <w:pPr>
              <w:ind w:left="300"/>
              <w:spacing w:after="0"/>
              <w:rPr>
                <w:sz w:val="20"/>
                <w:szCs w:val="20"/>
                <w:color w:val="auto"/>
              </w:rPr>
            </w:pPr>
            <w:r>
              <w:rPr>
                <w:rFonts w:ascii="Arial" w:cs="Arial" w:eastAsia="Arial" w:hAnsi="Arial"/>
                <w:sz w:val="18"/>
                <w:szCs w:val="18"/>
                <w:color w:val="auto"/>
              </w:rPr>
              <w:t>Certification of the Chief Executive Officer pursuant to Rule 13a-14(a)/15d-14(a) of the Exchange Act.</w:t>
            </w:r>
          </w:p>
        </w:tc>
      </w:tr>
      <w:tr>
        <w:trPr>
          <w:trHeight w:val="594"/>
        </w:trPr>
        <w:tc>
          <w:tcPr>
            <w:tcW w:w="1180" w:type="dxa"/>
            <w:vAlign w:val="bottom"/>
          </w:tcPr>
          <w:p>
            <w:pPr>
              <w:spacing w:after="0"/>
              <w:rPr>
                <w:sz w:val="24"/>
                <w:szCs w:val="24"/>
                <w:color w:val="auto"/>
              </w:rPr>
            </w:pPr>
          </w:p>
        </w:tc>
        <w:tc>
          <w:tcPr>
            <w:tcW w:w="10240" w:type="dxa"/>
            <w:vAlign w:val="bottom"/>
          </w:tcPr>
          <w:p>
            <w:pPr>
              <w:jc w:val="right"/>
              <w:ind w:right="5510"/>
              <w:spacing w:after="0"/>
              <w:rPr>
                <w:sz w:val="20"/>
                <w:szCs w:val="20"/>
                <w:color w:val="auto"/>
              </w:rPr>
            </w:pPr>
            <w:r>
              <w:rPr>
                <w:rFonts w:ascii="Arial" w:cs="Arial" w:eastAsia="Arial" w:hAnsi="Arial"/>
                <w:sz w:val="18"/>
                <w:szCs w:val="18"/>
                <w:color w:val="auto"/>
              </w:rPr>
              <w:t>44</w:t>
            </w:r>
          </w:p>
        </w:tc>
      </w:tr>
      <w:tr>
        <w:trPr>
          <w:trHeight w:val="54"/>
        </w:trPr>
        <w:tc>
          <w:tcPr>
            <w:tcW w:w="1180" w:type="dxa"/>
            <w:vAlign w:val="bottom"/>
          </w:tcPr>
          <w:p>
            <w:pPr>
              <w:spacing w:after="0"/>
              <w:rPr>
                <w:sz w:val="4"/>
                <w:szCs w:val="4"/>
                <w:color w:val="auto"/>
              </w:rPr>
            </w:pPr>
          </w:p>
        </w:tc>
        <w:tc>
          <w:tcPr>
            <w:tcW w:w="10240" w:type="dxa"/>
            <w:vAlign w:val="bottom"/>
          </w:tcPr>
          <w:p>
            <w:pPr>
              <w:spacing w:after="0"/>
              <w:rPr>
                <w:sz w:val="4"/>
                <w:szCs w:val="4"/>
                <w:color w:val="auto"/>
              </w:rPr>
            </w:pPr>
          </w:p>
        </w:tc>
      </w:tr>
      <w:tr>
        <w:trPr>
          <w:trHeight w:val="68"/>
        </w:trPr>
        <w:tc>
          <w:tcPr>
            <w:tcW w:w="1180" w:type="dxa"/>
            <w:vAlign w:val="bottom"/>
            <w:shd w:val="clear" w:color="auto" w:fill="000000"/>
          </w:tcPr>
          <w:p>
            <w:pPr>
              <w:spacing w:after="0"/>
              <w:rPr>
                <w:sz w:val="5"/>
                <w:szCs w:val="5"/>
                <w:color w:val="auto"/>
              </w:rPr>
            </w:pPr>
          </w:p>
        </w:tc>
        <w:tc>
          <w:tcPr>
            <w:tcW w:w="102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98" w:right="239" w:bottom="1440" w:gutter="0" w:footer="0" w:header="0"/>
        </w:sectPr>
      </w:pPr>
    </w:p>
    <w:bookmarkStart w:id="44" w:name="page45"/>
    <w:bookmarkEnd w:id="44"/>
    <w:p>
      <w:pPr>
        <w:spacing w:after="0"/>
        <w:tabs>
          <w:tab w:leader="none" w:pos="5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the Chief Financial Officer pursuant to Rule 13a-14(a)/15d-14(a) of the Exchange Act.</w:t>
      </w:r>
    </w:p>
    <w:p>
      <w:pPr>
        <w:spacing w:after="0" w:line="347" w:lineRule="exact"/>
        <w:rPr>
          <w:sz w:val="20"/>
          <w:szCs w:val="20"/>
          <w:color w:val="auto"/>
        </w:rPr>
      </w:pPr>
    </w:p>
    <w:p>
      <w:pPr>
        <w:ind w:left="540" w:hanging="526"/>
        <w:spacing w:after="0" w:line="246" w:lineRule="auto"/>
        <w:tabs>
          <w:tab w:leader="none" w:pos="520" w:val="left"/>
        </w:tabs>
        <w:rPr>
          <w:sz w:val="20"/>
          <w:szCs w:val="20"/>
          <w:color w:val="auto"/>
        </w:rPr>
      </w:pPr>
      <w:r>
        <w:rPr>
          <w:rFonts w:ascii="Arial" w:cs="Arial" w:eastAsia="Arial" w:hAnsi="Arial"/>
          <w:sz w:val="18"/>
          <w:szCs w:val="18"/>
          <w:color w:val="auto"/>
        </w:rPr>
        <w:t>32.1</w:t>
        <w:tab/>
        <w:t>Certification pursuant to Section 906 of the Sarbanes-Oxley Act of 2002 (Subsections (a) and (b) of Section 1350, Chapter 63 of Title 18, United States Code).</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Quantitative and qualitative disclosures about market risks as reported at September 30, 2013.</w:t>
      </w:r>
    </w:p>
    <w:p>
      <w:pPr>
        <w:spacing w:after="0" w:line="347" w:lineRule="exact"/>
        <w:rPr>
          <w:sz w:val="20"/>
          <w:szCs w:val="20"/>
          <w:color w:val="auto"/>
        </w:rPr>
      </w:pPr>
    </w:p>
    <w:p>
      <w:pPr>
        <w:ind w:left="540" w:right="440" w:hanging="532"/>
        <w:spacing w:after="0" w:line="246"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September 30, 2013, formatted in eXtensible Business Reporting Language (XBRL), filed herewith:</w:t>
      </w:r>
    </w:p>
    <w:p>
      <w:pPr>
        <w:spacing w:after="0" w:line="331" w:lineRule="exact"/>
        <w:rPr>
          <w:rFonts w:ascii="Arial" w:cs="Arial" w:eastAsia="Arial" w:hAnsi="Arial"/>
          <w:sz w:val="18"/>
          <w:szCs w:val="18"/>
          <w:color w:val="auto"/>
        </w:rPr>
      </w:pPr>
    </w:p>
    <w:p>
      <w:pPr>
        <w:ind w:left="800" w:hanging="249"/>
        <w:spacing w:after="0"/>
        <w:tabs>
          <w:tab w:leader="none" w:pos="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Statements of Income for the three and nine months ended September 30, 2013 and 2012.</w:t>
      </w:r>
    </w:p>
    <w:p>
      <w:pPr>
        <w:spacing w:after="0" w:line="103" w:lineRule="exact"/>
        <w:rPr>
          <w:rFonts w:ascii="Arial" w:cs="Arial" w:eastAsia="Arial" w:hAnsi="Arial"/>
          <w:sz w:val="18"/>
          <w:szCs w:val="18"/>
          <w:color w:val="auto"/>
        </w:rPr>
      </w:pPr>
    </w:p>
    <w:p>
      <w:pPr>
        <w:ind w:left="800" w:hanging="290"/>
        <w:spacing w:after="0"/>
        <w:tabs>
          <w:tab w:leader="none" w:pos="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three and nine months ended September 30, 2013 and 2012.</w:t>
      </w:r>
    </w:p>
    <w:p>
      <w:pPr>
        <w:spacing w:after="0" w:line="103" w:lineRule="exact"/>
        <w:rPr>
          <w:rFonts w:ascii="Arial" w:cs="Arial" w:eastAsia="Arial" w:hAnsi="Arial"/>
          <w:sz w:val="18"/>
          <w:szCs w:val="18"/>
          <w:color w:val="auto"/>
        </w:rPr>
      </w:pPr>
    </w:p>
    <w:p>
      <w:pPr>
        <w:ind w:left="800" w:hanging="329"/>
        <w:spacing w:after="0"/>
        <w:tabs>
          <w:tab w:leader="none" w:pos="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Balance Sheets at September 30, 2013 and December 31, 2012.</w:t>
      </w:r>
    </w:p>
    <w:p>
      <w:pPr>
        <w:spacing w:after="0" w:line="103" w:lineRule="exact"/>
        <w:rPr>
          <w:rFonts w:ascii="Arial" w:cs="Arial" w:eastAsia="Arial" w:hAnsi="Arial"/>
          <w:sz w:val="18"/>
          <w:szCs w:val="18"/>
          <w:color w:val="auto"/>
        </w:rPr>
      </w:pPr>
    </w:p>
    <w:p>
      <w:pPr>
        <w:ind w:left="800" w:hanging="340"/>
        <w:spacing w:after="0"/>
        <w:tabs>
          <w:tab w:leader="none" w:pos="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and nine months ended September 30, 2013 and 2012.</w:t>
      </w:r>
    </w:p>
    <w:p>
      <w:pPr>
        <w:spacing w:after="0" w:line="103" w:lineRule="exact"/>
        <w:rPr>
          <w:rFonts w:ascii="Arial" w:cs="Arial" w:eastAsia="Arial" w:hAnsi="Arial"/>
          <w:sz w:val="18"/>
          <w:szCs w:val="18"/>
          <w:color w:val="auto"/>
        </w:rPr>
      </w:pPr>
    </w:p>
    <w:p>
      <w:pPr>
        <w:ind w:left="800" w:hanging="299"/>
        <w:spacing w:after="0"/>
        <w:tabs>
          <w:tab w:leader="none" w:pos="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3" w:lineRule="exact"/>
        <w:rPr>
          <w:rFonts w:ascii="Arial" w:cs="Arial" w:eastAsia="Arial" w:hAnsi="Arial"/>
          <w:sz w:val="18"/>
          <w:szCs w:val="18"/>
          <w:color w:val="auto"/>
        </w:rPr>
      </w:pPr>
    </w:p>
    <w:p>
      <w:pPr>
        <w:ind w:left="800" w:right="320"/>
        <w:spacing w:after="0" w:line="246" w:lineRule="auto"/>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733" w:right="259" w:bottom="1440" w:gutter="0" w:footer="0" w:header="0"/>
        </w:sectPr>
      </w:pPr>
    </w:p>
    <w:bookmarkStart w:id="45" w:name="page46"/>
    <w:bookmarkEnd w:id="45"/>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jc w:val="center"/>
        <w:ind w:left="2400"/>
        <w:spacing w:after="0"/>
        <w:rPr>
          <w:sz w:val="20"/>
          <w:szCs w:val="20"/>
          <w:color w:val="auto"/>
        </w:rPr>
      </w:pPr>
      <w:r>
        <w:rPr>
          <w:rFonts w:ascii="Arial" w:cs="Arial" w:eastAsia="Arial" w:hAnsi="Arial"/>
          <w:sz w:val="18"/>
          <w:szCs w:val="18"/>
          <w:u w:val="single" w:color="auto"/>
          <w:color w:val="auto"/>
        </w:rPr>
        <w:t>ALBANY INTERNATIONAL CORP</w:t>
      </w:r>
      <w:r>
        <w:rPr>
          <w:rFonts w:ascii="Arial" w:cs="Arial" w:eastAsia="Arial" w:hAnsi="Arial"/>
          <w:sz w:val="18"/>
          <w:szCs w:val="18"/>
          <w:color w:val="auto"/>
        </w:rPr>
        <w:t>.</w:t>
      </w:r>
    </w:p>
    <w:p>
      <w:pPr>
        <w:jc w:val="center"/>
        <w:ind w:left="2400"/>
        <w:spacing w:after="0" w:line="234" w:lineRule="auto"/>
        <w:rPr>
          <w:sz w:val="20"/>
          <w:szCs w:val="20"/>
          <w:color w:val="auto"/>
        </w:rPr>
      </w:pPr>
      <w:r>
        <w:rPr>
          <w:rFonts w:ascii="Arial" w:cs="Arial" w:eastAsia="Arial" w:hAnsi="Arial"/>
          <w:sz w:val="18"/>
          <w:szCs w:val="18"/>
          <w:color w:val="auto"/>
        </w:rPr>
        <w:t>(Registrant)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200" w:lineRule="exact"/>
        <w:rPr>
          <w:sz w:val="20"/>
          <w:szCs w:val="20"/>
          <w:color w:val="auto"/>
        </w:rPr>
      </w:pPr>
    </w:p>
    <w:p>
      <w:pPr>
        <w:spacing w:after="0" w:line="201"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B. Cozzolino</w:t>
      </w:r>
    </w:p>
    <w:p>
      <w:pPr>
        <w:spacing w:after="0" w:line="19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John B. Cozzolino</w:t>
      </w:r>
    </w:p>
    <w:p>
      <w:pPr>
        <w:ind w:left="638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Financial Officer)</w:t>
      </w:r>
    </w:p>
    <w:p>
      <w:pPr>
        <w:spacing w:after="0" w:line="37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00"/>
          </w:cols>
          <w:pgMar w:left="240" w:top="468" w:right="6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 Joseph G. Morone, certify that:</w:t>
      </w:r>
    </w:p>
    <w:p>
      <w:pPr>
        <w:spacing w:after="0" w:line="181" w:lineRule="exact"/>
        <w:rPr>
          <w:sz w:val="20"/>
          <w:szCs w:val="20"/>
          <w:color w:val="auto"/>
        </w:rPr>
      </w:pPr>
    </w:p>
    <w:p>
      <w:pPr>
        <w:ind w:left="380" w:hanging="210"/>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report on Form 10-Q of Albany International Corp.;</w:t>
      </w:r>
    </w:p>
    <w:p>
      <w:pPr>
        <w:spacing w:after="0" w:line="113" w:lineRule="exact"/>
        <w:rPr>
          <w:rFonts w:ascii="Arial" w:cs="Arial" w:eastAsia="Arial" w:hAnsi="Arial"/>
          <w:sz w:val="16"/>
          <w:szCs w:val="16"/>
          <w:color w:val="auto"/>
        </w:rPr>
      </w:pPr>
    </w:p>
    <w:p>
      <w:pPr>
        <w:ind w:left="380" w:right="80" w:hanging="210"/>
        <w:spacing w:after="0" w:line="260"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6"/>
          <w:szCs w:val="16"/>
          <w:color w:val="auto"/>
        </w:rPr>
      </w:pPr>
    </w:p>
    <w:p>
      <w:pPr>
        <w:ind w:left="380" w:right="40" w:hanging="210"/>
        <w:spacing w:after="0" w:line="260"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ind w:left="380" w:right="160" w:hanging="210"/>
        <w:spacing w:after="0" w:line="253"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6"/>
          <w:szCs w:val="16"/>
          <w:color w:val="auto"/>
        </w:rPr>
      </w:pPr>
    </w:p>
    <w:p>
      <w:pPr>
        <w:jc w:val="both"/>
        <w:ind w:left="400" w:right="420" w:firstLine="4"/>
        <w:spacing w:after="0" w:line="253" w:lineRule="auto"/>
        <w:tabs>
          <w:tab w:leader="none" w:pos="643"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400" w:right="180" w:firstLine="4"/>
        <w:spacing w:after="0" w:line="253" w:lineRule="auto"/>
        <w:tabs>
          <w:tab w:leader="none" w:pos="643"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ind w:left="400" w:right="60" w:firstLine="4"/>
        <w:spacing w:after="0" w:line="260" w:lineRule="auto"/>
        <w:tabs>
          <w:tab w:leader="none" w:pos="634"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jc w:val="both"/>
        <w:ind w:left="400" w:right="280" w:firstLine="4"/>
        <w:spacing w:after="0" w:line="253" w:lineRule="auto"/>
        <w:tabs>
          <w:tab w:leader="none" w:pos="643"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380" w:right="440" w:hanging="210"/>
        <w:spacing w:after="0" w:line="260"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400" w:right="60" w:firstLine="4"/>
        <w:spacing w:after="0" w:line="260" w:lineRule="auto"/>
        <w:tabs>
          <w:tab w:leader="none" w:pos="634"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400" w:right="240" w:firstLine="4"/>
        <w:spacing w:after="0" w:line="260" w:lineRule="auto"/>
        <w:tabs>
          <w:tab w:leader="none" w:pos="634"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2013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ind w:left="5820"/>
              <w:spacing w:after="0"/>
              <w:rPr>
                <w:sz w:val="20"/>
                <w:szCs w:val="20"/>
                <w:color w:val="auto"/>
              </w:rPr>
            </w:pPr>
            <w:r>
              <w:rPr>
                <w:rFonts w:ascii="Arial" w:cs="Arial" w:eastAsia="Arial" w:hAnsi="Arial"/>
                <w:sz w:val="16"/>
                <w:szCs w:val="16"/>
                <w:color w:val="auto"/>
              </w:rPr>
              <w:t>By</w:t>
            </w:r>
          </w:p>
        </w:tc>
        <w:tc>
          <w:tcPr>
            <w:tcW w:w="220" w:type="dxa"/>
            <w:vAlign w:val="bottom"/>
          </w:tcPr>
          <w:p>
            <w:pPr>
              <w:spacing w:after="0"/>
              <w:rPr>
                <w:sz w:val="16"/>
                <w:szCs w:val="16"/>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9"/>
              </w:rPr>
              <w:t>/s/ Joseph G. Morone</w:t>
            </w:r>
          </w:p>
        </w:tc>
        <w:tc>
          <w:tcPr>
            <w:tcW w:w="3440" w:type="dxa"/>
            <w:vAlign w:val="bottom"/>
          </w:tcPr>
          <w:p>
            <w:pPr>
              <w:spacing w:after="0"/>
              <w:rPr>
                <w:sz w:val="16"/>
                <w:szCs w:val="16"/>
                <w:color w:val="auto"/>
              </w:rPr>
            </w:pPr>
          </w:p>
        </w:tc>
      </w:tr>
      <w:tr>
        <w:trPr>
          <w:trHeight w:val="198"/>
        </w:trPr>
        <w:tc>
          <w:tcPr>
            <w:tcW w:w="6200" w:type="dxa"/>
            <w:vAlign w:val="bottom"/>
          </w:tcPr>
          <w:p>
            <w:pPr>
              <w:spacing w:after="0"/>
              <w:rPr>
                <w:sz w:val="17"/>
                <w:szCs w:val="17"/>
                <w:color w:val="auto"/>
              </w:rPr>
            </w:pPr>
          </w:p>
        </w:tc>
        <w:tc>
          <w:tcPr>
            <w:tcW w:w="5220" w:type="dxa"/>
            <w:vAlign w:val="bottom"/>
            <w:gridSpan w:val="3"/>
          </w:tcPr>
          <w:p>
            <w:pPr>
              <w:ind w:left="180"/>
              <w:spacing w:after="0"/>
              <w:rPr>
                <w:sz w:val="20"/>
                <w:szCs w:val="20"/>
                <w:color w:val="auto"/>
              </w:rPr>
            </w:pPr>
            <w:r>
              <w:rPr>
                <w:rFonts w:ascii="Arial" w:cs="Arial" w:eastAsia="Arial" w:hAnsi="Arial"/>
                <w:sz w:val="16"/>
                <w:szCs w:val="16"/>
                <w:color w:val="auto"/>
              </w:rPr>
              <w:t>Joseph G. Morone</w:t>
            </w:r>
          </w:p>
        </w:tc>
      </w:tr>
      <w:tr>
        <w:trPr>
          <w:trHeight w:val="189"/>
        </w:trPr>
        <w:tc>
          <w:tcPr>
            <w:tcW w:w="6200" w:type="dxa"/>
            <w:vAlign w:val="bottom"/>
          </w:tcPr>
          <w:p>
            <w:pPr>
              <w:spacing w:after="0"/>
              <w:rPr>
                <w:sz w:val="16"/>
                <w:szCs w:val="16"/>
                <w:color w:val="auto"/>
              </w:rPr>
            </w:pPr>
          </w:p>
        </w:tc>
        <w:tc>
          <w:tcPr>
            <w:tcW w:w="5220" w:type="dxa"/>
            <w:vAlign w:val="bottom"/>
            <w:gridSpan w:val="3"/>
          </w:tcPr>
          <w:p>
            <w:pPr>
              <w:ind w:left="180"/>
              <w:spacing w:after="0"/>
              <w:rPr>
                <w:sz w:val="20"/>
                <w:szCs w:val="20"/>
                <w:color w:val="auto"/>
              </w:rPr>
            </w:pPr>
            <w:r>
              <w:rPr>
                <w:rFonts w:ascii="Arial" w:cs="Arial" w:eastAsia="Arial" w:hAnsi="Arial"/>
                <w:sz w:val="16"/>
                <w:szCs w:val="16"/>
                <w:color w:val="auto"/>
              </w:rPr>
              <w:t>President and Chief Executive Officer</w:t>
            </w:r>
          </w:p>
        </w:tc>
      </w:tr>
      <w:tr>
        <w:trPr>
          <w:trHeight w:val="195"/>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(Principal Executive Officer)</w:t>
            </w:r>
          </w:p>
        </w:tc>
      </w:tr>
      <w:tr>
        <w:trPr>
          <w:trHeight w:val="371"/>
        </w:trPr>
        <w:tc>
          <w:tcPr>
            <w:tcW w:w="6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8"/>
        </w:trPr>
        <w:tc>
          <w:tcPr>
            <w:tcW w:w="62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34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18"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rPr>
          <w:sz w:val="20"/>
          <w:szCs w:val="20"/>
          <w:color w:val="auto"/>
        </w:rPr>
      </w:pPr>
      <w:r>
        <w:rPr>
          <w:rFonts w:ascii="Arial" w:cs="Arial" w:eastAsia="Arial" w:hAnsi="Arial"/>
          <w:sz w:val="16"/>
          <w:szCs w:val="16"/>
          <w:color w:val="auto"/>
        </w:rPr>
        <w:t>I, John B. Cozzolino, certify that:</w:t>
      </w:r>
    </w:p>
    <w:p>
      <w:pPr>
        <w:spacing w:after="0" w:line="181" w:lineRule="exact"/>
        <w:rPr>
          <w:sz w:val="20"/>
          <w:szCs w:val="20"/>
          <w:color w:val="auto"/>
        </w:rPr>
      </w:pPr>
    </w:p>
    <w:p>
      <w:pPr>
        <w:ind w:left="380" w:hanging="210"/>
        <w:spacing w:after="0"/>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report on Form 10-Q of Albany International Corp.;</w:t>
      </w:r>
    </w:p>
    <w:p>
      <w:pPr>
        <w:spacing w:after="0" w:line="113" w:lineRule="exact"/>
        <w:rPr>
          <w:rFonts w:ascii="Arial" w:cs="Arial" w:eastAsia="Arial" w:hAnsi="Arial"/>
          <w:sz w:val="16"/>
          <w:szCs w:val="16"/>
          <w:color w:val="auto"/>
        </w:rPr>
      </w:pPr>
    </w:p>
    <w:p>
      <w:pPr>
        <w:ind w:left="380" w:right="80" w:hanging="210"/>
        <w:spacing w:after="0" w:line="260"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6"/>
          <w:szCs w:val="16"/>
          <w:color w:val="auto"/>
        </w:rPr>
      </w:pPr>
    </w:p>
    <w:p>
      <w:pPr>
        <w:ind w:left="380" w:right="40" w:hanging="210"/>
        <w:spacing w:after="0" w:line="260"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ind w:left="380" w:right="160" w:hanging="210"/>
        <w:spacing w:after="0" w:line="253"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6"/>
          <w:szCs w:val="16"/>
          <w:color w:val="auto"/>
        </w:rPr>
      </w:pPr>
    </w:p>
    <w:p>
      <w:pPr>
        <w:jc w:val="both"/>
        <w:ind w:left="400" w:right="420" w:firstLine="4"/>
        <w:spacing w:after="0" w:line="253" w:lineRule="auto"/>
        <w:tabs>
          <w:tab w:leader="none" w:pos="643"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400" w:right="180" w:firstLine="4"/>
        <w:spacing w:after="0" w:line="253" w:lineRule="auto"/>
        <w:tabs>
          <w:tab w:leader="none" w:pos="643"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ind w:left="400" w:right="60" w:firstLine="4"/>
        <w:spacing w:after="0" w:line="260" w:lineRule="auto"/>
        <w:tabs>
          <w:tab w:leader="none" w:pos="634"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6"/>
          <w:szCs w:val="16"/>
          <w:color w:val="auto"/>
        </w:rPr>
      </w:pPr>
    </w:p>
    <w:p>
      <w:pPr>
        <w:jc w:val="both"/>
        <w:ind w:left="400" w:right="280" w:firstLine="4"/>
        <w:spacing w:after="0" w:line="253" w:lineRule="auto"/>
        <w:tabs>
          <w:tab w:leader="none" w:pos="643"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380" w:right="440" w:hanging="210"/>
        <w:spacing w:after="0" w:line="260"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6"/>
          <w:szCs w:val="16"/>
          <w:color w:val="auto"/>
        </w:rPr>
      </w:pPr>
    </w:p>
    <w:p>
      <w:pPr>
        <w:ind w:left="400" w:right="60" w:firstLine="4"/>
        <w:spacing w:after="0" w:line="260" w:lineRule="auto"/>
        <w:tabs>
          <w:tab w:leader="none" w:pos="634"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400" w:right="240" w:firstLine="4"/>
        <w:spacing w:after="0" w:line="260" w:lineRule="auto"/>
        <w:tabs>
          <w:tab w:leader="none" w:pos="634"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ind w:left="5820"/>
              <w:spacing w:after="0"/>
              <w:rPr>
                <w:sz w:val="20"/>
                <w:szCs w:val="20"/>
                <w:color w:val="auto"/>
              </w:rPr>
            </w:pPr>
            <w:r>
              <w:rPr>
                <w:rFonts w:ascii="Arial" w:cs="Arial" w:eastAsia="Arial" w:hAnsi="Arial"/>
                <w:sz w:val="16"/>
                <w:szCs w:val="16"/>
                <w:color w:val="auto"/>
              </w:rPr>
              <w:t>By</w:t>
            </w:r>
          </w:p>
        </w:tc>
        <w:tc>
          <w:tcPr>
            <w:tcW w:w="220" w:type="dxa"/>
            <w:vAlign w:val="bottom"/>
          </w:tcPr>
          <w:p>
            <w:pPr>
              <w:spacing w:after="0"/>
              <w:rPr>
                <w:sz w:val="16"/>
                <w:szCs w:val="16"/>
                <w:color w:val="auto"/>
              </w:rPr>
            </w:pPr>
          </w:p>
        </w:tc>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9"/>
              </w:rPr>
              <w:t>/s/ John B. Cozzolino</w:t>
            </w:r>
          </w:p>
        </w:tc>
        <w:tc>
          <w:tcPr>
            <w:tcW w:w="3460" w:type="dxa"/>
            <w:vAlign w:val="bottom"/>
          </w:tcPr>
          <w:p>
            <w:pPr>
              <w:spacing w:after="0"/>
              <w:rPr>
                <w:sz w:val="16"/>
                <w:szCs w:val="16"/>
                <w:color w:val="auto"/>
              </w:rPr>
            </w:pPr>
          </w:p>
        </w:tc>
      </w:tr>
      <w:tr>
        <w:trPr>
          <w:trHeight w:val="198"/>
        </w:trPr>
        <w:tc>
          <w:tcPr>
            <w:tcW w:w="6200" w:type="dxa"/>
            <w:vAlign w:val="bottom"/>
          </w:tcPr>
          <w:p>
            <w:pPr>
              <w:spacing w:after="0"/>
              <w:rPr>
                <w:sz w:val="17"/>
                <w:szCs w:val="17"/>
                <w:color w:val="auto"/>
              </w:rPr>
            </w:pPr>
          </w:p>
        </w:tc>
        <w:tc>
          <w:tcPr>
            <w:tcW w:w="5220" w:type="dxa"/>
            <w:vAlign w:val="bottom"/>
            <w:gridSpan w:val="3"/>
          </w:tcPr>
          <w:p>
            <w:pPr>
              <w:ind w:left="180"/>
              <w:spacing w:after="0"/>
              <w:rPr>
                <w:sz w:val="20"/>
                <w:szCs w:val="20"/>
                <w:color w:val="auto"/>
              </w:rPr>
            </w:pPr>
            <w:r>
              <w:rPr>
                <w:rFonts w:ascii="Arial" w:cs="Arial" w:eastAsia="Arial" w:hAnsi="Arial"/>
                <w:sz w:val="16"/>
                <w:szCs w:val="16"/>
                <w:color w:val="auto"/>
              </w:rPr>
              <w:t>John B. Cozzolino</w:t>
            </w:r>
          </w:p>
        </w:tc>
      </w:tr>
      <w:tr>
        <w:trPr>
          <w:trHeight w:val="189"/>
        </w:trPr>
        <w:tc>
          <w:tcPr>
            <w:tcW w:w="6200" w:type="dxa"/>
            <w:vAlign w:val="bottom"/>
          </w:tcPr>
          <w:p>
            <w:pPr>
              <w:spacing w:after="0"/>
              <w:rPr>
                <w:sz w:val="16"/>
                <w:szCs w:val="16"/>
                <w:color w:val="auto"/>
              </w:rPr>
            </w:pPr>
          </w:p>
        </w:tc>
        <w:tc>
          <w:tcPr>
            <w:tcW w:w="5220" w:type="dxa"/>
            <w:vAlign w:val="bottom"/>
            <w:gridSpan w:val="3"/>
          </w:tcPr>
          <w:p>
            <w:pPr>
              <w:ind w:left="180"/>
              <w:spacing w:after="0"/>
              <w:rPr>
                <w:sz w:val="20"/>
                <w:szCs w:val="20"/>
                <w:color w:val="auto"/>
              </w:rPr>
            </w:pPr>
            <w:r>
              <w:rPr>
                <w:rFonts w:ascii="Arial" w:cs="Arial" w:eastAsia="Arial" w:hAnsi="Arial"/>
                <w:sz w:val="16"/>
                <w:szCs w:val="16"/>
                <w:color w:val="auto"/>
              </w:rPr>
              <w:t>Chief Financial Officer and Treasurer</w:t>
            </w:r>
          </w:p>
        </w:tc>
      </w:tr>
      <w:tr>
        <w:trPr>
          <w:trHeight w:val="195"/>
        </w:trPr>
        <w:tc>
          <w:tcPr>
            <w:tcW w:w="6200" w:type="dxa"/>
            <w:vAlign w:val="bottom"/>
          </w:tcPr>
          <w:p>
            <w:pPr>
              <w:spacing w:after="0"/>
              <w:rPr>
                <w:sz w:val="16"/>
                <w:szCs w:val="16"/>
                <w:color w:val="auto"/>
              </w:rPr>
            </w:pPr>
          </w:p>
        </w:tc>
        <w:tc>
          <w:tcPr>
            <w:tcW w:w="5220" w:type="dxa"/>
            <w:vAlign w:val="bottom"/>
            <w:gridSpan w:val="3"/>
          </w:tcPr>
          <w:p>
            <w:pPr>
              <w:ind w:left="180"/>
              <w:spacing w:after="0"/>
              <w:rPr>
                <w:sz w:val="20"/>
                <w:szCs w:val="20"/>
                <w:color w:val="auto"/>
              </w:rPr>
            </w:pPr>
            <w:r>
              <w:rPr>
                <w:rFonts w:ascii="Arial" w:cs="Arial" w:eastAsia="Arial" w:hAnsi="Arial"/>
                <w:sz w:val="16"/>
                <w:szCs w:val="16"/>
                <w:color w:val="auto"/>
              </w:rPr>
              <w:t>(Principal Financial Officer)</w:t>
            </w:r>
          </w:p>
        </w:tc>
      </w:tr>
      <w:tr>
        <w:trPr>
          <w:trHeight w:val="357"/>
        </w:trPr>
        <w:tc>
          <w:tcPr>
            <w:tcW w:w="6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8"/>
        </w:trPr>
        <w:tc>
          <w:tcPr>
            <w:tcW w:w="62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34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jc w:val="center"/>
        <w:ind w:right="-119"/>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w:t>
      </w:r>
    </w:p>
    <w:p>
      <w:pPr>
        <w:jc w:val="center"/>
        <w:ind w:right="-11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1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2013,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16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11" w:lineRule="exact"/>
        <w:rPr>
          <w:rFonts w:ascii="Arial" w:cs="Arial" w:eastAsia="Arial" w:hAnsi="Arial"/>
          <w:sz w:val="18"/>
          <w:szCs w:val="18"/>
          <w:color w:val="auto"/>
        </w:rPr>
      </w:pPr>
    </w:p>
    <w:p>
      <w:pPr>
        <w:ind w:left="460" w:right="260" w:hanging="452"/>
        <w:spacing w:after="0" w:line="24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November 5, 2013</w:t>
      </w:r>
    </w:p>
    <w:p>
      <w:pPr>
        <w:spacing w:after="0" w:line="167"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Joseph G. Morone</w:t>
      </w:r>
    </w:p>
    <w:p>
      <w:pPr>
        <w:ind w:left="5820"/>
        <w:spacing w:after="0" w:line="234" w:lineRule="auto"/>
        <w:rPr>
          <w:sz w:val="20"/>
          <w:szCs w:val="20"/>
          <w:color w:val="auto"/>
        </w:rPr>
      </w:pPr>
      <w:r>
        <w:rPr>
          <w:rFonts w:ascii="Arial" w:cs="Arial" w:eastAsia="Arial" w:hAnsi="Arial"/>
          <w:sz w:val="18"/>
          <w:szCs w:val="18"/>
          <w:color w:val="auto"/>
        </w:rPr>
        <w:t>Joseph G. Morone</w:t>
      </w:r>
    </w:p>
    <w:p>
      <w:pPr>
        <w:ind w:left="582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396"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John B. Cozzolino</w:t>
      </w:r>
    </w:p>
    <w:p>
      <w:pPr>
        <w:ind w:left="5820"/>
        <w:spacing w:after="0" w:line="234" w:lineRule="auto"/>
        <w:rPr>
          <w:sz w:val="20"/>
          <w:szCs w:val="20"/>
          <w:color w:val="auto"/>
        </w:rPr>
      </w:pPr>
      <w:r>
        <w:rPr>
          <w:rFonts w:ascii="Arial" w:cs="Arial" w:eastAsia="Arial" w:hAnsi="Arial"/>
          <w:sz w:val="18"/>
          <w:szCs w:val="18"/>
          <w:color w:val="auto"/>
        </w:rPr>
        <w:t>John B. Cozzolino</w:t>
      </w:r>
    </w:p>
    <w:p>
      <w:pPr>
        <w:ind w:left="582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49" w:name="page50"/>
    <w:bookmarkEnd w:id="49"/>
    <w:p>
      <w:pPr>
        <w:jc w:val="center"/>
        <w:ind w:right="-79"/>
        <w:spacing w:after="0"/>
        <w:rPr>
          <w:sz w:val="20"/>
          <w:szCs w:val="20"/>
          <w:color w:val="auto"/>
        </w:rPr>
      </w:pPr>
      <w:r>
        <w:rPr>
          <w:rFonts w:ascii="Arial" w:cs="Arial" w:eastAsia="Arial" w:hAnsi="Arial"/>
          <w:sz w:val="18"/>
          <w:szCs w:val="18"/>
          <w:b w:val="1"/>
          <w:bCs w:val="1"/>
          <w:color w:val="auto"/>
        </w:rPr>
        <w:t>EXHIBIT (99.1)</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RISK SENSITIVITY – AS OF September 30, 2013</w:t>
      </w:r>
    </w:p>
    <w:p>
      <w:pPr>
        <w:spacing w:after="0" w:line="360"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9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$596.5 million. The potential loss in fair value resulting from a hypothetical 10% adverse change in quoted foreign currency exchange rates amounts to $59.6 million. Furthermore, related to foreign currency transactions, we have exposure to various nonfunctional currency balances totaling $133.2 million. This amount includes, on an absolute basis, exposures to assets and liabilities held in currencies other than our local entity’s functional currency. On a net basis, we had $61.3 million of foreign currency liabilities as of September 30, 2013. As currency rates change, these nonfunctional currency balances are revalued, and the corresponding adjustment is recorded in the income statement. A hypothetical change of 10% in currency rates could result in an adjustment to the income statement of approximately $6.1 million. Actual results may differ.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30, 2013,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109220</wp:posOffset>
            </wp:positionV>
            <wp:extent cx="43478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4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interest rates)</w:t>
      </w:r>
    </w:p>
    <w:p>
      <w:pPr>
        <w:spacing w:after="0" w:line="18" w:lineRule="exact"/>
        <w:rPr>
          <w:sz w:val="20"/>
          <w:szCs w:val="20"/>
          <w:color w:val="auto"/>
        </w:rPr>
      </w:pPr>
    </w:p>
    <w:tbl>
      <w:tblPr>
        <w:tblLayout w:type="fixed"/>
        <w:tblInd w:w="2300" w:type="dxa"/>
        <w:tblCellMar>
          <w:top w:w="0" w:type="dxa"/>
          <w:left w:w="0" w:type="dxa"/>
          <w:bottom w:w="0" w:type="dxa"/>
          <w:right w:w="0" w:type="dxa"/>
        </w:tblCellMar>
      </w:tblPr>
      <w:tr>
        <w:trPr>
          <w:trHeight w:val="195"/>
        </w:trPr>
        <w:tc>
          <w:tcPr>
            <w:tcW w:w="55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b w:val="1"/>
                <w:bCs w:val="1"/>
                <w:color w:val="auto"/>
              </w:rPr>
              <w:t>Short-term debt</w:t>
            </w:r>
          </w:p>
        </w:tc>
        <w:tc>
          <w:tcPr>
            <w:tcW w:w="1300" w:type="dxa"/>
            <w:vAlign w:val="bottom"/>
            <w:tcBorders>
              <w:top w:val="single" w:sz="8" w:color="auto"/>
            </w:tcBorders>
          </w:tcPr>
          <w:p>
            <w:pPr>
              <w:spacing w:after="0"/>
              <w:rPr>
                <w:sz w:val="16"/>
                <w:szCs w:val="16"/>
                <w:color w:val="auto"/>
              </w:rPr>
            </w:pPr>
          </w:p>
        </w:tc>
      </w:tr>
      <w:tr>
        <w:trPr>
          <w:trHeight w:val="181"/>
        </w:trPr>
        <w:tc>
          <w:tcPr>
            <w:tcW w:w="5540" w:type="dxa"/>
            <w:vAlign w:val="bottom"/>
          </w:tcPr>
          <w:p>
            <w:pPr>
              <w:ind w:left="80"/>
              <w:spacing w:after="0" w:line="181" w:lineRule="exact"/>
              <w:rPr>
                <w:sz w:val="20"/>
                <w:szCs w:val="20"/>
                <w:color w:val="auto"/>
              </w:rPr>
            </w:pPr>
            <w:r>
              <w:rPr>
                <w:rFonts w:ascii="Arial" w:cs="Arial" w:eastAsia="Arial" w:hAnsi="Arial"/>
                <w:sz w:val="18"/>
                <w:szCs w:val="18"/>
                <w:color w:val="auto"/>
              </w:rPr>
              <w:t>Notes payable, end of period interest rate of 1.15%</w:t>
            </w:r>
          </w:p>
        </w:tc>
        <w:tc>
          <w:tcPr>
            <w:tcW w:w="13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$565</w:t>
            </w:r>
          </w:p>
        </w:tc>
      </w:tr>
      <w:tr>
        <w:trPr>
          <w:trHeight w:val="225"/>
        </w:trPr>
        <w:tc>
          <w:tcPr>
            <w:tcW w:w="5540" w:type="dxa"/>
            <w:vAlign w:val="bottom"/>
          </w:tcPr>
          <w:p>
            <w:pPr>
              <w:ind w:left="80"/>
              <w:spacing w:after="0"/>
              <w:rPr>
                <w:sz w:val="20"/>
                <w:szCs w:val="20"/>
                <w:color w:val="auto"/>
              </w:rPr>
            </w:pPr>
            <w:r>
              <w:rPr>
                <w:rFonts w:ascii="Arial" w:cs="Arial" w:eastAsia="Arial" w:hAnsi="Arial"/>
                <w:sz w:val="18"/>
                <w:szCs w:val="18"/>
                <w:b w:val="1"/>
                <w:bCs w:val="1"/>
                <w:color w:val="auto"/>
              </w:rPr>
              <w:t>Long-term debt</w:t>
            </w:r>
          </w:p>
        </w:tc>
        <w:tc>
          <w:tcPr>
            <w:tcW w:w="1300" w:type="dxa"/>
            <w:vAlign w:val="bottom"/>
          </w:tcPr>
          <w:p>
            <w:pPr>
              <w:spacing w:after="0"/>
              <w:rPr>
                <w:sz w:val="19"/>
                <w:szCs w:val="19"/>
                <w:color w:val="auto"/>
              </w:rPr>
            </w:pPr>
          </w:p>
        </w:tc>
      </w:tr>
      <w:tr>
        <w:trPr>
          <w:trHeight w:val="203"/>
        </w:trPr>
        <w:tc>
          <w:tcPr>
            <w:tcW w:w="5540" w:type="dxa"/>
            <w:vAlign w:val="bottom"/>
          </w:tcPr>
          <w:p>
            <w:pPr>
              <w:ind w:left="80"/>
              <w:spacing w:after="0" w:line="202" w:lineRule="exact"/>
              <w:rPr>
                <w:sz w:val="20"/>
                <w:szCs w:val="20"/>
                <w:color w:val="auto"/>
              </w:rPr>
            </w:pPr>
            <w:r>
              <w:rPr>
                <w:rFonts w:ascii="Arial" w:cs="Arial" w:eastAsia="Arial" w:hAnsi="Arial"/>
                <w:sz w:val="18"/>
                <w:szCs w:val="18"/>
                <w:color w:val="auto"/>
              </w:rPr>
              <w:t>Credit agreement with borrowings outstanding, net of $105.0</w:t>
            </w:r>
          </w:p>
        </w:tc>
        <w:tc>
          <w:tcPr>
            <w:tcW w:w="1300" w:type="dxa"/>
            <w:vAlign w:val="bottom"/>
          </w:tcPr>
          <w:p>
            <w:pPr>
              <w:spacing w:after="0"/>
              <w:rPr>
                <w:sz w:val="17"/>
                <w:szCs w:val="17"/>
                <w:color w:val="auto"/>
              </w:rPr>
            </w:pPr>
          </w:p>
        </w:tc>
      </w:tr>
      <w:tr>
        <w:trPr>
          <w:trHeight w:val="203"/>
        </w:trPr>
        <w:tc>
          <w:tcPr>
            <w:tcW w:w="5540" w:type="dxa"/>
            <w:vAlign w:val="bottom"/>
          </w:tcPr>
          <w:p>
            <w:pPr>
              <w:ind w:left="80"/>
              <w:spacing w:after="0" w:line="202" w:lineRule="exact"/>
              <w:rPr>
                <w:sz w:val="20"/>
                <w:szCs w:val="20"/>
                <w:color w:val="auto"/>
              </w:rPr>
            </w:pPr>
            <w:r>
              <w:rPr>
                <w:rFonts w:ascii="Arial" w:cs="Arial" w:eastAsia="Arial" w:hAnsi="Arial"/>
                <w:sz w:val="18"/>
                <w:szCs w:val="18"/>
                <w:color w:val="auto"/>
              </w:rPr>
              <w:t>million fixed rate portion, at an end of period interest rate of</w:t>
            </w:r>
          </w:p>
        </w:tc>
        <w:tc>
          <w:tcPr>
            <w:tcW w:w="1300" w:type="dxa"/>
            <w:vAlign w:val="bottom"/>
          </w:tcPr>
          <w:p>
            <w:pPr>
              <w:spacing w:after="0"/>
              <w:rPr>
                <w:sz w:val="17"/>
                <w:szCs w:val="17"/>
                <w:color w:val="auto"/>
              </w:rPr>
            </w:pPr>
          </w:p>
        </w:tc>
      </w:tr>
      <w:tr>
        <w:trPr>
          <w:trHeight w:val="217"/>
        </w:trPr>
        <w:tc>
          <w:tcPr>
            <w:tcW w:w="5540" w:type="dxa"/>
            <w:vAlign w:val="bottom"/>
          </w:tcPr>
          <w:p>
            <w:pPr>
              <w:ind w:left="80"/>
              <w:spacing w:after="0"/>
              <w:rPr>
                <w:sz w:val="20"/>
                <w:szCs w:val="20"/>
                <w:color w:val="auto"/>
              </w:rPr>
            </w:pPr>
            <w:r>
              <w:rPr>
                <w:rFonts w:ascii="Arial" w:cs="Arial" w:eastAsia="Arial" w:hAnsi="Arial"/>
                <w:sz w:val="18"/>
                <w:szCs w:val="18"/>
                <w:color w:val="auto"/>
              </w:rPr>
              <w:t>1.57% in 2013, due in 2018</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47,000</w:t>
            </w:r>
          </w:p>
        </w:tc>
      </w:tr>
      <w:tr>
        <w:trPr>
          <w:trHeight w:val="391"/>
        </w:trPr>
        <w:tc>
          <w:tcPr>
            <w:tcW w:w="5540" w:type="dxa"/>
            <w:vAlign w:val="bottom"/>
          </w:tcPr>
          <w:p>
            <w:pPr>
              <w:ind w:left="80"/>
              <w:spacing w:after="0"/>
              <w:rPr>
                <w:sz w:val="20"/>
                <w:szCs w:val="20"/>
                <w:color w:val="auto"/>
              </w:rPr>
            </w:pPr>
            <w:r>
              <w:rPr>
                <w:rFonts w:ascii="Arial" w:cs="Arial" w:eastAsia="Arial" w:hAnsi="Arial"/>
                <w:sz w:val="18"/>
                <w:szCs w:val="18"/>
                <w:color w:val="auto"/>
              </w:rPr>
              <w:t>Various notes and mortgages relative to operations principally</w:t>
            </w:r>
          </w:p>
        </w:tc>
        <w:tc>
          <w:tcPr>
            <w:tcW w:w="1300" w:type="dxa"/>
            <w:vAlign w:val="bottom"/>
          </w:tcPr>
          <w:p>
            <w:pPr>
              <w:spacing w:after="0"/>
              <w:rPr>
                <w:sz w:val="24"/>
                <w:szCs w:val="24"/>
                <w:color w:val="auto"/>
              </w:rPr>
            </w:pPr>
          </w:p>
        </w:tc>
      </w:tr>
      <w:tr>
        <w:trPr>
          <w:trHeight w:val="203"/>
        </w:trPr>
        <w:tc>
          <w:tcPr>
            <w:tcW w:w="5540" w:type="dxa"/>
            <w:vAlign w:val="bottom"/>
          </w:tcPr>
          <w:p>
            <w:pPr>
              <w:ind w:left="80"/>
              <w:spacing w:after="0" w:line="202" w:lineRule="exact"/>
              <w:rPr>
                <w:sz w:val="20"/>
                <w:szCs w:val="20"/>
                <w:color w:val="auto"/>
              </w:rPr>
            </w:pPr>
            <w:r>
              <w:rPr>
                <w:rFonts w:ascii="Arial" w:cs="Arial" w:eastAsia="Arial" w:hAnsi="Arial"/>
                <w:sz w:val="18"/>
                <w:szCs w:val="18"/>
                <w:color w:val="auto"/>
              </w:rPr>
              <w:t>outside the United States, at an average end of period rate of</w:t>
            </w:r>
          </w:p>
        </w:tc>
        <w:tc>
          <w:tcPr>
            <w:tcW w:w="1300" w:type="dxa"/>
            <w:vAlign w:val="bottom"/>
          </w:tcPr>
          <w:p>
            <w:pPr>
              <w:spacing w:after="0"/>
              <w:rPr>
                <w:sz w:val="17"/>
                <w:szCs w:val="17"/>
                <w:color w:val="auto"/>
              </w:rPr>
            </w:pPr>
          </w:p>
        </w:tc>
      </w:tr>
      <w:tr>
        <w:trPr>
          <w:trHeight w:val="203"/>
        </w:trPr>
        <w:tc>
          <w:tcPr>
            <w:tcW w:w="554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3.02% in 2013, due in varying amounts through 2014</w:t>
            </w:r>
          </w:p>
        </w:tc>
        <w:tc>
          <w:tcPr>
            <w:tcW w:w="13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5,000</w:t>
            </w:r>
          </w:p>
        </w:tc>
      </w:tr>
      <w:tr>
        <w:trPr>
          <w:trHeight w:val="399"/>
        </w:trPr>
        <w:tc>
          <w:tcPr>
            <w:tcW w:w="5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$52,565</w:t>
            </w:r>
          </w:p>
        </w:tc>
      </w:tr>
    </w:tbl>
    <w:p>
      <w:pPr>
        <w:spacing w:after="0" w:line="391"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$0.5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540"/>
    </w:lvl>
  </w:abstractNum>
  <w:abstractNum w:abstractNumId="3">
    <w:nsid w:val="25E45D32"/>
    <w:multiLevelType w:val="hybridMultilevel"/>
    <w:lvl w:ilvl="0">
      <w:lvlJc w:val="left"/>
      <w:lvlText w:val="%1"/>
      <w:numFmt w:val="decimal"/>
      <w:start w:val="129"/>
    </w:lvl>
  </w:abstractNum>
  <w:abstractNum w:abstractNumId="4">
    <w:nsid w:val="519B500D"/>
    <w:multiLevelType w:val="hybridMultilevel"/>
    <w:lvl w:ilvl="0">
      <w:lvlJc w:val="left"/>
      <w:lvlText w:val="%1"/>
      <w:numFmt w:val="decimal"/>
      <w:start w:val="169"/>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
      <w:numFmt w:val="bullet"/>
      <w:start w:val="1"/>
    </w:lvl>
    <w:lvl w:ilvl="1">
      <w:lvlJc w:val="left"/>
      <w:lvlText w:val="§"/>
      <w:numFmt w:val="bullet"/>
      <w:start w:val="1"/>
    </w:lvl>
  </w:abstractNum>
  <w:abstractNum w:abstractNumId="7">
    <w:nsid w:val="7C83E458"/>
    <w:multiLevelType w:val="hybridMultilevel"/>
    <w:lvl w:ilvl="0">
      <w:lvlJc w:val="left"/>
      <w:lvlText w:val="·"/>
      <w:numFmt w:val="bullet"/>
      <w:start w:val="1"/>
    </w:lvl>
    <w:lvl w:ilvl="1">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01"/>
    </w:lvl>
    <w:lvl w:ilvl="1">
      <w:lvlJc w:val="left"/>
      <w:lvlText w:val="(%2)"/>
      <w:numFmt w:val="lowerRoman"/>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2019-12-06T01:37:14Z</dcterms:created>
  <dcterms:modified xsi:type="dcterms:W3CDTF">2019-12-06T01:37:14Z</dcterms:modified>
</cp:coreProperties>
</file>