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820" w:right="1920" w:hanging="3812"/>
        <w:spacing w:after="0" w:line="498" w:lineRule="auto"/>
        <w:tabs>
          <w:tab w:leader="none" w:pos="26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2016</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ind w:left="3400" w:right="1920" w:hanging="3392"/>
        <w:spacing w:after="0" w:line="498"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Delaware</w:t>
            </w:r>
          </w:p>
        </w:tc>
        <w:tc>
          <w:tcPr>
            <w:tcW w:w="5240" w:type="dxa"/>
            <w:vAlign w:val="bottom"/>
          </w:tcPr>
          <w:p>
            <w:pPr>
              <w:jc w:val="right"/>
              <w:ind w:right="2030"/>
              <w:spacing w:after="0"/>
              <w:rPr>
                <w:sz w:val="20"/>
                <w:szCs w:val="20"/>
                <w:color w:val="auto"/>
              </w:rPr>
            </w:pPr>
            <w:r>
              <w:rPr>
                <w:rFonts w:ascii="Arial" w:cs="Arial" w:eastAsia="Arial" w:hAnsi="Arial"/>
                <w:sz w:val="18"/>
                <w:szCs w:val="18"/>
                <w:color w:val="auto"/>
              </w:rPr>
              <w:t>14-0462060</w:t>
            </w:r>
          </w:p>
        </w:tc>
      </w:tr>
      <w:tr>
        <w:trPr>
          <w:trHeight w:val="195"/>
        </w:trPr>
        <w:tc>
          <w:tcPr>
            <w:tcW w:w="5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(State or other jurisdiction of</w:t>
            </w:r>
          </w:p>
        </w:tc>
        <w:tc>
          <w:tcPr>
            <w:tcW w:w="940" w:type="dxa"/>
            <w:vAlign w:val="bottom"/>
          </w:tcPr>
          <w:p>
            <w:pPr>
              <w:spacing w:after="0"/>
              <w:rPr>
                <w:sz w:val="16"/>
                <w:szCs w:val="16"/>
                <w:color w:val="auto"/>
              </w:rPr>
            </w:pPr>
          </w:p>
        </w:tc>
        <w:tc>
          <w:tcPr>
            <w:tcW w:w="5240" w:type="dxa"/>
            <w:vAlign w:val="bottom"/>
            <w:tcBorders>
              <w:top w:val="single" w:sz="8" w:color="auto"/>
            </w:tcBorders>
          </w:tcPr>
          <w:p>
            <w:pPr>
              <w:ind w:left="134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618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5240" w:type="dxa"/>
            <w:vAlign w:val="bottom"/>
          </w:tcPr>
          <w:p>
            <w:pPr>
              <w:spacing w:after="0"/>
              <w:rPr>
                <w:sz w:val="18"/>
                <w:szCs w:val="18"/>
                <w:color w:val="auto"/>
              </w:rPr>
            </w:pPr>
          </w:p>
        </w:tc>
      </w:tr>
      <w:tr>
        <w:trPr>
          <w:trHeight w:val="392"/>
        </w:trPr>
        <w:tc>
          <w:tcPr>
            <w:tcW w:w="618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216 Airport Drive, Rochester, New Hampshire</w:t>
            </w:r>
          </w:p>
        </w:tc>
        <w:tc>
          <w:tcPr>
            <w:tcW w:w="5240" w:type="dxa"/>
            <w:vAlign w:val="bottom"/>
          </w:tcPr>
          <w:p>
            <w:pPr>
              <w:jc w:val="right"/>
              <w:ind w:right="2250"/>
              <w:spacing w:after="0"/>
              <w:rPr>
                <w:sz w:val="20"/>
                <w:szCs w:val="20"/>
                <w:color w:val="auto"/>
              </w:rPr>
            </w:pPr>
            <w:r>
              <w:rPr>
                <w:rFonts w:ascii="Arial" w:cs="Arial" w:eastAsia="Arial" w:hAnsi="Arial"/>
                <w:sz w:val="18"/>
                <w:szCs w:val="18"/>
                <w:color w:val="auto"/>
              </w:rPr>
              <w:t>03867</w:t>
            </w:r>
          </w:p>
        </w:tc>
      </w:tr>
      <w:tr>
        <w:trPr>
          <w:trHeight w:val="210"/>
        </w:trPr>
        <w:tc>
          <w:tcPr>
            <w:tcW w:w="5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940" w:type="dxa"/>
            <w:vAlign w:val="bottom"/>
          </w:tcPr>
          <w:p>
            <w:pPr>
              <w:spacing w:after="0"/>
              <w:rPr>
                <w:sz w:val="18"/>
                <w:szCs w:val="18"/>
                <w:color w:val="auto"/>
              </w:rPr>
            </w:pPr>
          </w:p>
        </w:tc>
        <w:tc>
          <w:tcPr>
            <w:tcW w:w="5240" w:type="dxa"/>
            <w:vAlign w:val="bottom"/>
            <w:tcBorders>
              <w:top w:val="single" w:sz="8" w:color="auto"/>
            </w:tcBorders>
          </w:tcPr>
          <w:p>
            <w:pPr>
              <w:ind w:left="21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203"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183"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180"/>
        <w:spacing w:after="0" w:line="246" w:lineRule="auto"/>
        <w:rPr>
          <w:sz w:val="20"/>
          <w:szCs w:val="20"/>
          <w:color w:val="auto"/>
        </w:rPr>
      </w:pPr>
      <w:r>
        <w:rPr>
          <w:rFonts w:ascii="Arial" w:cs="Arial" w:eastAsia="Arial" w:hAnsi="Arial"/>
          <w:sz w:val="18"/>
          <w:szCs w:val="18"/>
          <w:color w:val="auto"/>
        </w:rPr>
        <w:t>The registrant had 28.8 million shares of Class A Common Stock and 3.2 million shares of Class B Common Stock outstanding as of April 20, 2016.</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860" w:type="dxa"/>
            <w:vAlign w:val="bottom"/>
            <w:gridSpan w:val="20"/>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105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6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 three months ended March 31, 2016 and 2015</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comprehensive income/(loss) – three months ended March 31, 2016 and 2015</w:t>
              </w:r>
            </w:hyperlink>
          </w:p>
        </w:tc>
        <w:tc>
          <w:tcPr>
            <w:tcW w:w="18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March 31, 2016 and December 31, 2015</w:t>
              </w:r>
            </w:hyperlink>
          </w:p>
        </w:tc>
        <w:tc>
          <w:tcPr>
            <w:tcW w:w="4620" w:type="dxa"/>
            <w:vAlign w:val="bottom"/>
            <w:gridSpan w:val="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60" w:type="dxa"/>
            <w:vAlign w:val="bottom"/>
            <w:gridSpan w:val="1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months ended March 31, 2016 and 2015</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40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10520" w:type="dxa"/>
            <w:vAlign w:val="bottom"/>
            <w:gridSpan w:val="19"/>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340" w:type="dxa"/>
            <w:vAlign w:val="bottom"/>
          </w:tcPr>
          <w:p>
            <w:pPr>
              <w:spacing w:after="0"/>
              <w:rPr>
                <w:sz w:val="15"/>
                <w:szCs w:val="15"/>
                <w:color w:val="auto"/>
              </w:rPr>
            </w:pPr>
          </w:p>
        </w:tc>
        <w:tc>
          <w:tcPr>
            <w:tcW w:w="76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Forward-looking statements</w:t>
              </w:r>
            </w:hyperlink>
          </w:p>
        </w:tc>
        <w:tc>
          <w:tcPr>
            <w:tcW w:w="284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20"/>
        </w:trPr>
        <w:tc>
          <w:tcPr>
            <w:tcW w:w="34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53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Item 3. Quantitative and Qualitative Disclosures about Market Risk</w:t>
              </w:r>
            </w:hyperlink>
          </w:p>
        </w:tc>
        <w:tc>
          <w:tcPr>
            <w:tcW w:w="5220" w:type="dxa"/>
            <w:vAlign w:val="bottom"/>
            <w:gridSpan w:val="7"/>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340" w:type="dxa"/>
            <w:vAlign w:val="bottom"/>
          </w:tcPr>
          <w:p>
            <w:pPr>
              <w:spacing w:after="0"/>
              <w:rPr>
                <w:sz w:val="15"/>
                <w:szCs w:val="15"/>
                <w:color w:val="auto"/>
              </w:rPr>
            </w:pPr>
          </w:p>
        </w:tc>
        <w:tc>
          <w:tcPr>
            <w:tcW w:w="26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Item 4. Controls and Procedures</w:t>
              </w:r>
            </w:hyperlink>
          </w:p>
        </w:tc>
        <w:tc>
          <w:tcPr>
            <w:tcW w:w="7920" w:type="dxa"/>
            <w:vAlign w:val="bottom"/>
            <w:gridSpan w:val="10"/>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426"/>
        </w:trPr>
        <w:tc>
          <w:tcPr>
            <w:tcW w:w="10860" w:type="dxa"/>
            <w:vAlign w:val="bottom"/>
            <w:gridSpan w:val="20"/>
          </w:tcPr>
          <w:p>
            <w:pPr>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21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Item 1. Legal Proceedings</w:t>
              </w:r>
            </w:hyperlink>
          </w:p>
        </w:tc>
        <w:tc>
          <w:tcPr>
            <w:tcW w:w="842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83"/>
        </w:trPr>
        <w:tc>
          <w:tcPr>
            <w:tcW w:w="340" w:type="dxa"/>
            <w:vAlign w:val="bottom"/>
          </w:tcPr>
          <w:p>
            <w:pPr>
              <w:spacing w:after="0"/>
              <w:rPr>
                <w:sz w:val="15"/>
                <w:szCs w:val="15"/>
                <w:color w:val="auto"/>
              </w:rPr>
            </w:pPr>
          </w:p>
        </w:tc>
        <w:tc>
          <w:tcPr>
            <w:tcW w:w="10520" w:type="dxa"/>
            <w:vAlign w:val="bottom"/>
            <w:gridSpan w:val="19"/>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Item 1A. Risk Factors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34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546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Item 2. Unregistered Sales of Equity Securities and Use of Proceeds</w:t>
              </w:r>
            </w:hyperlink>
          </w:p>
        </w:tc>
        <w:tc>
          <w:tcPr>
            <w:tcW w:w="5060" w:type="dxa"/>
            <w:vAlign w:val="bottom"/>
            <w:gridSpan w:val="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340" w:type="dxa"/>
            <w:vAlign w:val="bottom"/>
          </w:tcPr>
          <w:p>
            <w:pPr>
              <w:spacing w:after="0"/>
              <w:rPr>
                <w:sz w:val="15"/>
                <w:szCs w:val="15"/>
                <w:color w:val="auto"/>
              </w:rPr>
            </w:pPr>
          </w:p>
        </w:tc>
        <w:tc>
          <w:tcPr>
            <w:tcW w:w="10520" w:type="dxa"/>
            <w:vAlign w:val="bottom"/>
            <w:gridSpan w:val="19"/>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Item 3. Defaults upon Senior Securities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340" w:type="dxa"/>
            <w:vAlign w:val="bottom"/>
          </w:tcPr>
          <w:p>
            <w:pPr>
              <w:spacing w:after="0"/>
              <w:rPr>
                <w:sz w:val="15"/>
                <w:szCs w:val="15"/>
                <w:color w:val="auto"/>
              </w:rPr>
            </w:pPr>
          </w:p>
        </w:tc>
        <w:tc>
          <w:tcPr>
            <w:tcW w:w="25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Item 4. Mine Safety Disclosures</w:t>
              </w:r>
            </w:hyperlink>
          </w:p>
        </w:tc>
        <w:tc>
          <w:tcPr>
            <w:tcW w:w="580" w:type="dxa"/>
            <w:vAlign w:val="bottom"/>
            <w:tcBorders>
              <w:top w:val="single" w:sz="8" w:color="0000EE"/>
            </w:tcBorders>
            <w:gridSpan w:val="2"/>
          </w:tcPr>
          <w:p>
            <w:pPr>
              <w:spacing w:after="0"/>
              <w:rPr>
                <w:sz w:val="15"/>
                <w:szCs w:val="15"/>
                <w:color w:val="auto"/>
              </w:rPr>
            </w:pPr>
          </w:p>
        </w:tc>
        <w:tc>
          <w:tcPr>
            <w:tcW w:w="7400" w:type="dxa"/>
            <w:vAlign w:val="bottom"/>
            <w:gridSpan w:val="9"/>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340" w:type="dxa"/>
            <w:vAlign w:val="bottom"/>
          </w:tcPr>
          <w:p>
            <w:pPr>
              <w:spacing w:after="0"/>
              <w:rPr>
                <w:sz w:val="15"/>
                <w:szCs w:val="15"/>
                <w:color w:val="auto"/>
              </w:rPr>
            </w:pPr>
          </w:p>
        </w:tc>
        <w:tc>
          <w:tcPr>
            <w:tcW w:w="10520" w:type="dxa"/>
            <w:vAlign w:val="bottom"/>
            <w:gridSpan w:val="19"/>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Item 5. Other Information</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340" w:type="dxa"/>
            <w:vAlign w:val="bottom"/>
          </w:tcPr>
          <w:p>
            <w:pPr>
              <w:spacing w:after="0"/>
              <w:rPr>
                <w:sz w:val="15"/>
                <w:szCs w:val="15"/>
                <w:color w:val="auto"/>
              </w:rPr>
            </w:pPr>
          </w:p>
        </w:tc>
        <w:tc>
          <w:tcPr>
            <w:tcW w:w="20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Item 6. Exhibits</w:t>
              </w:r>
            </w:hyperlink>
          </w:p>
        </w:tc>
        <w:tc>
          <w:tcPr>
            <w:tcW w:w="8520" w:type="dxa"/>
            <w:vAlign w:val="bottom"/>
            <w:gridSpan w:val="14"/>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534"/>
        </w:trPr>
        <w:tc>
          <w:tcPr>
            <w:tcW w:w="360" w:type="dxa"/>
            <w:vAlign w:val="bottom"/>
            <w:gridSpan w:val="2"/>
          </w:tcPr>
          <w:p>
            <w:pPr>
              <w:spacing w:after="0"/>
              <w:rPr>
                <w:sz w:val="24"/>
                <w:szCs w:val="24"/>
                <w:color w:val="auto"/>
              </w:rPr>
            </w:pPr>
          </w:p>
        </w:tc>
        <w:tc>
          <w:tcPr>
            <w:tcW w:w="1220" w:type="dxa"/>
            <w:vAlign w:val="bottom"/>
            <w:tcBorders>
              <w:top w:val="single" w:sz="8" w:color="0000EE"/>
            </w:tcBorders>
            <w:gridSpan w:val="2"/>
          </w:tcPr>
          <w:p>
            <w:pPr>
              <w:spacing w:after="0"/>
              <w:rPr>
                <w:sz w:val="24"/>
                <w:szCs w:val="24"/>
                <w:color w:val="auto"/>
              </w:rPr>
            </w:pPr>
          </w:p>
        </w:tc>
        <w:tc>
          <w:tcPr>
            <w:tcW w:w="422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2"/>
        </w:trPr>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740" w:type="dxa"/>
            <w:vAlign w:val="bottom"/>
            <w:gridSpan w:val="2"/>
          </w:tcPr>
          <w:p>
            <w:pPr>
              <w:jc w:val="center"/>
              <w:ind w:left="3550"/>
              <w:spacing w:after="0"/>
              <w:rPr>
                <w:sz w:val="20"/>
                <w:szCs w:val="20"/>
                <w:color w:val="auto"/>
              </w:rPr>
            </w:pPr>
            <w:r>
              <w:rPr>
                <w:rFonts w:ascii="Arial" w:cs="Arial" w:eastAsia="Arial" w:hAnsi="Arial"/>
                <w:sz w:val="18"/>
                <w:szCs w:val="18"/>
                <w:color w:val="auto"/>
                <w:w w:val="98"/>
              </w:rPr>
              <w:t>ALBANY INTERNATIONAL CORP.</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jc w:val="center"/>
              <w:ind w:left="3550"/>
              <w:spacing w:after="0" w:line="202" w:lineRule="exact"/>
              <w:rPr>
                <w:sz w:val="20"/>
                <w:szCs w:val="20"/>
                <w:color w:val="auto"/>
              </w:rPr>
            </w:pPr>
            <w:r>
              <w:rPr>
                <w:rFonts w:ascii="Arial" w:cs="Arial" w:eastAsia="Arial" w:hAnsi="Arial"/>
                <w:sz w:val="18"/>
                <w:szCs w:val="18"/>
                <w:color w:val="auto"/>
                <w:w w:val="98"/>
              </w:rPr>
              <w:t>CONSOLIDATED STATEMENTS OF INCOME</w:t>
            </w: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jc w:val="center"/>
              <w:ind w:left="3550"/>
              <w:spacing w:after="0" w:line="202" w:lineRule="exact"/>
              <w:rPr>
                <w:sz w:val="20"/>
                <w:szCs w:val="20"/>
                <w:color w:val="auto"/>
              </w:rPr>
            </w:pPr>
            <w:r>
              <w:rPr>
                <w:rFonts w:ascii="Arial" w:cs="Arial" w:eastAsia="Arial" w:hAnsi="Arial"/>
                <w:sz w:val="18"/>
                <w:szCs w:val="18"/>
                <w:color w:val="auto"/>
                <w:w w:val="99"/>
              </w:rPr>
              <w:t>(in thousands, except per share data)</w:t>
            </w: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gridSpan w:val="2"/>
          </w:tcPr>
          <w:p>
            <w:pPr>
              <w:jc w:val="center"/>
              <w:ind w:left="3550"/>
              <w:spacing w:after="0"/>
              <w:rPr>
                <w:sz w:val="20"/>
                <w:szCs w:val="20"/>
                <w:color w:val="auto"/>
              </w:rPr>
            </w:pPr>
            <w:r>
              <w:rPr>
                <w:rFonts w:ascii="Arial" w:cs="Arial" w:eastAsia="Arial" w:hAnsi="Arial"/>
                <w:sz w:val="18"/>
                <w:szCs w:val="18"/>
                <w:color w:val="auto"/>
                <w:w w:val="98"/>
              </w:rPr>
              <w:t>(unaudited)</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Three Months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March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Net sales</w:t>
            </w:r>
          </w:p>
        </w:tc>
        <w:tc>
          <w:tcPr>
            <w:tcW w:w="11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$172,331</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99,830</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104,640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tcBorders>
              <w:top w:val="single" w:sz="8" w:color="BFBFBF"/>
            </w:tcBorders>
            <w:shd w:val="clear" w:color="auto" w:fill="BFBFBF"/>
          </w:tcPr>
          <w:p>
            <w:pPr>
              <w:spacing w:after="0"/>
              <w:rPr>
                <w:sz w:val="17"/>
                <w:szCs w:val="17"/>
                <w:color w:val="auto"/>
              </w:rPr>
            </w:pPr>
          </w:p>
        </w:tc>
        <w:tc>
          <w:tcPr>
            <w:tcW w:w="400" w:type="dxa"/>
            <w:vAlign w:val="bottom"/>
            <w:tcBorders>
              <w:top w:val="single" w:sz="8" w:color="auto"/>
            </w:tcBorders>
            <w:shd w:val="clear" w:color="auto" w:fill="BFBFBF"/>
          </w:tcPr>
          <w:p>
            <w:pPr>
              <w:spacing w:after="0"/>
              <w:rPr>
                <w:sz w:val="17"/>
                <w:szCs w:val="17"/>
                <w:color w:val="auto"/>
              </w:rPr>
            </w:pPr>
          </w:p>
        </w:tc>
        <w:tc>
          <w:tcPr>
            <w:tcW w:w="1180" w:type="dxa"/>
            <w:vAlign w:val="bottom"/>
            <w:tcBorders>
              <w:top w:val="single" w:sz="8" w:color="auto"/>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480" w:type="dxa"/>
            <w:vAlign w:val="bottom"/>
            <w:tcBorders>
              <w:top w:val="single" w:sz="8" w:color="auto"/>
            </w:tcBorders>
            <w:shd w:val="clear" w:color="auto" w:fill="BFBFBF"/>
          </w:tcPr>
          <w:p>
            <w:pPr>
              <w:spacing w:after="0"/>
              <w:rPr>
                <w:sz w:val="17"/>
                <w:szCs w:val="17"/>
                <w:color w:val="auto"/>
              </w:rPr>
            </w:pPr>
          </w:p>
        </w:tc>
        <w:tc>
          <w:tcPr>
            <w:tcW w:w="1100" w:type="dxa"/>
            <w:vAlign w:val="bottom"/>
            <w:tcBorders>
              <w:top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72,501</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76,684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BFBFBF"/>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39,421</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35,233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10,132</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BFBFBF"/>
          </w:tcPr>
          <w:p>
            <w:pPr>
              <w:ind w:left="140"/>
              <w:spacing w:after="0"/>
              <w:rPr>
                <w:sz w:val="20"/>
                <w:szCs w:val="20"/>
                <w:color w:val="auto"/>
              </w:rPr>
            </w:pPr>
            <w:r>
              <w:rPr>
                <w:rFonts w:ascii="Arial" w:cs="Arial" w:eastAsia="Arial" w:hAnsi="Arial"/>
                <w:sz w:val="18"/>
                <w:szCs w:val="18"/>
                <w:color w:val="auto"/>
              </w:rPr>
              <w:t>Restructuring expenses, net</w:t>
            </w:r>
          </w:p>
        </w:tc>
        <w:tc>
          <w:tcPr>
            <w:tcW w:w="1180" w:type="dxa"/>
            <w:vAlign w:val="bottom"/>
            <w:shd w:val="clear" w:color="auto" w:fill="BFBFBF"/>
          </w:tcPr>
          <w:p>
            <w:pPr>
              <w:jc w:val="right"/>
              <w:ind w:right="30"/>
              <w:spacing w:after="0"/>
              <w:rPr>
                <w:sz w:val="20"/>
                <w:szCs w:val="20"/>
                <w:color w:val="auto"/>
              </w:rPr>
            </w:pPr>
            <w:r>
              <w:rPr>
                <w:rFonts w:ascii="Arial" w:cs="Arial" w:eastAsia="Arial" w:hAnsi="Arial"/>
                <w:sz w:val="18"/>
                <w:szCs w:val="18"/>
                <w:color w:val="auto"/>
              </w:rPr>
              <w:t>679</w:t>
            </w:r>
          </w:p>
        </w:tc>
        <w:tc>
          <w:tcPr>
            <w:tcW w:w="900" w:type="dxa"/>
            <w:vAlign w:val="bottom"/>
            <w:shd w:val="clear" w:color="auto" w:fill="BFBFBF"/>
          </w:tcPr>
          <w:p>
            <w:pPr>
              <w:spacing w:after="0"/>
              <w:rPr>
                <w:sz w:val="18"/>
                <w:szCs w:val="18"/>
                <w:color w:val="auto"/>
              </w:rPr>
            </w:pPr>
          </w:p>
        </w:tc>
        <w:tc>
          <w:tcPr>
            <w:tcW w:w="480" w:type="dxa"/>
            <w:vAlign w:val="bottom"/>
            <w:shd w:val="clear" w:color="auto" w:fill="BFBFBF"/>
          </w:tcPr>
          <w:p>
            <w:pPr>
              <w:spacing w:after="0"/>
              <w:rPr>
                <w:sz w:val="18"/>
                <w:szCs w:val="18"/>
                <w:color w:val="auto"/>
              </w:rPr>
            </w:pPr>
          </w:p>
        </w:tc>
        <w:tc>
          <w:tcPr>
            <w:tcW w:w="110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Operating income</w:t>
            </w:r>
          </w:p>
        </w:tc>
        <w:tc>
          <w:tcPr>
            <w:tcW w:w="11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22,269</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20,149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2,238</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BFBFBF"/>
          </w:tcPr>
          <w:p>
            <w:pPr>
              <w:ind w:left="140"/>
              <w:spacing w:after="0"/>
              <w:rPr>
                <w:sz w:val="20"/>
                <w:szCs w:val="20"/>
                <w:color w:val="auto"/>
              </w:rPr>
            </w:pPr>
            <w:r>
              <w:rPr>
                <w:rFonts w:ascii="Arial" w:cs="Arial" w:eastAsia="Arial" w:hAnsi="Arial"/>
                <w:sz w:val="18"/>
                <w:szCs w:val="18"/>
                <w:color w:val="auto"/>
              </w:rPr>
              <w:t>Other income, net</w:t>
            </w:r>
          </w:p>
        </w:tc>
        <w:tc>
          <w:tcPr>
            <w:tcW w:w="118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(328)</w:t>
            </w:r>
          </w:p>
        </w:tc>
        <w:tc>
          <w:tcPr>
            <w:tcW w:w="900" w:type="dxa"/>
            <w:vAlign w:val="bottom"/>
            <w:shd w:val="clear" w:color="auto" w:fill="BFBFBF"/>
          </w:tcPr>
          <w:p>
            <w:pPr>
              <w:spacing w:after="0"/>
              <w:rPr>
                <w:sz w:val="18"/>
                <w:szCs w:val="18"/>
                <w:color w:val="auto"/>
              </w:rPr>
            </w:pPr>
          </w:p>
        </w:tc>
        <w:tc>
          <w:tcPr>
            <w:tcW w:w="480" w:type="dxa"/>
            <w:vAlign w:val="bottom"/>
            <w:shd w:val="clear" w:color="auto" w:fill="BFBFBF"/>
          </w:tcPr>
          <w:p>
            <w:pPr>
              <w:spacing w:after="0"/>
              <w:rPr>
                <w:sz w:val="18"/>
                <w:szCs w:val="18"/>
                <w:color w:val="auto"/>
              </w:rPr>
            </w:pPr>
          </w:p>
        </w:tc>
        <w:tc>
          <w:tcPr>
            <w:tcW w:w="11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20,359</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7,043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Borders>
              <w:top w:val="single" w:sz="8" w:color="BFBFBF"/>
            </w:tcBorders>
            <w:shd w:val="clear" w:color="auto" w:fill="BFBFBF"/>
          </w:tcPr>
          <w:p>
            <w:pPr>
              <w:spacing w:after="0"/>
              <w:rPr>
                <w:sz w:val="17"/>
                <w:szCs w:val="17"/>
                <w:color w:val="auto"/>
              </w:rPr>
            </w:pPr>
          </w:p>
        </w:tc>
        <w:tc>
          <w:tcPr>
            <w:tcW w:w="400" w:type="dxa"/>
            <w:vAlign w:val="bottom"/>
            <w:tcBorders>
              <w:top w:val="single" w:sz="8" w:color="auto"/>
            </w:tcBorders>
            <w:shd w:val="clear" w:color="auto" w:fill="BFBFBF"/>
          </w:tcPr>
          <w:p>
            <w:pPr>
              <w:spacing w:after="0"/>
              <w:rPr>
                <w:sz w:val="17"/>
                <w:szCs w:val="17"/>
                <w:color w:val="auto"/>
              </w:rPr>
            </w:pPr>
          </w:p>
        </w:tc>
        <w:tc>
          <w:tcPr>
            <w:tcW w:w="1180" w:type="dxa"/>
            <w:vAlign w:val="bottom"/>
            <w:tcBorders>
              <w:top w:val="single" w:sz="8" w:color="auto"/>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480" w:type="dxa"/>
            <w:vAlign w:val="bottom"/>
            <w:tcBorders>
              <w:top w:val="single" w:sz="8" w:color="auto"/>
            </w:tcBorders>
            <w:shd w:val="clear" w:color="auto" w:fill="BFBFBF"/>
          </w:tcPr>
          <w:p>
            <w:pPr>
              <w:spacing w:after="0"/>
              <w:rPr>
                <w:sz w:val="17"/>
                <w:szCs w:val="17"/>
                <w:color w:val="auto"/>
              </w:rPr>
            </w:pPr>
          </w:p>
        </w:tc>
        <w:tc>
          <w:tcPr>
            <w:tcW w:w="1100" w:type="dxa"/>
            <w:vAlign w:val="bottom"/>
            <w:tcBorders>
              <w:top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13,316</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BFBFBF"/>
          </w:tcPr>
          <w:p>
            <w:pPr>
              <w:spacing w:after="0"/>
              <w:rPr>
                <w:sz w:val="20"/>
                <w:szCs w:val="20"/>
                <w:color w:val="auto"/>
              </w:rPr>
            </w:pPr>
            <w:r>
              <w:rPr>
                <w:rFonts w:ascii="Arial" w:cs="Arial" w:eastAsia="Arial" w:hAnsi="Arial"/>
                <w:sz w:val="18"/>
                <w:szCs w:val="18"/>
                <w:color w:val="auto"/>
              </w:rPr>
              <w:t>Net (loss)/income attributable to the noncontrolling interest</w:t>
            </w:r>
          </w:p>
        </w:tc>
        <w:tc>
          <w:tcPr>
            <w:tcW w:w="118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(185)</w:t>
            </w:r>
          </w:p>
        </w:tc>
        <w:tc>
          <w:tcPr>
            <w:tcW w:w="900" w:type="dxa"/>
            <w:vAlign w:val="bottom"/>
            <w:shd w:val="clear" w:color="auto" w:fill="BFBFBF"/>
          </w:tcPr>
          <w:p>
            <w:pPr>
              <w:spacing w:after="0"/>
              <w:rPr>
                <w:sz w:val="18"/>
                <w:szCs w:val="18"/>
                <w:color w:val="auto"/>
              </w:rPr>
            </w:pPr>
          </w:p>
        </w:tc>
        <w:tc>
          <w:tcPr>
            <w:tcW w:w="480" w:type="dxa"/>
            <w:vAlign w:val="bottom"/>
            <w:shd w:val="clear" w:color="auto" w:fill="BFBFBF"/>
          </w:tcPr>
          <w:p>
            <w:pPr>
              <w:spacing w:after="0"/>
              <w:rPr>
                <w:sz w:val="18"/>
                <w:szCs w:val="18"/>
                <w:color w:val="auto"/>
              </w:rPr>
            </w:pPr>
          </w:p>
        </w:tc>
        <w:tc>
          <w:tcPr>
            <w:tcW w:w="110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BFBFBF"/>
            </w:tcBorders>
          </w:tcPr>
          <w:p>
            <w:pPr>
              <w:ind w:left="40"/>
              <w:spacing w:after="0" w:line="197" w:lineRule="exact"/>
              <w:rPr>
                <w:sz w:val="20"/>
                <w:szCs w:val="20"/>
                <w:color w:val="auto"/>
              </w:rPr>
            </w:pPr>
            <w:r>
              <w:rPr>
                <w:rFonts w:ascii="Arial" w:cs="Arial" w:eastAsia="Arial" w:hAnsi="Arial"/>
                <w:sz w:val="18"/>
                <w:szCs w:val="18"/>
                <w:color w:val="auto"/>
              </w:rPr>
              <w:t>Net income attributable to the Company</w:t>
            </w:r>
          </w:p>
        </w:tc>
        <w:tc>
          <w:tcPr>
            <w:tcW w:w="4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$13,501</w:t>
            </w:r>
          </w:p>
        </w:tc>
        <w:tc>
          <w:tcPr>
            <w:tcW w:w="900" w:type="dxa"/>
            <w:vAlign w:val="bottom"/>
            <w:tcBorders>
              <w:bottom w:val="single" w:sz="8" w:color="BFBFB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340" w:type="dxa"/>
            <w:vAlign w:val="bottom"/>
            <w:shd w:val="clear" w:color="auto" w:fill="BFBFBF"/>
          </w:tcPr>
          <w:p>
            <w:pPr>
              <w:spacing w:after="0"/>
              <w:rPr>
                <w:sz w:val="15"/>
                <w:szCs w:val="15"/>
                <w:color w:val="auto"/>
              </w:rPr>
            </w:pPr>
          </w:p>
        </w:tc>
        <w:tc>
          <w:tcPr>
            <w:tcW w:w="400" w:type="dxa"/>
            <w:vAlign w:val="bottom"/>
            <w:shd w:val="clear" w:color="auto" w:fill="BFBFBF"/>
          </w:tcPr>
          <w:p>
            <w:pPr>
              <w:spacing w:after="0"/>
              <w:rPr>
                <w:sz w:val="15"/>
                <w:szCs w:val="15"/>
                <w:color w:val="auto"/>
              </w:rPr>
            </w:pPr>
          </w:p>
        </w:tc>
        <w:tc>
          <w:tcPr>
            <w:tcW w:w="1180" w:type="dxa"/>
            <w:vAlign w:val="bottom"/>
            <w:shd w:val="clear" w:color="auto" w:fill="BFBFBF"/>
          </w:tcPr>
          <w:p>
            <w:pPr>
              <w:spacing w:after="0"/>
              <w:rPr>
                <w:sz w:val="15"/>
                <w:szCs w:val="15"/>
                <w:color w:val="auto"/>
              </w:rPr>
            </w:pPr>
          </w:p>
        </w:tc>
        <w:tc>
          <w:tcPr>
            <w:tcW w:w="900" w:type="dxa"/>
            <w:vAlign w:val="bottom"/>
            <w:shd w:val="clear" w:color="auto" w:fill="BFBFBF"/>
          </w:tcPr>
          <w:p>
            <w:pPr>
              <w:spacing w:after="0"/>
              <w:rPr>
                <w:sz w:val="15"/>
                <w:szCs w:val="15"/>
                <w:color w:val="auto"/>
              </w:rPr>
            </w:pPr>
          </w:p>
        </w:tc>
        <w:tc>
          <w:tcPr>
            <w:tcW w:w="480" w:type="dxa"/>
            <w:vAlign w:val="bottom"/>
            <w:shd w:val="clear" w:color="auto" w:fill="BFBFBF"/>
          </w:tcPr>
          <w:p>
            <w:pPr>
              <w:spacing w:after="0"/>
              <w:rPr>
                <w:sz w:val="15"/>
                <w:szCs w:val="15"/>
                <w:color w:val="auto"/>
              </w:rPr>
            </w:pPr>
          </w:p>
        </w:tc>
        <w:tc>
          <w:tcPr>
            <w:tcW w:w="110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Earnings per share attributable to Company shareholders - Basic</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$0.42</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40" w:type="dxa"/>
            <w:vAlign w:val="bottom"/>
            <w:shd w:val="clear" w:color="auto" w:fill="BFBFBF"/>
          </w:tcPr>
          <w:p>
            <w:pPr>
              <w:spacing w:after="0"/>
              <w:rPr>
                <w:sz w:val="17"/>
                <w:szCs w:val="17"/>
                <w:color w:val="auto"/>
              </w:rPr>
            </w:pPr>
          </w:p>
        </w:tc>
        <w:tc>
          <w:tcPr>
            <w:tcW w:w="400" w:type="dxa"/>
            <w:vAlign w:val="bottom"/>
            <w:shd w:val="clear" w:color="auto" w:fill="BFBFBF"/>
          </w:tcPr>
          <w:p>
            <w:pPr>
              <w:spacing w:after="0"/>
              <w:rPr>
                <w:sz w:val="17"/>
                <w:szCs w:val="17"/>
                <w:color w:val="auto"/>
              </w:rPr>
            </w:pPr>
          </w:p>
        </w:tc>
        <w:tc>
          <w:tcPr>
            <w:tcW w:w="11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Earnings per share attributable to Company shareholders - Diluted</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$0.42</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40" w:type="dxa"/>
            <w:vAlign w:val="bottom"/>
            <w:shd w:val="clear" w:color="auto" w:fill="BFBFBF"/>
          </w:tcPr>
          <w:p>
            <w:pPr>
              <w:spacing w:after="0"/>
              <w:rPr>
                <w:sz w:val="17"/>
                <w:szCs w:val="17"/>
                <w:color w:val="auto"/>
              </w:rPr>
            </w:pPr>
          </w:p>
        </w:tc>
        <w:tc>
          <w:tcPr>
            <w:tcW w:w="400" w:type="dxa"/>
            <w:vAlign w:val="bottom"/>
            <w:shd w:val="clear" w:color="auto" w:fill="BFBFBF"/>
          </w:tcPr>
          <w:p>
            <w:pPr>
              <w:spacing w:after="0"/>
              <w:rPr>
                <w:sz w:val="17"/>
                <w:szCs w:val="17"/>
                <w:color w:val="auto"/>
              </w:rPr>
            </w:pPr>
          </w:p>
        </w:tc>
        <w:tc>
          <w:tcPr>
            <w:tcW w:w="11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Shares of the Company used in computing earnings per share:</w:t>
            </w: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BFBFBF"/>
          </w:tcPr>
          <w:p>
            <w:pPr>
              <w:ind w:left="80"/>
              <w:spacing w:after="0" w:line="202" w:lineRule="exact"/>
              <w:rPr>
                <w:sz w:val="20"/>
                <w:szCs w:val="20"/>
                <w:color w:val="auto"/>
              </w:rPr>
            </w:pPr>
            <w:r>
              <w:rPr>
                <w:rFonts w:ascii="Arial" w:cs="Arial" w:eastAsia="Arial" w:hAnsi="Arial"/>
                <w:sz w:val="18"/>
                <w:szCs w:val="18"/>
                <w:color w:val="auto"/>
              </w:rPr>
              <w:t>Basic</w:t>
            </w:r>
          </w:p>
        </w:tc>
        <w:tc>
          <w:tcPr>
            <w:tcW w:w="11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32,041</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BFBFBF"/>
          </w:tcPr>
          <w:p>
            <w:pPr>
              <w:ind w:left="80"/>
              <w:spacing w:after="0" w:line="202" w:lineRule="exact"/>
              <w:rPr>
                <w:sz w:val="20"/>
                <w:szCs w:val="20"/>
                <w:color w:val="auto"/>
              </w:rPr>
            </w:pPr>
            <w:r>
              <w:rPr>
                <w:rFonts w:ascii="Arial" w:cs="Arial" w:eastAsia="Arial" w:hAnsi="Arial"/>
                <w:sz w:val="18"/>
                <w:szCs w:val="18"/>
                <w:color w:val="auto"/>
              </w:rPr>
              <w:t>Diluted</w:t>
            </w:r>
          </w:p>
        </w:tc>
        <w:tc>
          <w:tcPr>
            <w:tcW w:w="11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32,081</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31,972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Dividends per share, Class A and Class B</w:t>
            </w:r>
          </w:p>
        </w:tc>
        <w:tc>
          <w:tcPr>
            <w:tcW w:w="11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$0.17</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300" w:type="dxa"/>
            <w:vAlign w:val="bottom"/>
            <w:gridSpan w:val="5"/>
          </w:tcPr>
          <w:p>
            <w:pPr>
              <w:jc w:val="center"/>
              <w:ind w:left="990"/>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360" w:type="dxa"/>
            <w:vAlign w:val="bottom"/>
            <w:gridSpan w:val="2"/>
          </w:tcPr>
          <w:p>
            <w:pPr>
              <w:jc w:val="center"/>
              <w:ind w:left="3970"/>
              <w:spacing w:after="0"/>
              <w:rPr>
                <w:sz w:val="20"/>
                <w:szCs w:val="20"/>
                <w:color w:val="auto"/>
              </w:rPr>
            </w:pPr>
            <w:r>
              <w:rPr>
                <w:rFonts w:ascii="Arial" w:cs="Arial" w:eastAsia="Arial" w:hAnsi="Arial"/>
                <w:sz w:val="18"/>
                <w:szCs w:val="18"/>
                <w:color w:val="auto"/>
                <w:w w:val="99"/>
              </w:rPr>
              <w:t>3</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INCOME/(LOSS)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Three Months Ended</w:t>
      </w:r>
    </w:p>
    <w:p>
      <w:pPr>
        <w:jc w:val="center"/>
        <w:ind w:left="7360"/>
        <w:spacing w:after="0"/>
        <w:rPr>
          <w:sz w:val="20"/>
          <w:szCs w:val="20"/>
          <w:color w:val="auto"/>
        </w:rPr>
      </w:pPr>
      <w:r>
        <w:rPr>
          <w:rFonts w:ascii="Arial" w:cs="Arial" w:eastAsia="Arial" w:hAnsi="Arial"/>
          <w:sz w:val="18"/>
          <w:szCs w:val="18"/>
          <w:color w:val="auto"/>
        </w:rPr>
        <w:t>March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17"/>
                <w:szCs w:val="17"/>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$13,316</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5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12,741</w:t>
            </w:r>
          </w:p>
        </w:tc>
        <w:tc>
          <w:tcPr>
            <w:tcW w:w="9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(35,683)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(170)</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Prior service credit</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(1,113)</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260"/>
              <w:spacing w:after="0" w:line="202" w:lineRule="exact"/>
              <w:rPr>
                <w:sz w:val="20"/>
                <w:szCs w:val="20"/>
                <w:color w:val="auto"/>
              </w:rPr>
            </w:pPr>
            <w:r>
              <w:rPr>
                <w:rFonts w:ascii="Arial" w:cs="Arial" w:eastAsia="Arial" w:hAnsi="Arial"/>
                <w:sz w:val="18"/>
                <w:szCs w:val="18"/>
                <w:color w:val="auto"/>
              </w:rPr>
              <w:t>Net actuarial loss</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1,278</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5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281</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00"/>
              <w:spacing w:after="0" w:line="202" w:lineRule="exact"/>
              <w:rPr>
                <w:sz w:val="20"/>
                <w:szCs w:val="20"/>
                <w:color w:val="auto"/>
              </w:rPr>
            </w:pPr>
            <w:r>
              <w:rPr>
                <w:rFonts w:ascii="Arial" w:cs="Arial" w:eastAsia="Arial" w:hAnsi="Arial"/>
                <w:sz w:val="18"/>
                <w:szCs w:val="18"/>
                <w:color w:val="auto"/>
              </w:rPr>
              <w:t>Derivative valuation adjustment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(2,852)</w:t>
            </w:r>
          </w:p>
        </w:tc>
        <w:tc>
          <w:tcPr>
            <w:tcW w:w="9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4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Income taxes related to items of other comprehensive income/(loss):</w:t>
            </w: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5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65</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9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(107)</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Derivative valuation adjustment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1,084</w:t>
            </w:r>
          </w:p>
        </w:tc>
        <w:tc>
          <w:tcPr>
            <w:tcW w:w="900" w:type="dxa"/>
            <w:vAlign w:val="bottom"/>
            <w:tcBorders>
              <w:bottom w:val="single" w:sz="8" w:color="BFBFBF"/>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BFBFBF"/>
          </w:tcPr>
          <w:p>
            <w:pPr>
              <w:ind w:left="100"/>
              <w:spacing w:after="0" w:line="196" w:lineRule="exact"/>
              <w:rPr>
                <w:sz w:val="20"/>
                <w:szCs w:val="20"/>
                <w:color w:val="auto"/>
              </w:rPr>
            </w:pPr>
            <w:r>
              <w:rPr>
                <w:rFonts w:ascii="Arial" w:cs="Arial" w:eastAsia="Arial" w:hAnsi="Arial"/>
                <w:sz w:val="18"/>
                <w:szCs w:val="18"/>
                <w:color w:val="auto"/>
              </w:rPr>
              <w:t>Comprehensive income/(loss)</w:t>
            </w:r>
          </w:p>
        </w:tc>
        <w:tc>
          <w:tcPr>
            <w:tcW w:w="1580" w:type="dxa"/>
            <w:vAlign w:val="bottom"/>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24,474</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(23,566)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Comprehensive (loss)/income attributable to the noncontrolling interest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900" w:type="dxa"/>
            <w:vAlign w:val="bottom"/>
            <w:tcBorders>
              <w:bottom w:val="single" w:sz="8" w:color="BFBFBF"/>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BFBFBF"/>
            </w:tcBorders>
            <w:shd w:val="clear" w:color="auto" w:fill="BFBFBF"/>
          </w:tcPr>
          <w:p>
            <w:pPr>
              <w:spacing w:after="0" w:line="197" w:lineRule="exact"/>
              <w:rPr>
                <w:sz w:val="20"/>
                <w:szCs w:val="20"/>
                <w:color w:val="auto"/>
              </w:rPr>
            </w:pPr>
            <w:r>
              <w:rPr>
                <w:rFonts w:ascii="Arial" w:cs="Arial" w:eastAsia="Arial" w:hAnsi="Arial"/>
                <w:sz w:val="18"/>
                <w:szCs w:val="18"/>
                <w:color w:val="auto"/>
              </w:rPr>
              <w:t>Comprehensive income/(loss) attributable to the Company</w:t>
            </w:r>
          </w:p>
        </w:tc>
        <w:tc>
          <w:tcPr>
            <w:tcW w:w="158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$24,662</w:t>
            </w:r>
          </w:p>
        </w:tc>
        <w:tc>
          <w:tcPr>
            <w:tcW w:w="900" w:type="dxa"/>
            <w:vAlign w:val="bottom"/>
            <w:tcBorders>
              <w:bottom w:val="single" w:sz="8" w:color="BFBFBF"/>
            </w:tcBorders>
            <w:shd w:val="clear" w:color="auto" w:fill="BFBFBF"/>
          </w:tcPr>
          <w:p>
            <w:pPr>
              <w:spacing w:after="0"/>
              <w:rPr>
                <w:sz w:val="18"/>
                <w:szCs w:val="18"/>
                <w:color w:val="auto"/>
              </w:rPr>
            </w:pPr>
          </w:p>
        </w:tc>
        <w:tc>
          <w:tcPr>
            <w:tcW w:w="15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($23,593)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color w:val="auto"/>
              </w:rPr>
              <w:t>March 31,</w:t>
            </w:r>
          </w:p>
        </w:tc>
        <w:tc>
          <w:tcPr>
            <w:tcW w:w="900" w:type="dxa"/>
            <w:vAlign w:val="bottom"/>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405"/>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540" w:type="dxa"/>
            <w:vAlign w:val="bottom"/>
            <w:gridSpan w:val="2"/>
          </w:tcPr>
          <w:p>
            <w:pPr>
              <w:jc w:val="right"/>
              <w:ind w:right="510"/>
              <w:spacing w:after="0"/>
              <w:rPr>
                <w:sz w:val="20"/>
                <w:szCs w:val="20"/>
                <w:color w:val="auto"/>
              </w:rPr>
            </w:pPr>
            <w:r>
              <w:rPr>
                <w:rFonts w:ascii="Arial" w:cs="Arial" w:eastAsia="Arial" w:hAnsi="Arial"/>
                <w:sz w:val="18"/>
                <w:szCs w:val="18"/>
                <w:color w:val="auto"/>
              </w:rPr>
              <w:t>2016</w:t>
            </w:r>
          </w:p>
        </w:tc>
        <w:tc>
          <w:tcPr>
            <w:tcW w:w="2480" w:type="dxa"/>
            <w:vAlign w:val="bottom"/>
            <w:gridSpan w:val="2"/>
          </w:tcPr>
          <w:p>
            <w:pPr>
              <w:jc w:val="right"/>
              <w:ind w:right="4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$169,615</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$185,113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 net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150,821</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Inventories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110,356</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106,406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Income taxes prepaid and receivable</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4,953</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Asset held for sale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5,193</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11,796</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BFBFBF"/>
            </w:tcBorders>
            <w:shd w:val="clear" w:color="auto" w:fill="BFBFBF"/>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452,734</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452,060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Property, plant and equipment, net</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356,943</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357,470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Intangibles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147</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68,359</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Income taxes receivable and deferred</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108,123</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108,945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8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28,607</w:t>
            </w:r>
          </w:p>
        </w:tc>
        <w:tc>
          <w:tcPr>
            <w:tcW w:w="900" w:type="dxa"/>
            <w:vAlign w:val="bottom"/>
            <w:shd w:val="clear" w:color="auto" w:fill="BFBFBF"/>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ind w:left="280"/>
              <w:spacing w:after="0" w:line="197" w:lineRule="exact"/>
              <w:rPr>
                <w:sz w:val="20"/>
                <w:szCs w:val="20"/>
                <w:color w:val="auto"/>
              </w:rPr>
            </w:pPr>
            <w:r>
              <w:rPr>
                <w:rFonts w:ascii="Arial" w:cs="Arial" w:eastAsia="Arial" w:hAnsi="Arial"/>
                <w:sz w:val="18"/>
                <w:szCs w:val="18"/>
                <w:color w:val="auto"/>
              </w:rPr>
              <w:t>Total assets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$1,014,913</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tcBorders>
              <w:top w:val="single" w:sz="8" w:color="BFBFBF"/>
            </w:tcBorders>
            <w:shd w:val="clear" w:color="auto" w:fill="BFBFBF"/>
          </w:tcPr>
          <w:p>
            <w:pPr>
              <w:spacing w:after="0"/>
              <w:rPr>
                <w:sz w:val="15"/>
                <w:szCs w:val="15"/>
                <w:color w:val="auto"/>
              </w:rPr>
            </w:pPr>
          </w:p>
        </w:tc>
        <w:tc>
          <w:tcPr>
            <w:tcW w:w="920" w:type="dxa"/>
            <w:vAlign w:val="bottom"/>
            <w:tcBorders>
              <w:top w:val="single" w:sz="8" w:color="BFBFBF"/>
            </w:tcBorders>
            <w:shd w:val="clear" w:color="auto" w:fill="BFBFBF"/>
          </w:tcPr>
          <w:p>
            <w:pPr>
              <w:spacing w:after="0"/>
              <w:rPr>
                <w:sz w:val="15"/>
                <w:szCs w:val="15"/>
                <w:color w:val="auto"/>
              </w:rPr>
            </w:pPr>
          </w:p>
        </w:tc>
        <w:tc>
          <w:tcPr>
            <w:tcW w:w="1620" w:type="dxa"/>
            <w:vAlign w:val="bottom"/>
            <w:tcBorders>
              <w:top w:val="single" w:sz="8" w:color="auto"/>
            </w:tcBorders>
            <w:shd w:val="clear" w:color="auto" w:fill="BFBFBF"/>
          </w:tcPr>
          <w:p>
            <w:pPr>
              <w:spacing w:after="0"/>
              <w:rPr>
                <w:sz w:val="15"/>
                <w:szCs w:val="15"/>
                <w:color w:val="auto"/>
              </w:rPr>
            </w:pPr>
          </w:p>
        </w:tc>
        <w:tc>
          <w:tcPr>
            <w:tcW w:w="900" w:type="dxa"/>
            <w:vAlign w:val="bottom"/>
            <w:tcBorders>
              <w:top w:val="single" w:sz="8" w:color="BFBFBF"/>
            </w:tcBorders>
            <w:shd w:val="clear" w:color="auto" w:fill="BFBFBF"/>
          </w:tcPr>
          <w:p>
            <w:pPr>
              <w:spacing w:after="0"/>
              <w:rPr>
                <w:sz w:val="15"/>
                <w:szCs w:val="15"/>
                <w:color w:val="auto"/>
              </w:rPr>
            </w:pPr>
          </w:p>
        </w:tc>
        <w:tc>
          <w:tcPr>
            <w:tcW w:w="1580" w:type="dxa"/>
            <w:vAlign w:val="bottom"/>
            <w:tcBorders>
              <w:top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Notes and loans payable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$590</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31,865</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8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BFBFBF"/>
          </w:tcPr>
          <w:p>
            <w:pPr>
              <w:spacing w:after="0"/>
              <w:rPr>
                <w:sz w:val="18"/>
                <w:szCs w:val="18"/>
                <w:color w:val="auto"/>
              </w:rPr>
            </w:pPr>
          </w:p>
        </w:tc>
        <w:tc>
          <w:tcPr>
            <w:tcW w:w="16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84,450</w:t>
            </w:r>
          </w:p>
        </w:tc>
        <w:tc>
          <w:tcPr>
            <w:tcW w:w="900" w:type="dxa"/>
            <w:vAlign w:val="bottom"/>
            <w:shd w:val="clear" w:color="auto" w:fill="BFBFBF"/>
          </w:tcPr>
          <w:p>
            <w:pPr>
              <w:spacing w:after="0"/>
              <w:rPr>
                <w:sz w:val="18"/>
                <w:szCs w:val="18"/>
                <w:color w:val="auto"/>
              </w:rPr>
            </w:pPr>
          </w:p>
        </w:tc>
        <w:tc>
          <w:tcPr>
            <w:tcW w:w="158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91,785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Current maturities of long-term debt</w:t>
            </w:r>
          </w:p>
        </w:tc>
        <w:tc>
          <w:tcPr>
            <w:tcW w:w="9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8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3,465</w:t>
            </w:r>
          </w:p>
        </w:tc>
        <w:tc>
          <w:tcPr>
            <w:tcW w:w="900" w:type="dxa"/>
            <w:vAlign w:val="bottom"/>
            <w:shd w:val="clear" w:color="auto" w:fill="BFBFBF"/>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17"/>
                <w:szCs w:val="17"/>
                <w:color w:val="auto"/>
              </w:rPr>
            </w:pPr>
          </w:p>
        </w:tc>
        <w:tc>
          <w:tcPr>
            <w:tcW w:w="16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120,386</w:t>
            </w:r>
          </w:p>
        </w:tc>
        <w:tc>
          <w:tcPr>
            <w:tcW w:w="900" w:type="dxa"/>
            <w:vAlign w:val="bottom"/>
          </w:tcPr>
          <w:p>
            <w:pPr>
              <w:spacing w:after="0"/>
              <w:rPr>
                <w:sz w:val="17"/>
                <w:szCs w:val="17"/>
                <w:color w:val="auto"/>
              </w:rPr>
            </w:pPr>
          </w:p>
        </w:tc>
        <w:tc>
          <w:tcPr>
            <w:tcW w:w="1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126,231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Long-term debt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255,076</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Other noncurrent liabilities</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102,689</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Deferred taxes and other liabilities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14,057</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BFBFBF"/>
            </w:tcBorders>
            <w:shd w:val="clear" w:color="auto" w:fill="BFBFBF"/>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492,208</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507,009</w:t>
            </w:r>
          </w:p>
        </w:tc>
        <w:tc>
          <w:tcPr>
            <w:tcW w:w="0" w:type="dxa"/>
            <w:vAlign w:val="bottom"/>
          </w:tcPr>
          <w:p>
            <w:pPr>
              <w:spacing w:after="0"/>
              <w:rPr>
                <w:sz w:val="1"/>
                <w:szCs w:val="1"/>
                <w:color w:val="auto"/>
              </w:rPr>
            </w:pPr>
          </w:p>
        </w:tc>
      </w:tr>
      <w:tr>
        <w:trPr>
          <w:trHeight w:val="399"/>
        </w:trPr>
        <w:tc>
          <w:tcPr>
            <w:tcW w:w="64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Preferred stock, par value $5.00 per share;</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3" w:lineRule="exact"/>
              <w:rPr>
                <w:sz w:val="20"/>
                <w:szCs w:val="20"/>
                <w:color w:val="auto"/>
              </w:rPr>
            </w:pPr>
            <w:r>
              <w:rPr>
                <w:rFonts w:ascii="Arial" w:cs="Arial" w:eastAsia="Arial" w:hAnsi="Arial"/>
                <w:sz w:val="18"/>
                <w:szCs w:val="18"/>
                <w:color w:val="auto"/>
              </w:rPr>
              <w:t>authorized 2,000,000 shares; none issued</w:t>
            </w:r>
          </w:p>
        </w:tc>
        <w:tc>
          <w:tcPr>
            <w:tcW w:w="2540" w:type="dxa"/>
            <w:vAlign w:val="bottom"/>
            <w:gridSpan w:val="2"/>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2480" w:type="dxa"/>
            <w:vAlign w:val="bottom"/>
            <w:gridSpan w:val="2"/>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8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authorized 100,000,000 shares; issued 37,302,833</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40"/>
              <w:spacing w:after="0" w:line="203" w:lineRule="exact"/>
              <w:rPr>
                <w:sz w:val="20"/>
                <w:szCs w:val="20"/>
                <w:color w:val="auto"/>
              </w:rPr>
            </w:pPr>
            <w:r>
              <w:rPr>
                <w:rFonts w:ascii="Arial" w:cs="Arial" w:eastAsia="Arial" w:hAnsi="Arial"/>
                <w:sz w:val="18"/>
                <w:szCs w:val="18"/>
                <w:color w:val="auto"/>
              </w:rPr>
              <w:t>in 2016 and 37,238,913 in 2015</w:t>
            </w:r>
          </w:p>
        </w:tc>
        <w:tc>
          <w:tcPr>
            <w:tcW w:w="2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37</w:t>
            </w:r>
          </w:p>
        </w:tc>
        <w:tc>
          <w:tcPr>
            <w:tcW w:w="248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authorized 25,000,000 shares; issued and</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3" w:lineRule="exact"/>
              <w:rPr>
                <w:sz w:val="20"/>
                <w:szCs w:val="20"/>
                <w:color w:val="auto"/>
              </w:rPr>
            </w:pPr>
            <w:r>
              <w:rPr>
                <w:rFonts w:ascii="Arial" w:cs="Arial" w:eastAsia="Arial" w:hAnsi="Arial"/>
                <w:sz w:val="18"/>
                <w:szCs w:val="18"/>
                <w:color w:val="auto"/>
              </w:rPr>
              <w:t>outstanding 3,235,048 in 2016 and 2015</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2480" w:type="dxa"/>
            <w:vAlign w:val="bottom"/>
            <w:gridSpan w:val="2"/>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9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424,243</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423,108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Retained earnings</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499,997</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491,950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Translation adjustments</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(95,541)</w:t>
            </w:r>
          </w:p>
        </w:tc>
        <w:tc>
          <w:tcPr>
            <w:tcW w:w="2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(108,655)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(49,087)</w:t>
            </w: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(3,058)</w:t>
            </w:r>
          </w:p>
        </w:tc>
        <w:tc>
          <w:tcPr>
            <w:tcW w:w="2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Treasury stock (Class A), at cost 8,455,293 shares</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180"/>
              <w:spacing w:after="0"/>
              <w:rPr>
                <w:sz w:val="20"/>
                <w:szCs w:val="20"/>
                <w:color w:val="auto"/>
              </w:rPr>
            </w:pPr>
            <w:r>
              <w:rPr>
                <w:rFonts w:ascii="Arial" w:cs="Arial" w:eastAsia="Arial" w:hAnsi="Arial"/>
                <w:sz w:val="18"/>
                <w:szCs w:val="18"/>
                <w:color w:val="auto"/>
              </w:rPr>
              <w:t>in 2016 and in 2015</w:t>
            </w:r>
          </w:p>
        </w:tc>
        <w:tc>
          <w:tcPr>
            <w:tcW w:w="254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(257,391)</w:t>
            </w:r>
          </w:p>
        </w:tc>
        <w:tc>
          <w:tcPr>
            <w:tcW w:w="248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(257,391)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280"/>
              <w:spacing w:after="0" w:line="196" w:lineRule="exact"/>
              <w:rPr>
                <w:sz w:val="20"/>
                <w:szCs w:val="20"/>
                <w:color w:val="auto"/>
              </w:rPr>
            </w:pPr>
            <w:r>
              <w:rPr>
                <w:rFonts w:ascii="Arial" w:cs="Arial" w:eastAsia="Arial" w:hAnsi="Arial"/>
                <w:sz w:val="18"/>
                <w:szCs w:val="18"/>
                <w:color w:val="auto"/>
              </w:rPr>
              <w:t>Total Company shareholders' equity</w:t>
            </w:r>
          </w:p>
        </w:tc>
        <w:tc>
          <w:tcPr>
            <w:tcW w:w="920" w:type="dxa"/>
            <w:vAlign w:val="bottom"/>
          </w:tcPr>
          <w:p>
            <w:pPr>
              <w:spacing w:after="0"/>
              <w:rPr>
                <w:sz w:val="17"/>
                <w:szCs w:val="17"/>
                <w:color w:val="auto"/>
              </w:rPr>
            </w:pPr>
          </w:p>
        </w:tc>
        <w:tc>
          <w:tcPr>
            <w:tcW w:w="16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519,203</w:t>
            </w:r>
          </w:p>
        </w:tc>
        <w:tc>
          <w:tcPr>
            <w:tcW w:w="900" w:type="dxa"/>
            <w:vAlign w:val="bottom"/>
          </w:tcPr>
          <w:p>
            <w:pPr>
              <w:spacing w:after="0"/>
              <w:rPr>
                <w:sz w:val="17"/>
                <w:szCs w:val="17"/>
                <w:color w:val="auto"/>
              </w:rPr>
            </w:pPr>
          </w:p>
        </w:tc>
        <w:tc>
          <w:tcPr>
            <w:tcW w:w="15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80"/>
              <w:spacing w:after="0"/>
              <w:rPr>
                <w:sz w:val="20"/>
                <w:szCs w:val="20"/>
                <w:color w:val="auto"/>
              </w:rPr>
            </w:pPr>
            <w:r>
              <w:rPr>
                <w:rFonts w:ascii="Arial" w:cs="Arial" w:eastAsia="Arial" w:hAnsi="Arial"/>
                <w:sz w:val="18"/>
                <w:szCs w:val="18"/>
                <w:color w:val="auto"/>
              </w:rPr>
              <w:t>Noncontrolling interest</w:t>
            </w:r>
          </w:p>
        </w:tc>
        <w:tc>
          <w:tcPr>
            <w:tcW w:w="254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3,502</w:t>
            </w:r>
          </w:p>
        </w:tc>
        <w:tc>
          <w:tcPr>
            <w:tcW w:w="2480" w:type="dxa"/>
            <w:vAlign w:val="bottom"/>
            <w:gridSpan w:val="2"/>
            <w:shd w:val="clear" w:color="auto" w:fill="BFBFBF"/>
          </w:tcPr>
          <w:p>
            <w:pPr>
              <w:jc w:val="right"/>
              <w:ind w:right="1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BFBFBF"/>
            </w:tcBorders>
          </w:tcPr>
          <w:p>
            <w:pPr>
              <w:ind w:left="40"/>
              <w:spacing w:after="0" w:line="196" w:lineRule="exact"/>
              <w:rPr>
                <w:sz w:val="20"/>
                <w:szCs w:val="20"/>
                <w:color w:val="auto"/>
              </w:rPr>
            </w:pPr>
            <w:r>
              <w:rPr>
                <w:rFonts w:ascii="Arial" w:cs="Arial" w:eastAsia="Arial" w:hAnsi="Arial"/>
                <w:sz w:val="18"/>
                <w:szCs w:val="18"/>
                <w:color w:val="auto"/>
              </w:rPr>
              <w:t>Total equity</w:t>
            </w:r>
          </w:p>
        </w:tc>
        <w:tc>
          <w:tcPr>
            <w:tcW w:w="920" w:type="dxa"/>
            <w:vAlign w:val="bottom"/>
            <w:tcBorders>
              <w:bottom w:val="single" w:sz="8" w:color="BFBFB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522,705</w:t>
            </w:r>
          </w:p>
        </w:tc>
        <w:tc>
          <w:tcPr>
            <w:tcW w:w="900" w:type="dxa"/>
            <w:vAlign w:val="bottom"/>
            <w:tcBorders>
              <w:bottom w:val="single" w:sz="8" w:color="BFBFB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502,553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BFBFBF"/>
          </w:tcPr>
          <w:p>
            <w:pPr>
              <w:ind w:left="28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254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$1,014,913</w:t>
            </w:r>
          </w:p>
        </w:tc>
        <w:tc>
          <w:tcPr>
            <w:tcW w:w="2480" w:type="dxa"/>
            <w:vAlign w:val="bottom"/>
            <w:gridSpan w:val="2"/>
            <w:shd w:val="clear" w:color="auto" w:fill="BFBFBF"/>
          </w:tcPr>
          <w:p>
            <w:pPr>
              <w:jc w:val="right"/>
              <w:ind w:right="10"/>
              <w:spacing w:after="0"/>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BFBFBF"/>
            </w:tcBorders>
          </w:tcPr>
          <w:p>
            <w:pPr>
              <w:spacing w:after="0" w:line="20" w:lineRule="exact"/>
              <w:rPr>
                <w:sz w:val="1"/>
                <w:szCs w:val="1"/>
                <w:color w:val="auto"/>
              </w:rPr>
            </w:pPr>
          </w:p>
        </w:tc>
        <w:tc>
          <w:tcPr>
            <w:tcW w:w="920" w:type="dxa"/>
            <w:vAlign w:val="bottom"/>
            <w:tcBorders>
              <w:top w:val="single" w:sz="8" w:color="BFBFB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BFBFB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940" w:type="dxa"/>
            <w:vAlign w:val="bottom"/>
            <w:gridSpan w:val="3"/>
          </w:tcPr>
          <w:p>
            <w:pPr>
              <w:jc w:val="center"/>
              <w:ind w:left="930"/>
              <w:spacing w:after="0"/>
              <w:rPr>
                <w:sz w:val="20"/>
                <w:szCs w:val="20"/>
                <w:color w:val="auto"/>
              </w:rPr>
            </w:pPr>
            <w:r>
              <w:rPr>
                <w:rFonts w:ascii="Arial" w:cs="Arial" w:eastAsia="Arial" w:hAnsi="Arial"/>
                <w:sz w:val="18"/>
                <w:szCs w:val="18"/>
                <w:color w:val="auto"/>
                <w:w w:val="99"/>
              </w:rPr>
              <w:t>Three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940" w:type="dxa"/>
            <w:vAlign w:val="bottom"/>
            <w:gridSpan w:val="3"/>
          </w:tcPr>
          <w:p>
            <w:pPr>
              <w:jc w:val="center"/>
              <w:ind w:left="930"/>
              <w:spacing w:after="0"/>
              <w:rPr>
                <w:sz w:val="20"/>
                <w:szCs w:val="20"/>
                <w:color w:val="auto"/>
              </w:rPr>
            </w:pPr>
            <w:r>
              <w:rPr>
                <w:rFonts w:ascii="Arial" w:cs="Arial" w:eastAsia="Arial" w:hAnsi="Arial"/>
                <w:sz w:val="18"/>
                <w:szCs w:val="18"/>
                <w:color w:val="auto"/>
                <w:w w:val="99"/>
              </w:rPr>
              <w:t>March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96"/>
        </w:trPr>
        <w:tc>
          <w:tcPr>
            <w:tcW w:w="736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$13,316</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Depreciation</w:t>
            </w:r>
          </w:p>
        </w:tc>
        <w:tc>
          <w:tcPr>
            <w:tcW w:w="15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13,124</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Amortization</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1,696</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Change in other noncurrent liabilities</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(2,636)</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2,529</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5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592</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Gain on disposition of assets</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Excess tax benefit of options exercised</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(66)</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864</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4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 that provide/(use) cash:</w:t>
            </w: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(902)</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(1,348)</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(5,382)</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Income taxes prepaid and receivable</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(1,895)</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5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1,632</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(8,843)</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(3,836)</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BFBFBF"/>
            </w:tcBorders>
          </w:tcPr>
          <w:p>
            <w:pPr>
              <w:ind w:left="160"/>
              <w:spacing w:after="0"/>
              <w:rPr>
                <w:sz w:val="20"/>
                <w:szCs w:val="20"/>
                <w:color w:val="auto"/>
              </w:rPr>
            </w:pPr>
            <w:r>
              <w:rPr>
                <w:rFonts w:ascii="Arial" w:cs="Arial" w:eastAsia="Arial" w:hAnsi="Arial"/>
                <w:sz w:val="18"/>
                <w:szCs w:val="18"/>
                <w:color w:val="auto"/>
              </w:rPr>
              <w:t>Other, net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900" w:type="dxa"/>
            <w:vAlign w:val="bottom"/>
            <w:tcBorders>
              <w:bottom w:val="single" w:sz="8" w:color="BFBFB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58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4,044</w:t>
            </w:r>
          </w:p>
        </w:tc>
        <w:tc>
          <w:tcPr>
            <w:tcW w:w="900" w:type="dxa"/>
            <w:vAlign w:val="bottom"/>
            <w:shd w:val="clear" w:color="auto" w:fill="BFBFBF"/>
          </w:tcPr>
          <w:p>
            <w:pPr>
              <w:spacing w:after="0"/>
              <w:rPr>
                <w:sz w:val="17"/>
                <w:szCs w:val="17"/>
                <w:color w:val="auto"/>
              </w:rPr>
            </w:pPr>
          </w:p>
        </w:tc>
        <w:tc>
          <w:tcPr>
            <w:tcW w:w="460" w:type="dxa"/>
            <w:vAlign w:val="bottom"/>
            <w:tcBorders>
              <w:bottom w:val="single" w:sz="8" w:color="auto"/>
            </w:tcBorders>
            <w:shd w:val="clear" w:color="auto" w:fill="BFBFBF"/>
          </w:tcPr>
          <w:p>
            <w:pPr>
              <w:spacing w:after="0"/>
              <w:rPr>
                <w:sz w:val="17"/>
                <w:szCs w:val="17"/>
                <w:color w:val="auto"/>
              </w:rPr>
            </w:pPr>
          </w:p>
        </w:tc>
        <w:tc>
          <w:tcPr>
            <w:tcW w:w="112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INVESTING ACTIVITIES</w:t>
            </w:r>
          </w:p>
        </w:tc>
        <w:tc>
          <w:tcPr>
            <w:tcW w:w="15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(7,993)</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Purchased software</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(82)</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BFBFBF"/>
            </w:tcBorders>
          </w:tcPr>
          <w:p>
            <w:pPr>
              <w:ind w:left="160"/>
              <w:spacing w:after="0"/>
              <w:rPr>
                <w:sz w:val="20"/>
                <w:szCs w:val="20"/>
                <w:color w:val="auto"/>
              </w:rPr>
            </w:pPr>
            <w:r>
              <w:rPr>
                <w:rFonts w:ascii="Arial" w:cs="Arial" w:eastAsia="Arial" w:hAnsi="Arial"/>
                <w:sz w:val="18"/>
                <w:szCs w:val="18"/>
                <w:color w:val="auto"/>
              </w:rPr>
              <w:t>Proceeds from sale or involuntary conversion of assets</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BFB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196" w:lineRule="exact"/>
              <w:rPr>
                <w:sz w:val="20"/>
                <w:szCs w:val="20"/>
                <w:color w:val="auto"/>
              </w:rPr>
            </w:pPr>
            <w:r>
              <w:rPr>
                <w:rFonts w:ascii="Arial" w:cs="Arial" w:eastAsia="Arial" w:hAnsi="Arial"/>
                <w:sz w:val="18"/>
                <w:szCs w:val="18"/>
                <w:color w:val="auto"/>
              </w:rPr>
              <w:t>Net cash used in investing activities</w:t>
            </w:r>
          </w:p>
        </w:tc>
        <w:tc>
          <w:tcPr>
            <w:tcW w:w="15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(8,075)</w:t>
            </w:r>
          </w:p>
        </w:tc>
        <w:tc>
          <w:tcPr>
            <w:tcW w:w="900" w:type="dxa"/>
            <w:vAlign w:val="bottom"/>
            <w:shd w:val="clear" w:color="auto" w:fill="BFBFBF"/>
          </w:tcPr>
          <w:p>
            <w:pPr>
              <w:spacing w:after="0"/>
              <w:rPr>
                <w:sz w:val="17"/>
                <w:szCs w:val="17"/>
                <w:color w:val="auto"/>
              </w:rPr>
            </w:pPr>
          </w:p>
        </w:tc>
        <w:tc>
          <w:tcPr>
            <w:tcW w:w="460" w:type="dxa"/>
            <w:vAlign w:val="bottom"/>
            <w:tcBorders>
              <w:bottom w:val="single" w:sz="8" w:color="auto"/>
            </w:tcBorders>
            <w:shd w:val="clear" w:color="auto" w:fill="BFBFBF"/>
          </w:tcPr>
          <w:p>
            <w:pPr>
              <w:spacing w:after="0"/>
              <w:rPr>
                <w:sz w:val="17"/>
                <w:szCs w:val="17"/>
                <w:color w:val="auto"/>
              </w:rPr>
            </w:pPr>
          </w:p>
        </w:tc>
        <w:tc>
          <w:tcPr>
            <w:tcW w:w="11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FINANCING ACTIVITIES</w:t>
            </w:r>
          </w:p>
        </w:tc>
        <w:tc>
          <w:tcPr>
            <w:tcW w:w="15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Proceeds from borrowings</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12,396</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Principal payments on debt</w:t>
            </w: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(22,398)</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Debt acquisition costs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Proceeds from options exercised</w:t>
            </w:r>
          </w:p>
        </w:tc>
        <w:tc>
          <w:tcPr>
            <w:tcW w:w="15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205</w:t>
            </w: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Excess tax benefit of options exercised</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BFBFBF"/>
          </w:tcPr>
          <w:p>
            <w:pPr>
              <w:ind w:left="160"/>
              <w:spacing w:after="0"/>
              <w:rPr>
                <w:sz w:val="20"/>
                <w:szCs w:val="20"/>
                <w:color w:val="auto"/>
              </w:rPr>
            </w:pPr>
            <w:r>
              <w:rPr>
                <w:rFonts w:ascii="Arial" w:cs="Arial" w:eastAsia="Arial" w:hAnsi="Arial"/>
                <w:sz w:val="18"/>
                <w:szCs w:val="18"/>
                <w:color w:val="auto"/>
              </w:rPr>
              <w:t>Dividends paid</w:t>
            </w:r>
          </w:p>
        </w:tc>
        <w:tc>
          <w:tcPr>
            <w:tcW w:w="15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(5,443)</w:t>
            </w:r>
          </w:p>
        </w:tc>
        <w:tc>
          <w:tcPr>
            <w:tcW w:w="900" w:type="dxa"/>
            <w:vAlign w:val="bottom"/>
            <w:shd w:val="clear" w:color="auto" w:fill="BFBFBF"/>
          </w:tcPr>
          <w:p>
            <w:pPr>
              <w:spacing w:after="0"/>
              <w:rPr>
                <w:sz w:val="18"/>
                <w:szCs w:val="18"/>
                <w:color w:val="auto"/>
              </w:rPr>
            </w:pPr>
          </w:p>
        </w:tc>
        <w:tc>
          <w:tcPr>
            <w:tcW w:w="460" w:type="dxa"/>
            <w:vAlign w:val="bottom"/>
            <w:tcBorders>
              <w:bottom w:val="single" w:sz="8" w:color="auto"/>
            </w:tcBorders>
            <w:shd w:val="clear" w:color="auto" w:fill="BFBFBF"/>
          </w:tcPr>
          <w:p>
            <w:pPr>
              <w:spacing w:after="0"/>
              <w:rPr>
                <w:sz w:val="18"/>
                <w:szCs w:val="18"/>
                <w:color w:val="auto"/>
              </w:rPr>
            </w:pPr>
          </w:p>
        </w:tc>
        <w:tc>
          <w:tcPr>
            <w:tcW w:w="11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Borders>
              <w:bottom w:val="single" w:sz="8" w:color="BFBFBF"/>
            </w:tcBorders>
          </w:tcPr>
          <w:p>
            <w:pPr>
              <w:ind w:left="160"/>
              <w:spacing w:after="0" w:line="196" w:lineRule="exact"/>
              <w:rPr>
                <w:sz w:val="20"/>
                <w:szCs w:val="20"/>
                <w:color w:val="auto"/>
              </w:rPr>
            </w:pPr>
            <w:r>
              <w:rPr>
                <w:rFonts w:ascii="Arial" w:cs="Arial" w:eastAsia="Arial" w:hAnsi="Arial"/>
                <w:sz w:val="18"/>
                <w:szCs w:val="18"/>
                <w:color w:val="auto"/>
              </w:rPr>
              <w:t>Net cash (used in)/provided by financing activities</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(15,374)</w:t>
            </w:r>
          </w:p>
        </w:tc>
        <w:tc>
          <w:tcPr>
            <w:tcW w:w="900" w:type="dxa"/>
            <w:vAlign w:val="bottom"/>
            <w:tcBorders>
              <w:bottom w:val="single" w:sz="8" w:color="BFBFB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3,907</w:t>
            </w:r>
          </w:p>
        </w:tc>
        <w:tc>
          <w:tcPr>
            <w:tcW w:w="900" w:type="dxa"/>
            <w:vAlign w:val="bottom"/>
            <w:tcBorders>
              <w:bottom w:val="single" w:sz="8" w:color="BFBFB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Decrease in cash and cash equivalents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(15,498)</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BFBFBF"/>
          </w:tcPr>
          <w:p>
            <w:pPr>
              <w:spacing w:after="0"/>
              <w:rPr>
                <w:sz w:val="20"/>
                <w:szCs w:val="20"/>
                <w:color w:val="auto"/>
              </w:rPr>
            </w:pPr>
            <w:r>
              <w:rPr>
                <w:rFonts w:ascii="Arial" w:cs="Arial" w:eastAsia="Arial" w:hAnsi="Arial"/>
                <w:sz w:val="18"/>
                <w:szCs w:val="18"/>
                <w:color w:val="auto"/>
              </w:rPr>
              <w:t>Cash and cash equivalents at beginning of period</w:t>
            </w:r>
          </w:p>
        </w:tc>
        <w:tc>
          <w:tcPr>
            <w:tcW w:w="158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185,113</w:t>
            </w:r>
          </w:p>
        </w:tc>
        <w:tc>
          <w:tcPr>
            <w:tcW w:w="900" w:type="dxa"/>
            <w:vAlign w:val="bottom"/>
            <w:shd w:val="clear" w:color="auto" w:fill="BFBFBF"/>
          </w:tcPr>
          <w:p>
            <w:pPr>
              <w:spacing w:after="0"/>
              <w:rPr>
                <w:sz w:val="18"/>
                <w:szCs w:val="18"/>
                <w:color w:val="auto"/>
              </w:rPr>
            </w:pPr>
          </w:p>
        </w:tc>
        <w:tc>
          <w:tcPr>
            <w:tcW w:w="460" w:type="dxa"/>
            <w:vAlign w:val="bottom"/>
            <w:tcBorders>
              <w:bottom w:val="single" w:sz="8" w:color="auto"/>
            </w:tcBorders>
            <w:shd w:val="clear" w:color="auto" w:fill="BFBFBF"/>
          </w:tcPr>
          <w:p>
            <w:pPr>
              <w:spacing w:after="0"/>
              <w:rPr>
                <w:sz w:val="18"/>
                <w:szCs w:val="18"/>
                <w:color w:val="auto"/>
              </w:rPr>
            </w:pPr>
          </w:p>
        </w:tc>
        <w:tc>
          <w:tcPr>
            <w:tcW w:w="11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179,802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$169,615</w:t>
            </w:r>
          </w:p>
        </w:tc>
        <w:tc>
          <w:tcPr>
            <w:tcW w:w="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 w:name="page7"/>
    <w:bookmarkEnd w:id="6"/>
    <w:p>
      <w:pPr>
        <w:jc w:val="center"/>
        <w:ind w:left="660"/>
        <w:spacing w:after="0"/>
        <w:rPr>
          <w:sz w:val="20"/>
          <w:szCs w:val="20"/>
          <w:color w:val="auto"/>
        </w:rPr>
      </w:pPr>
      <w:r>
        <w:rPr>
          <w:rFonts w:ascii="Arial" w:cs="Arial" w:eastAsia="Arial" w:hAnsi="Arial"/>
          <w:sz w:val="18"/>
          <w:szCs w:val="18"/>
          <w:color w:val="auto"/>
        </w:rPr>
        <w:t>ALBANY INTERNATIONAL CORP.</w:t>
      </w:r>
    </w:p>
    <w:p>
      <w:pPr>
        <w:ind w:left="3740"/>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p>
      <w:pPr>
        <w:ind w:right="8500" w:firstLine="8"/>
        <w:spacing w:after="0" w:line="451"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jc w:val="both"/>
        <w:ind w:right="240" w:firstLine="648"/>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(“Albany”) consolidates the financial results of its subsidiaries for all periods presented. The results for any interim period are not necessarily indicative of results for the full year.</w:t>
      </w:r>
    </w:p>
    <w:p>
      <w:pPr>
        <w:spacing w:after="0" w:line="175" w:lineRule="exact"/>
        <w:rPr>
          <w:sz w:val="20"/>
          <w:szCs w:val="20"/>
          <w:color w:val="auto"/>
        </w:rPr>
      </w:pPr>
    </w:p>
    <w:p>
      <w:pPr>
        <w:ind w:right="50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2015.</w:t>
      </w:r>
    </w:p>
    <w:p>
      <w:pPr>
        <w:spacing w:after="0" w:line="161"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Except as described herein, there has been no material change to the accounting policies applied to our consolidated results and footnote disclosures. In accordance with the accounting guidance for business combinations, we use the acquisition method of accounting to allocate costs of acquired businesses to the assets acquired and liabilities assumed based on their estimated fair values at the dates of acquisition. The excess costs of acquired businesses over the fair values of the assets acquired and liabilities assumed are recognized as goodwill. The valuations of acquired assets and liabilities will impact the determination of future operating results. In addition to using management estimates and negotiated amounts, we use a variety of information sources to determine the estimated fair values of the assets and liabilities, including third-party appraisals for the estimated value and lives of identifiable intangible assets and property and equipment. The business and technical judgment of management is used in determining the useful lives of finite-lived intangible assets in accordance with the accounting guidance for goodwill and intangible assets.</w:t>
      </w:r>
    </w:p>
    <w:p>
      <w:pPr>
        <w:spacing w:after="0" w:line="200" w:lineRule="exact"/>
        <w:rPr>
          <w:sz w:val="20"/>
          <w:szCs w:val="20"/>
          <w:color w:val="auto"/>
        </w:rPr>
      </w:pPr>
    </w:p>
    <w:p>
      <w:pPr>
        <w:spacing w:after="0" w:line="337"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Business Acquisitions</w:t>
      </w:r>
    </w:p>
    <w:p>
      <w:pPr>
        <w:spacing w:after="0" w:line="220" w:lineRule="exact"/>
        <w:rPr>
          <w:sz w:val="20"/>
          <w:szCs w:val="20"/>
          <w:color w:val="auto"/>
        </w:rPr>
      </w:pPr>
    </w:p>
    <w:p>
      <w:pPr>
        <w:ind w:right="360" w:firstLine="648"/>
        <w:spacing w:after="0" w:line="239" w:lineRule="auto"/>
        <w:rPr>
          <w:sz w:val="20"/>
          <w:szCs w:val="20"/>
          <w:color w:val="auto"/>
        </w:rPr>
      </w:pPr>
      <w:r>
        <w:rPr>
          <w:rFonts w:ascii="Arial" w:cs="Arial" w:eastAsia="Arial" w:hAnsi="Arial"/>
          <w:sz w:val="18"/>
          <w:szCs w:val="18"/>
          <w:color w:val="auto"/>
        </w:rPr>
        <w:t>On April 8, 2016, the Company completed the purchase of Harris Corporation’s composite aerostructures business for total consideration of $210 million, including the assumption of a capital lease. The purchase price is subject to a post-closing working capital adjustment. The acquired business, which is now called Albany Aerostructures Composites LLC (“AAC”), will be part of Albany Engineered Composites (“AEC”) segment. The acquisition of AAC significantly increases the growth opportunity for the Company.</w:t>
      </w:r>
    </w:p>
    <w:p>
      <w:pPr>
        <w:spacing w:after="0" w:line="161"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Allocation of the respective purchase price to the fair value of net assets associated with the AAC acquisition will be performed upon completion of acquisition accounting valuation activities.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220" w:type="dxa"/>
            <w:vAlign w:val="bottom"/>
            <w:tcBorders>
              <w:top w:val="single" w:sz="8" w:color="auto"/>
            </w:tcBorders>
          </w:tcPr>
          <w:p>
            <w:pPr>
              <w:spacing w:after="0"/>
              <w:rPr>
                <w:sz w:val="16"/>
                <w:szCs w:val="16"/>
                <w:color w:val="auto"/>
              </w:rPr>
            </w:pPr>
          </w:p>
        </w:tc>
        <w:tc>
          <w:tcPr>
            <w:tcW w:w="51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510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March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510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52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510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$145,264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5100" w:type="dxa"/>
            <w:vAlign w:val="bottom"/>
            <w:vMerge w:val="continue"/>
          </w:tcPr>
          <w:p>
            <w:pPr>
              <w:spacing w:after="0"/>
              <w:rPr>
                <w:sz w:val="15"/>
                <w:szCs w:val="15"/>
                <w:color w:val="auto"/>
              </w:rPr>
            </w:pPr>
          </w:p>
        </w:tc>
        <w:tc>
          <w:tcPr>
            <w:tcW w:w="10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$158,494</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510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27,067</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22,830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5100" w:type="dxa"/>
            <w:vAlign w:val="bottom"/>
            <w:tcBorders>
              <w:bottom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$172,331</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$181,324</w:t>
            </w:r>
          </w:p>
        </w:tc>
        <w:tc>
          <w:tcPr>
            <w:tcW w:w="0" w:type="dxa"/>
            <w:vAlign w:val="bottom"/>
          </w:tcPr>
          <w:p>
            <w:pPr>
              <w:spacing w:after="0"/>
              <w:rPr>
                <w:sz w:val="1"/>
                <w:szCs w:val="1"/>
                <w:color w:val="auto"/>
              </w:rPr>
            </w:pPr>
          </w:p>
        </w:tc>
      </w:tr>
      <w:tr>
        <w:trPr>
          <w:trHeight w:val="195"/>
        </w:trPr>
        <w:tc>
          <w:tcPr>
            <w:tcW w:w="52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510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$37,139</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5100" w:type="dxa"/>
            <w:vAlign w:val="bottom"/>
            <w:vMerge w:val="continue"/>
          </w:tcPr>
          <w:p>
            <w:pPr>
              <w:spacing w:after="0"/>
              <w:rPr>
                <w:sz w:val="15"/>
                <w:szCs w:val="15"/>
                <w:color w:val="auto"/>
              </w:rPr>
            </w:pPr>
          </w:p>
        </w:tc>
        <w:tc>
          <w:tcPr>
            <w:tcW w:w="10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$35,689</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5100" w:type="dxa"/>
            <w:vAlign w:val="bottom"/>
          </w:tcPr>
          <w:p>
            <w:pPr>
              <w:jc w:val="right"/>
              <w:ind w:right="1370"/>
              <w:spacing w:after="0" w:line="202" w:lineRule="exact"/>
              <w:rPr>
                <w:sz w:val="20"/>
                <w:szCs w:val="20"/>
                <w:color w:val="auto"/>
              </w:rPr>
            </w:pPr>
            <w:r>
              <w:rPr>
                <w:rFonts w:ascii="Arial" w:cs="Arial" w:eastAsia="Arial" w:hAnsi="Arial"/>
                <w:sz w:val="18"/>
                <w:szCs w:val="18"/>
                <w:b w:val="1"/>
                <w:bCs w:val="1"/>
                <w:color w:val="auto"/>
              </w:rPr>
              <w:t>(3,706)</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51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(11,164)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(11,729)</w:t>
            </w:r>
          </w:p>
        </w:tc>
        <w:tc>
          <w:tcPr>
            <w:tcW w:w="0" w:type="dxa"/>
            <w:vAlign w:val="bottom"/>
          </w:tcPr>
          <w:p>
            <w:pPr>
              <w:spacing w:after="0"/>
              <w:rPr>
                <w:sz w:val="1"/>
                <w:szCs w:val="1"/>
                <w:color w:val="auto"/>
              </w:rPr>
            </w:pPr>
          </w:p>
        </w:tc>
      </w:tr>
      <w:tr>
        <w:trPr>
          <w:trHeight w:val="195"/>
        </w:trPr>
        <w:tc>
          <w:tcPr>
            <w:tcW w:w="524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w:t>
            </w:r>
          </w:p>
        </w:tc>
        <w:tc>
          <w:tcPr>
            <w:tcW w:w="5100" w:type="dxa"/>
            <w:vAlign w:val="bottom"/>
          </w:tcPr>
          <w:p>
            <w:pPr>
              <w:jc w:val="right"/>
              <w:ind w:right="1430"/>
              <w:spacing w:after="0" w:line="195" w:lineRule="exact"/>
              <w:rPr>
                <w:sz w:val="20"/>
                <w:szCs w:val="20"/>
                <w:color w:val="auto"/>
              </w:rPr>
            </w:pPr>
            <w:r>
              <w:rPr>
                <w:rFonts w:ascii="Arial" w:cs="Arial" w:eastAsia="Arial" w:hAnsi="Arial"/>
                <w:sz w:val="18"/>
                <w:szCs w:val="18"/>
                <w:b w:val="1"/>
                <w:bCs w:val="1"/>
                <w:color w:val="auto"/>
              </w:rPr>
              <w:t>22,269</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20,149</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5100" w:type="dxa"/>
            <w:vAlign w:val="bottom"/>
            <w:vMerge w:val="restart"/>
          </w:tcPr>
          <w:p>
            <w:pPr>
              <w:jc w:val="right"/>
              <w:ind w:right="1370"/>
              <w:spacing w:after="0"/>
              <w:rPr>
                <w:sz w:val="20"/>
                <w:szCs w:val="20"/>
                <w:color w:val="auto"/>
              </w:rPr>
            </w:pPr>
            <w:r>
              <w:rPr>
                <w:rFonts w:ascii="Arial" w:cs="Arial" w:eastAsia="Arial" w:hAnsi="Arial"/>
                <w:sz w:val="18"/>
                <w:szCs w:val="18"/>
                <w:b w:val="1"/>
                <w:bCs w:val="1"/>
                <w:color w:val="auto"/>
              </w:rPr>
              <w:t>(126)</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20" w:type="dxa"/>
            <w:vAlign w:val="bottom"/>
          </w:tcPr>
          <w:p>
            <w:pPr>
              <w:ind w:left="340"/>
              <w:spacing w:after="0" w:line="181" w:lineRule="exact"/>
              <w:rPr>
                <w:sz w:val="20"/>
                <w:szCs w:val="20"/>
                <w:color w:val="auto"/>
              </w:rPr>
            </w:pPr>
            <w:r>
              <w:rPr>
                <w:rFonts w:ascii="Arial" w:cs="Arial" w:eastAsia="Arial" w:hAnsi="Arial"/>
                <w:sz w:val="18"/>
                <w:szCs w:val="18"/>
                <w:color w:val="auto"/>
              </w:rPr>
              <w:t>Interest income</w:t>
            </w:r>
          </w:p>
        </w:tc>
        <w:tc>
          <w:tcPr>
            <w:tcW w:w="510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5100" w:type="dxa"/>
            <w:vAlign w:val="bottom"/>
          </w:tcPr>
          <w:p>
            <w:pPr>
              <w:jc w:val="right"/>
              <w:ind w:right="1430"/>
              <w:spacing w:after="0" w:line="202" w:lineRule="exact"/>
              <w:rPr>
                <w:sz w:val="20"/>
                <w:szCs w:val="20"/>
                <w:color w:val="auto"/>
              </w:rPr>
            </w:pPr>
            <w:r>
              <w:rPr>
                <w:rFonts w:ascii="Arial" w:cs="Arial" w:eastAsia="Arial" w:hAnsi="Arial"/>
                <w:sz w:val="18"/>
                <w:szCs w:val="18"/>
                <w:b w:val="1"/>
                <w:bCs w:val="1"/>
                <w:color w:val="auto"/>
              </w:rPr>
              <w:t>2,364</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income, net</w:t>
            </w:r>
          </w:p>
        </w:tc>
        <w:tc>
          <w:tcPr>
            <w:tcW w:w="51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(328)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5100" w:type="dxa"/>
            <w:vAlign w:val="bottom"/>
            <w:tcBorders>
              <w:bottom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$20,359</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$20,758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648"/>
        <w:spacing w:after="0"/>
        <w:rPr>
          <w:sz w:val="20"/>
          <w:szCs w:val="20"/>
          <w:color w:val="auto"/>
        </w:rPr>
      </w:pPr>
      <w:r>
        <w:rPr>
          <w:rFonts w:ascii="Arial" w:cs="Arial" w:eastAsia="Arial" w:hAnsi="Arial"/>
          <w:sz w:val="18"/>
          <w:szCs w:val="18"/>
          <w:color w:val="auto"/>
        </w:rPr>
        <w:t>There were no material changes in the total assets of the reportable segments during this period. Total capital expenditures for the first quarter of 2016 were $10.9 million, including amounts that were included in Accounts payable. In the Consolidated Statements of Cash Flows, capital expenditures and accounts payable were each adjusted by $2.9 million to reflect the non-cash nature of that amount.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2016, the Company recorded expenses of $1.6 million for acquisition related costs incurred during the period.</w:t>
      </w:r>
    </w:p>
    <w:p>
      <w:pPr>
        <w:spacing w:after="0"/>
        <w:rPr>
          <w:sz w:val="20"/>
          <w:szCs w:val="20"/>
          <w:color w:val="auto"/>
        </w:rPr>
      </w:pPr>
      <w:r>
        <w:rPr>
          <w:rFonts w:ascii="Arial" w:cs="Arial" w:eastAsia="Arial" w:hAnsi="Arial"/>
          <w:sz w:val="18"/>
          <w:szCs w:val="18"/>
          <w:color w:val="auto"/>
        </w:rPr>
        <w:t>These costs are included in Selling, general and administrative expenses of the AEC segment.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220" w:type="dxa"/>
            <w:vAlign w:val="bottom"/>
            <w:tcBorders>
              <w:top w:val="single" w:sz="8" w:color="auto"/>
            </w:tcBorders>
          </w:tcPr>
          <w:p>
            <w:pPr>
              <w:spacing w:after="0"/>
              <w:rPr>
                <w:sz w:val="16"/>
                <w:szCs w:val="16"/>
                <w:color w:val="auto"/>
              </w:rPr>
            </w:pPr>
          </w:p>
        </w:tc>
        <w:tc>
          <w:tcPr>
            <w:tcW w:w="51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5100" w:type="dxa"/>
            <w:vAlign w:val="bottom"/>
            <w:tcBorders>
              <w:bottom w:val="single" w:sz="8" w:color="auto"/>
            </w:tcBorders>
          </w:tcPr>
          <w:p>
            <w:pPr>
              <w:jc w:val="right"/>
              <w:ind w:right="1910"/>
              <w:spacing w:after="0" w:line="196" w:lineRule="exact"/>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52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Restructuring expenses, net</w:t>
            </w:r>
          </w:p>
        </w:tc>
        <w:tc>
          <w:tcPr>
            <w:tcW w:w="510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$698</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5100" w:type="dxa"/>
            <w:vAlign w:val="bottom"/>
            <w:vMerge w:val="continue"/>
          </w:tcPr>
          <w:p>
            <w:pPr>
              <w:spacing w:after="0"/>
              <w:rPr>
                <w:sz w:val="15"/>
                <w:szCs w:val="15"/>
                <w:color w:val="auto"/>
              </w:rPr>
            </w:pPr>
          </w:p>
        </w:tc>
        <w:tc>
          <w:tcPr>
            <w:tcW w:w="10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5100" w:type="dxa"/>
            <w:vAlign w:val="bottom"/>
          </w:tcPr>
          <w:p>
            <w:pPr>
              <w:jc w:val="right"/>
              <w:ind w:right="14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51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(19)</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5100" w:type="dxa"/>
            <w:vAlign w:val="bottom"/>
            <w:tcBorders>
              <w:bottom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$679</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During the first quarter of 2016 the Company announced the initiation of discussions with the employee Works Council regarding a proposal to discontinue R&amp;D activities at its Machine Clothing production facility in Sélestat, France. The Company is unable to determine the restructuring costs associated with this proposal. See Note 5 for additional information.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Machine Clothing restructuring costs in 2016 and 2015 were principally related to ongoing plant closure costs in Göppingen, Germany.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89"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203"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periodic benefit plan cost for the three months ended March 31, 2016 and 2015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0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gridSpan w:val="2"/>
          </w:tcPr>
          <w:p>
            <w:pPr>
              <w:jc w:val="right"/>
              <w:ind w:right="1110"/>
              <w:spacing w:after="0" w:line="194" w:lineRule="exact"/>
              <w:rPr>
                <w:sz w:val="20"/>
                <w:szCs w:val="20"/>
                <w:color w:val="auto"/>
              </w:rPr>
            </w:pPr>
            <w:r>
              <w:rPr>
                <w:rFonts w:ascii="Arial" w:cs="Arial" w:eastAsia="Arial" w:hAnsi="Arial"/>
                <w:sz w:val="18"/>
                <w:szCs w:val="18"/>
                <w:b w:val="1"/>
                <w:bCs w:val="1"/>
                <w:color w:val="auto"/>
              </w:rPr>
              <w:t>Pension plans</w:t>
            </w:r>
          </w:p>
        </w:tc>
        <w:tc>
          <w:tcPr>
            <w:tcW w:w="3120" w:type="dxa"/>
            <w:vAlign w:val="bottom"/>
            <w:tcBorders>
              <w:top w:val="single" w:sz="8" w:color="auto"/>
            </w:tcBorders>
            <w:gridSpan w:val="2"/>
          </w:tcPr>
          <w:p>
            <w:pPr>
              <w:jc w:val="right"/>
              <w:ind w:right="170"/>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25"/>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2016</w:t>
            </w: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17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4300" w:type="dxa"/>
            <w:vAlign w:val="bottom"/>
          </w:tcPr>
          <w:p>
            <w:pPr>
              <w:spacing w:after="0" w:line="195" w:lineRule="exact"/>
              <w:rPr>
                <w:sz w:val="20"/>
                <w:szCs w:val="20"/>
                <w:color w:val="auto"/>
              </w:rPr>
            </w:pPr>
            <w:r>
              <w:rPr>
                <w:rFonts w:ascii="Arial" w:cs="Arial" w:eastAsia="Arial" w:hAnsi="Arial"/>
                <w:sz w:val="18"/>
                <w:szCs w:val="18"/>
                <w:color w:val="auto"/>
              </w:rPr>
              <w:t>Components of net periodic benefit cost:</w:t>
            </w:r>
          </w:p>
        </w:tc>
        <w:tc>
          <w:tcPr>
            <w:tcW w:w="23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$650</w:t>
            </w:r>
          </w:p>
        </w:tc>
        <w:tc>
          <w:tcPr>
            <w:tcW w:w="1620" w:type="dxa"/>
            <w:vAlign w:val="bottom"/>
          </w:tcPr>
          <w:p>
            <w:pPr>
              <w:spacing w:after="0"/>
              <w:rPr>
                <w:sz w:val="16"/>
                <w:szCs w:val="16"/>
                <w:color w:val="auto"/>
              </w:rPr>
            </w:pPr>
          </w:p>
        </w:tc>
        <w:tc>
          <w:tcPr>
            <w:tcW w:w="17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$63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0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380" w:type="dxa"/>
            <w:vAlign w:val="bottom"/>
            <w:vMerge w:val="continue"/>
          </w:tcPr>
          <w:p>
            <w:pPr>
              <w:spacing w:after="0"/>
              <w:rPr>
                <w:sz w:val="15"/>
                <w:szCs w:val="15"/>
                <w:color w:val="auto"/>
              </w:rPr>
            </w:pPr>
          </w:p>
        </w:tc>
        <w:tc>
          <w:tcPr>
            <w:tcW w:w="162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$790</w:t>
            </w:r>
          </w:p>
        </w:tc>
        <w:tc>
          <w:tcPr>
            <w:tcW w:w="1780" w:type="dxa"/>
            <w:vAlign w:val="bottom"/>
            <w:vMerge w:val="continue"/>
          </w:tcPr>
          <w:p>
            <w:pPr>
              <w:spacing w:after="0"/>
              <w:rPr>
                <w:sz w:val="15"/>
                <w:szCs w:val="15"/>
                <w:color w:val="auto"/>
              </w:rPr>
            </w:pPr>
          </w:p>
        </w:tc>
        <w:tc>
          <w:tcPr>
            <w:tcW w:w="13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38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1,994</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2,013</w:t>
            </w:r>
          </w:p>
        </w:tc>
        <w:tc>
          <w:tcPr>
            <w:tcW w:w="17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611</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3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(2,207)</w:t>
            </w:r>
          </w:p>
        </w:tc>
        <w:tc>
          <w:tcPr>
            <w:tcW w:w="16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(2,235)</w:t>
            </w:r>
          </w:p>
        </w:tc>
        <w:tc>
          <w:tcPr>
            <w:tcW w:w="17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38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9</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13</w:t>
            </w:r>
          </w:p>
        </w:tc>
        <w:tc>
          <w:tcPr>
            <w:tcW w:w="17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(1,122)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5"/>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actuarial loss</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573</w:t>
            </w: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670</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705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3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$1,019</w:t>
            </w:r>
          </w:p>
        </w:tc>
        <w:tc>
          <w:tcPr>
            <w:tcW w:w="16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$1,251</w:t>
            </w:r>
          </w:p>
        </w:tc>
        <w:tc>
          <w:tcPr>
            <w:tcW w:w="17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$257</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93"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During the first quarter of 2016 the Company announced the initiation of discussions with the employee Works Council regarding a proposal to discontinue R&amp;D activities at its Machine Clothing production facility in Sélestat, France. The proposed measures would result in the elimination of 25 positions and the departure of 22 employees. The consultations are subject to applicable law, and until they are concluded the Company is unable to determine the restructuring costs associated with this proposal.</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Machine Clothing restructuring costs in 2016 and 2015 were principally related to ongoing plant closure costs in Göppingen, Germany.</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200" w:type="dxa"/>
            <w:vAlign w:val="bottom"/>
            <w:tcBorders>
              <w:top w:val="single" w:sz="8" w:color="auto"/>
            </w:tcBorders>
          </w:tcPr>
          <w:p>
            <w:pPr>
              <w:spacing w:after="0"/>
              <w:rPr>
                <w:sz w:val="16"/>
                <w:szCs w:val="16"/>
                <w:color w:val="auto"/>
              </w:rPr>
            </w:pPr>
          </w:p>
        </w:tc>
        <w:tc>
          <w:tcPr>
            <w:tcW w:w="620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4220" w:type="dxa"/>
            <w:vAlign w:val="bottom"/>
            <w:tcBorders>
              <w:bottom w:val="single" w:sz="8" w:color="auto"/>
            </w:tcBorders>
          </w:tcPr>
          <w:p>
            <w:pPr>
              <w:jc w:val="center"/>
              <w:ind w:left="1530"/>
              <w:spacing w:after="0"/>
              <w:rPr>
                <w:sz w:val="20"/>
                <w:szCs w:val="20"/>
                <w:color w:val="auto"/>
              </w:rPr>
            </w:pPr>
            <w:r>
              <w:rPr>
                <w:rFonts w:ascii="Arial" w:cs="Arial" w:eastAsia="Arial" w:hAnsi="Arial"/>
                <w:sz w:val="18"/>
                <w:szCs w:val="18"/>
                <w:b w:val="1"/>
                <w:bCs w:val="1"/>
                <w:color w:val="auto"/>
                <w:w w:val="99"/>
              </w:rPr>
              <w:t>2016</w:t>
            </w:r>
          </w:p>
        </w:tc>
        <w:tc>
          <w:tcPr>
            <w:tcW w:w="19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73"/>
        </w:trPr>
        <w:tc>
          <w:tcPr>
            <w:tcW w:w="5220" w:type="dxa"/>
            <w:vAlign w:val="bottom"/>
            <w:gridSpan w:val="2"/>
          </w:tcPr>
          <w:p>
            <w:pPr>
              <w:spacing w:after="0" w:line="173" w:lineRule="exact"/>
              <w:rPr>
                <w:sz w:val="20"/>
                <w:szCs w:val="20"/>
                <w:color w:val="auto"/>
              </w:rPr>
            </w:pPr>
            <w:r>
              <w:rPr>
                <w:rFonts w:ascii="Arial" w:cs="Arial" w:eastAsia="Arial" w:hAnsi="Arial"/>
                <w:sz w:val="18"/>
                <w:szCs w:val="18"/>
                <w:color w:val="auto"/>
              </w:rPr>
              <w:t>Machine Clothing</w:t>
            </w:r>
          </w:p>
        </w:tc>
        <w:tc>
          <w:tcPr>
            <w:tcW w:w="422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$698</w:t>
            </w:r>
          </w:p>
        </w:tc>
        <w:tc>
          <w:tcPr>
            <w:tcW w:w="19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03"/>
        </w:trPr>
        <w:tc>
          <w:tcPr>
            <w:tcW w:w="52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2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2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4220" w:type="dxa"/>
            <w:vAlign w:val="bottom"/>
          </w:tcPr>
          <w:p>
            <w:pPr>
              <w:jc w:val="right"/>
              <w:ind w:right="470"/>
              <w:spacing w:after="0"/>
              <w:rPr>
                <w:sz w:val="20"/>
                <w:szCs w:val="20"/>
                <w:color w:val="auto"/>
              </w:rPr>
            </w:pPr>
            <w:r>
              <w:rPr>
                <w:rFonts w:ascii="Arial" w:cs="Arial" w:eastAsia="Arial" w:hAnsi="Arial"/>
                <w:sz w:val="18"/>
                <w:szCs w:val="18"/>
                <w:b w:val="1"/>
                <w:bCs w:val="1"/>
                <w:color w:val="auto"/>
              </w:rPr>
              <w:t>(19)</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42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$679</w:t>
            </w:r>
          </w:p>
        </w:tc>
        <w:tc>
          <w:tcPr>
            <w:tcW w:w="19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385"/>
        </w:trPr>
        <w:tc>
          <w:tcPr>
            <w:tcW w:w="20" w:type="dxa"/>
            <w:vAlign w:val="bottom"/>
            <w:vMerge w:val="restart"/>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200" w:type="dxa"/>
            <w:vAlign w:val="bottom"/>
          </w:tcPr>
          <w:p>
            <w:pPr>
              <w:spacing w:after="0" w:line="173" w:lineRule="exact"/>
              <w:rPr>
                <w:sz w:val="20"/>
                <w:szCs w:val="20"/>
                <w:color w:val="auto"/>
              </w:rPr>
            </w:pPr>
            <w:r>
              <w:rPr>
                <w:rFonts w:ascii="Arial" w:cs="Arial" w:eastAsia="Arial" w:hAnsi="Arial"/>
                <w:sz w:val="18"/>
                <w:szCs w:val="18"/>
                <w:b w:val="1"/>
                <w:bCs w:val="1"/>
                <w:color w:val="auto"/>
              </w:rPr>
              <w:t>Three months ended March 31,2016</w:t>
            </w:r>
          </w:p>
        </w:tc>
        <w:tc>
          <w:tcPr>
            <w:tcW w:w="4220" w:type="dxa"/>
            <w:vAlign w:val="bottom"/>
          </w:tcPr>
          <w:p>
            <w:pPr>
              <w:jc w:val="center"/>
              <w:ind w:left="1510"/>
              <w:spacing w:after="0" w:line="173" w:lineRule="exact"/>
              <w:rPr>
                <w:sz w:val="20"/>
                <w:szCs w:val="20"/>
                <w:color w:val="auto"/>
              </w:rPr>
            </w:pPr>
            <w:r>
              <w:rPr>
                <w:rFonts w:ascii="Arial" w:cs="Arial" w:eastAsia="Arial" w:hAnsi="Arial"/>
                <w:sz w:val="18"/>
                <w:szCs w:val="18"/>
                <w:b w:val="1"/>
                <w:bCs w:val="1"/>
                <w:color w:val="auto"/>
                <w:w w:val="98"/>
              </w:rPr>
              <w:t>Total restructuring</w:t>
            </w:r>
          </w:p>
        </w:tc>
        <w:tc>
          <w:tcPr>
            <w:tcW w:w="1980" w:type="dxa"/>
            <w:vAlign w:val="bottom"/>
          </w:tcPr>
          <w:p>
            <w:pPr>
              <w:jc w:val="center"/>
              <w:ind w:left="350"/>
              <w:spacing w:after="0" w:line="173" w:lineRule="exact"/>
              <w:rPr>
                <w:sz w:val="20"/>
                <w:szCs w:val="20"/>
                <w:color w:val="auto"/>
              </w:rPr>
            </w:pPr>
            <w:r>
              <w:rPr>
                <w:rFonts w:ascii="Arial" w:cs="Arial" w:eastAsia="Arial" w:hAnsi="Arial"/>
                <w:sz w:val="18"/>
                <w:szCs w:val="18"/>
                <w:b w:val="1"/>
                <w:bCs w:val="1"/>
                <w:color w:val="auto"/>
                <w:w w:val="98"/>
              </w:rPr>
              <w:t>Termination and</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42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costs incurred</w:t>
            </w: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other costs</w:t>
            </w:r>
          </w:p>
        </w:tc>
        <w:tc>
          <w:tcPr>
            <w:tcW w:w="0" w:type="dxa"/>
            <w:vAlign w:val="bottom"/>
          </w:tcPr>
          <w:p>
            <w:pPr>
              <w:spacing w:after="0"/>
              <w:rPr>
                <w:sz w:val="1"/>
                <w:szCs w:val="1"/>
                <w:color w:val="auto"/>
              </w:rPr>
            </w:pPr>
          </w:p>
        </w:tc>
      </w:tr>
      <w:tr>
        <w:trPr>
          <w:trHeight w:val="195"/>
        </w:trPr>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rPr>
              <w:t>Machine Clothing</w:t>
            </w:r>
          </w:p>
        </w:tc>
        <w:tc>
          <w:tcPr>
            <w:tcW w:w="42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$698</w:t>
            </w:r>
          </w:p>
        </w:tc>
        <w:tc>
          <w:tcPr>
            <w:tcW w:w="1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3"/>
        </w:trPr>
        <w:tc>
          <w:tcPr>
            <w:tcW w:w="52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2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Corporate Expenses</w:t>
            </w:r>
          </w:p>
        </w:tc>
        <w:tc>
          <w:tcPr>
            <w:tcW w:w="422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(19)</w:t>
            </w: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42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$679</w:t>
            </w:r>
          </w:p>
        </w:tc>
        <w:tc>
          <w:tcPr>
            <w:tcW w:w="1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372"/>
        </w:trPr>
        <w:tc>
          <w:tcPr>
            <w:tcW w:w="20" w:type="dxa"/>
            <w:vAlign w:val="bottom"/>
            <w:vMerge w:val="restart"/>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200" w:type="dxa"/>
            <w:vAlign w:val="bottom"/>
          </w:tcPr>
          <w:p>
            <w:pPr>
              <w:spacing w:after="0" w:line="173" w:lineRule="exact"/>
              <w:rPr>
                <w:sz w:val="20"/>
                <w:szCs w:val="20"/>
                <w:color w:val="auto"/>
              </w:rPr>
            </w:pPr>
            <w:r>
              <w:rPr>
                <w:rFonts w:ascii="Arial" w:cs="Arial" w:eastAsia="Arial" w:hAnsi="Arial"/>
                <w:sz w:val="18"/>
                <w:szCs w:val="18"/>
                <w:b w:val="1"/>
                <w:bCs w:val="1"/>
                <w:color w:val="auto"/>
              </w:rPr>
              <w:t>Three months ended March 31, 2015</w:t>
            </w:r>
          </w:p>
        </w:tc>
        <w:tc>
          <w:tcPr>
            <w:tcW w:w="4220" w:type="dxa"/>
            <w:vAlign w:val="bottom"/>
          </w:tcPr>
          <w:p>
            <w:pPr>
              <w:jc w:val="center"/>
              <w:ind w:left="1510"/>
              <w:spacing w:after="0" w:line="173" w:lineRule="exact"/>
              <w:rPr>
                <w:sz w:val="20"/>
                <w:szCs w:val="20"/>
                <w:color w:val="auto"/>
              </w:rPr>
            </w:pPr>
            <w:r>
              <w:rPr>
                <w:rFonts w:ascii="Arial" w:cs="Arial" w:eastAsia="Arial" w:hAnsi="Arial"/>
                <w:sz w:val="18"/>
                <w:szCs w:val="18"/>
                <w:b w:val="1"/>
                <w:bCs w:val="1"/>
                <w:color w:val="auto"/>
                <w:w w:val="98"/>
              </w:rPr>
              <w:t>Total restructuring</w:t>
            </w:r>
          </w:p>
        </w:tc>
        <w:tc>
          <w:tcPr>
            <w:tcW w:w="1980" w:type="dxa"/>
            <w:vAlign w:val="bottom"/>
          </w:tcPr>
          <w:p>
            <w:pPr>
              <w:jc w:val="center"/>
              <w:ind w:left="350"/>
              <w:spacing w:after="0" w:line="173" w:lineRule="exact"/>
              <w:rPr>
                <w:sz w:val="20"/>
                <w:szCs w:val="20"/>
                <w:color w:val="auto"/>
              </w:rPr>
            </w:pPr>
            <w:r>
              <w:rPr>
                <w:rFonts w:ascii="Arial" w:cs="Arial" w:eastAsia="Arial" w:hAnsi="Arial"/>
                <w:sz w:val="18"/>
                <w:szCs w:val="18"/>
                <w:b w:val="1"/>
                <w:bCs w:val="1"/>
                <w:color w:val="auto"/>
                <w:w w:val="98"/>
              </w:rPr>
              <w:t>Termination and</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42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costs incurred</w:t>
            </w: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other costs</w:t>
            </w:r>
          </w:p>
        </w:tc>
        <w:tc>
          <w:tcPr>
            <w:tcW w:w="0" w:type="dxa"/>
            <w:vAlign w:val="bottom"/>
          </w:tcPr>
          <w:p>
            <w:pPr>
              <w:spacing w:after="0"/>
              <w:rPr>
                <w:sz w:val="1"/>
                <w:szCs w:val="1"/>
                <w:color w:val="auto"/>
              </w:rPr>
            </w:pPr>
          </w:p>
        </w:tc>
      </w:tr>
      <w:tr>
        <w:trPr>
          <w:trHeight w:val="195"/>
        </w:trPr>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rPr>
              <w:t>Machine Clothing</w:t>
            </w:r>
          </w:p>
        </w:tc>
        <w:tc>
          <w:tcPr>
            <w:tcW w:w="42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$9,001</w:t>
            </w:r>
          </w:p>
        </w:tc>
        <w:tc>
          <w:tcPr>
            <w:tcW w:w="1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03"/>
        </w:trPr>
        <w:tc>
          <w:tcPr>
            <w:tcW w:w="52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2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Corporate Expenses</w:t>
            </w:r>
          </w:p>
        </w:tc>
        <w:tc>
          <w:tcPr>
            <w:tcW w:w="422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42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$9,001</w:t>
            </w:r>
          </w:p>
        </w:tc>
        <w:tc>
          <w:tcPr>
            <w:tcW w:w="1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We expect that approximately $5.6 million of Accrued liabilities for restructuring at March 31, 2016 will be paid within one year and approximately $ 2.7 million will be paid in the following year. The table below presents the year-to-date changes in restructuring liabilities for 2016 and 2015, all of which related to termination costs: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0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jc w:val="center"/>
              <w:ind w:left="870"/>
              <w:spacing w:after="0" w:line="194" w:lineRule="exact"/>
              <w:rPr>
                <w:sz w:val="20"/>
                <w:szCs w:val="20"/>
                <w:color w:val="auto"/>
              </w:rPr>
            </w:pPr>
            <w:r>
              <w:rPr>
                <w:rFonts w:ascii="Arial" w:cs="Arial" w:eastAsia="Arial" w:hAnsi="Arial"/>
                <w:sz w:val="18"/>
                <w:szCs w:val="18"/>
                <w:b w:val="1"/>
                <w:bCs w:val="1"/>
                <w:color w:val="auto"/>
              </w:rPr>
              <w:t>December 31,</w:t>
            </w:r>
          </w:p>
        </w:tc>
        <w:tc>
          <w:tcPr>
            <w:tcW w:w="1760" w:type="dxa"/>
            <w:vAlign w:val="bottom"/>
            <w:tcBorders>
              <w:top w:val="single" w:sz="8" w:color="auto"/>
            </w:tcBorders>
          </w:tcPr>
          <w:p>
            <w:pPr>
              <w:jc w:val="center"/>
              <w:ind w:right="10"/>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3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Currency</w:t>
            </w:r>
          </w:p>
        </w:tc>
        <w:tc>
          <w:tcPr>
            <w:tcW w:w="1260" w:type="dxa"/>
            <w:vAlign w:val="bottom"/>
            <w:tcBorders>
              <w:top w:val="single" w:sz="8" w:color="auto"/>
            </w:tcBorders>
          </w:tcPr>
          <w:p>
            <w:pPr>
              <w:jc w:val="right"/>
              <w:ind w:right="190"/>
              <w:spacing w:after="0" w:line="194" w:lineRule="exact"/>
              <w:rPr>
                <w:sz w:val="20"/>
                <w:szCs w:val="20"/>
                <w:color w:val="auto"/>
              </w:rPr>
            </w:pPr>
            <w:r>
              <w:rPr>
                <w:rFonts w:ascii="Arial" w:cs="Arial" w:eastAsia="Arial" w:hAnsi="Arial"/>
                <w:sz w:val="18"/>
                <w:szCs w:val="18"/>
                <w:b w:val="1"/>
                <w:bCs w:val="1"/>
                <w:color w:val="auto"/>
              </w:rPr>
              <w:t>March 31</w:t>
            </w:r>
          </w:p>
        </w:tc>
      </w:tr>
      <w:tr>
        <w:trPr>
          <w:trHeight w:val="22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8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b w:val="1"/>
                <w:bCs w:val="1"/>
                <w:color w:val="auto"/>
                <w:w w:val="99"/>
              </w:rPr>
              <w:t>2015</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charges accrued</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Payments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translation /other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2016</w:t>
            </w:r>
          </w:p>
        </w:tc>
      </w:tr>
      <w:tr>
        <w:trPr>
          <w:trHeight w:val="399"/>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$10,177</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$679</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($2,573)</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$39</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$8,322</w:t>
            </w:r>
          </w:p>
        </w:tc>
      </w:tr>
      <w:tr>
        <w:trPr>
          <w:trHeight w:val="196"/>
        </w:trPr>
        <w:tc>
          <w:tcPr>
            <w:tcW w:w="29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3"/>
        </w:trPr>
        <w:tc>
          <w:tcPr>
            <w:tcW w:w="2900" w:type="dxa"/>
            <w:vAlign w:val="bottom"/>
          </w:tcPr>
          <w:p>
            <w:pPr>
              <w:spacing w:after="0"/>
              <w:rPr>
                <w:sz w:val="15"/>
                <w:szCs w:val="15"/>
                <w:color w:val="auto"/>
              </w:rPr>
            </w:pPr>
          </w:p>
        </w:tc>
        <w:tc>
          <w:tcPr>
            <w:tcW w:w="2380" w:type="dxa"/>
            <w:vAlign w:val="bottom"/>
          </w:tcPr>
          <w:p>
            <w:pPr>
              <w:jc w:val="center"/>
              <w:ind w:left="870"/>
              <w:spacing w:after="0" w:line="173" w:lineRule="exact"/>
              <w:rPr>
                <w:sz w:val="20"/>
                <w:szCs w:val="20"/>
                <w:color w:val="auto"/>
              </w:rPr>
            </w:pPr>
            <w:r>
              <w:rPr>
                <w:rFonts w:ascii="Arial" w:cs="Arial" w:eastAsia="Arial" w:hAnsi="Arial"/>
                <w:sz w:val="18"/>
                <w:szCs w:val="18"/>
                <w:b w:val="1"/>
                <w:bCs w:val="1"/>
                <w:color w:val="auto"/>
              </w:rPr>
              <w:t>December 31,</w:t>
            </w:r>
          </w:p>
        </w:tc>
        <w:tc>
          <w:tcPr>
            <w:tcW w:w="1760" w:type="dxa"/>
            <w:vAlign w:val="bottom"/>
          </w:tcPr>
          <w:p>
            <w:pPr>
              <w:jc w:val="center"/>
              <w:ind w:right="10"/>
              <w:spacing w:after="0" w:line="173" w:lineRule="exact"/>
              <w:rPr>
                <w:sz w:val="20"/>
                <w:szCs w:val="20"/>
                <w:color w:val="auto"/>
              </w:rPr>
            </w:pPr>
            <w:r>
              <w:rPr>
                <w:rFonts w:ascii="Arial" w:cs="Arial" w:eastAsia="Arial" w:hAnsi="Arial"/>
                <w:sz w:val="18"/>
                <w:szCs w:val="18"/>
                <w:b w:val="1"/>
                <w:bCs w:val="1"/>
                <w:color w:val="auto"/>
                <w:w w:val="99"/>
              </w:rPr>
              <w:t>Restructuring</w:t>
            </w:r>
          </w:p>
        </w:tc>
        <w:tc>
          <w:tcPr>
            <w:tcW w:w="1340" w:type="dxa"/>
            <w:vAlign w:val="bottom"/>
          </w:tcPr>
          <w:p>
            <w:pPr>
              <w:spacing w:after="0"/>
              <w:rPr>
                <w:sz w:val="15"/>
                <w:szCs w:val="15"/>
                <w:color w:val="auto"/>
              </w:rPr>
            </w:pPr>
          </w:p>
        </w:tc>
        <w:tc>
          <w:tcPr>
            <w:tcW w:w="17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8"/>
              </w:rPr>
              <w:t>Currency</w:t>
            </w:r>
          </w:p>
        </w:tc>
        <w:tc>
          <w:tcPr>
            <w:tcW w:w="12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March 31,</w:t>
            </w:r>
          </w:p>
        </w:tc>
      </w:tr>
      <w:tr>
        <w:trPr>
          <w:trHeight w:val="22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8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b w:val="1"/>
                <w:bCs w:val="1"/>
                <w:color w:val="auto"/>
                <w:w w:val="99"/>
              </w:rPr>
              <w:t>2014</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charges accrued</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Payments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translation /other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2015</w:t>
            </w:r>
          </w:p>
        </w:tc>
      </w:tr>
      <w:tr>
        <w:trPr>
          <w:trHeight w:val="399"/>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$1,874</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$9,001</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($2,122)</w:t>
            </w: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($228)</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$8,525</w:t>
            </w:r>
          </w:p>
        </w:tc>
      </w:tr>
      <w:tr>
        <w:trPr>
          <w:trHeight w:val="588"/>
        </w:trPr>
        <w:tc>
          <w:tcPr>
            <w:tcW w:w="2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tcPr>
          <w:p>
            <w:pPr>
              <w:jc w:val="right"/>
              <w:ind w:right="1150"/>
              <w:spacing w:after="0"/>
              <w:rPr>
                <w:sz w:val="20"/>
                <w:szCs w:val="20"/>
                <w:color w:val="auto"/>
              </w:rPr>
            </w:pPr>
            <w:r>
              <w:rPr>
                <w:rFonts w:ascii="Arial" w:cs="Arial" w:eastAsia="Arial" w:hAnsi="Arial"/>
                <w:sz w:val="18"/>
                <w:szCs w:val="18"/>
                <w:color w:val="auto"/>
              </w:rPr>
              <w:t>10</w:t>
            </w: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2"/>
        </w:trPr>
        <w:tc>
          <w:tcPr>
            <w:tcW w:w="29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49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6. Other Income,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(income)/expense, net 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top w:val="single" w:sz="8" w:color="auto"/>
            </w:tcBorders>
          </w:tcPr>
          <w:p>
            <w:pPr>
              <w:spacing w:after="0"/>
              <w:rPr>
                <w:sz w:val="16"/>
                <w:szCs w:val="16"/>
                <w:color w:val="auto"/>
              </w:rPr>
            </w:pPr>
          </w:p>
        </w:tc>
      </w:tr>
      <w:tr>
        <w:trPr>
          <w:trHeight w:val="203"/>
        </w:trPr>
        <w:tc>
          <w:tcPr>
            <w:tcW w:w="5980" w:type="dxa"/>
            <w:vAlign w:val="bottom"/>
          </w:tcPr>
          <w:p>
            <w:pPr>
              <w:spacing w:after="0"/>
              <w:rPr>
                <w:sz w:val="17"/>
                <w:szCs w:val="17"/>
                <w:color w:val="auto"/>
              </w:rPr>
            </w:pPr>
          </w:p>
        </w:tc>
        <w:tc>
          <w:tcPr>
            <w:tcW w:w="43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March 31,</w:t>
            </w:r>
          </w:p>
        </w:tc>
        <w:tc>
          <w:tcPr>
            <w:tcW w:w="1080" w:type="dxa"/>
            <w:vAlign w:val="bottom"/>
          </w:tcPr>
          <w:p>
            <w:pPr>
              <w:spacing w:after="0"/>
              <w:rPr>
                <w:sz w:val="17"/>
                <w:szCs w:val="17"/>
                <w:color w:val="auto"/>
              </w:rPr>
            </w:pPr>
          </w:p>
        </w:tc>
      </w:tr>
      <w:tr>
        <w:trPr>
          <w:trHeight w:val="225"/>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36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Currency transaction gains</w:t>
            </w:r>
          </w:p>
        </w:tc>
        <w:tc>
          <w:tcPr>
            <w:tcW w:w="4360" w:type="dxa"/>
            <w:vAlign w:val="bottom"/>
          </w:tcPr>
          <w:p>
            <w:pPr>
              <w:jc w:val="right"/>
              <w:ind w:right="1370"/>
              <w:spacing w:after="0" w:line="195" w:lineRule="exact"/>
              <w:rPr>
                <w:sz w:val="20"/>
                <w:szCs w:val="20"/>
                <w:color w:val="auto"/>
              </w:rPr>
            </w:pPr>
            <w:r>
              <w:rPr>
                <w:rFonts w:ascii="Arial" w:cs="Arial" w:eastAsia="Arial" w:hAnsi="Arial"/>
                <w:sz w:val="18"/>
                <w:szCs w:val="18"/>
                <w:color w:val="auto"/>
              </w:rPr>
              <w:t>($479)</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($2,427)</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4360" w:type="dxa"/>
            <w:vAlign w:val="bottom"/>
          </w:tcPr>
          <w:p>
            <w:pPr>
              <w:jc w:val="right"/>
              <w:ind w:right="1430"/>
              <w:spacing w:after="0" w:line="202" w:lineRule="exact"/>
              <w:rPr>
                <w:sz w:val="20"/>
                <w:szCs w:val="20"/>
                <w:color w:val="auto"/>
              </w:rPr>
            </w:pPr>
            <w:r>
              <w:rPr>
                <w:rFonts w:ascii="Arial" w:cs="Arial" w:eastAsia="Arial" w:hAnsi="Arial"/>
                <w:sz w:val="18"/>
                <w:szCs w:val="18"/>
                <w:color w:val="auto"/>
              </w:rPr>
              <w:t>152</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311</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4360" w:type="dxa"/>
            <w:vAlign w:val="bottom"/>
          </w:tcPr>
          <w:p>
            <w:pPr>
              <w:jc w:val="right"/>
              <w:ind w:right="143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r>
      <w:tr>
        <w:trPr>
          <w:trHeight w:val="203"/>
        </w:trPr>
        <w:tc>
          <w:tcPr>
            <w:tcW w:w="5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Other</w:t>
            </w:r>
          </w:p>
        </w:tc>
        <w:tc>
          <w:tcPr>
            <w:tcW w:w="4360" w:type="dxa"/>
            <w:vAlign w:val="bottom"/>
            <w:tcBorders>
              <w:bottom w:val="single" w:sz="8" w:color="auto"/>
            </w:tcBorders>
          </w:tcPr>
          <w:p>
            <w:pPr>
              <w:jc w:val="right"/>
              <w:ind w:right="1370"/>
              <w:spacing w:after="0" w:line="203" w:lineRule="exact"/>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w:t>
            </w: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360" w:type="dxa"/>
            <w:vAlign w:val="bottom"/>
            <w:tcBorders>
              <w:bottom w:val="single" w:sz="8" w:color="auto"/>
            </w:tcBorders>
          </w:tcPr>
          <w:p>
            <w:pPr>
              <w:jc w:val="right"/>
              <w:ind w:right="1370"/>
              <w:spacing w:after="0" w:line="196" w:lineRule="exact"/>
              <w:rPr>
                <w:sz w:val="20"/>
                <w:szCs w:val="20"/>
                <w:color w:val="auto"/>
              </w:rPr>
            </w:pPr>
            <w:r>
              <w:rPr>
                <w:rFonts w:ascii="Arial" w:cs="Arial" w:eastAsia="Arial" w:hAnsi="Arial"/>
                <w:sz w:val="18"/>
                <w:szCs w:val="18"/>
                <w:color w:val="auto"/>
              </w:rPr>
              <w:t>($328)</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($3,285)</w:t>
            </w:r>
          </w:p>
        </w:tc>
      </w:tr>
    </w:tbl>
    <w:p>
      <w:pPr>
        <w:spacing w:after="0" w:line="377"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In March 2015, the Company sold its total equity investment in an unaffiliated company, resulting in a gain of $0.9 million. The value of the investment had been written off in 2004.</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 for the three months ended March 31, 2016 and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10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22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March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22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8"/>
        </w:trPr>
        <w:tc>
          <w:tcPr>
            <w:tcW w:w="712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 at estimated tax rates</w:t>
            </w:r>
          </w:p>
        </w:tc>
        <w:tc>
          <w:tcPr>
            <w:tcW w:w="322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$8,076</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20" w:type="dxa"/>
            <w:vAlign w:val="bottom"/>
            <w:gridSpan w:val="2"/>
          </w:tcPr>
          <w:p>
            <w:pPr>
              <w:spacing w:after="0"/>
              <w:rPr>
                <w:sz w:val="20"/>
                <w:szCs w:val="20"/>
                <w:color w:val="auto"/>
              </w:rPr>
            </w:pPr>
            <w:r>
              <w:rPr>
                <w:rFonts w:ascii="Arial" w:cs="Arial" w:eastAsia="Arial" w:hAnsi="Arial"/>
                <w:sz w:val="18"/>
                <w:szCs w:val="18"/>
                <w:color w:val="auto"/>
              </w:rPr>
              <w:t>of 39.7% and 40.0%, respectively</w:t>
            </w:r>
          </w:p>
        </w:tc>
        <w:tc>
          <w:tcPr>
            <w:tcW w:w="3220" w:type="dxa"/>
            <w:vAlign w:val="bottom"/>
            <w:vMerge w:val="continue"/>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189"/>
        </w:trPr>
        <w:tc>
          <w:tcPr>
            <w:tcW w:w="7120" w:type="dxa"/>
            <w:vAlign w:val="bottom"/>
            <w:tcBorders>
              <w:bottom w:val="single" w:sz="8" w:color="auto"/>
            </w:tcBorders>
            <w:gridSpan w:val="2"/>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12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3220" w:type="dxa"/>
            <w:vAlign w:val="bottom"/>
          </w:tcPr>
          <w:p>
            <w:pPr>
              <w:jc w:val="right"/>
              <w:ind w:right="1430"/>
              <w:spacing w:after="0"/>
              <w:rPr>
                <w:sz w:val="20"/>
                <w:szCs w:val="20"/>
                <w:color w:val="auto"/>
              </w:rPr>
            </w:pPr>
            <w:r>
              <w:rPr>
                <w:rFonts w:ascii="Arial" w:cs="Arial" w:eastAsia="Arial" w:hAnsi="Arial"/>
                <w:sz w:val="18"/>
                <w:szCs w:val="18"/>
                <w:b w:val="1"/>
                <w:bCs w:val="1"/>
                <w:color w:val="auto"/>
              </w:rPr>
              <w:t>8,076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368"/>
        </w:trPr>
        <w:tc>
          <w:tcPr>
            <w:tcW w:w="712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3220" w:type="dxa"/>
            <w:vAlign w:val="bottom"/>
            <w:vMerge w:val="restart"/>
          </w:tcPr>
          <w:p>
            <w:pPr>
              <w:jc w:val="right"/>
              <w:ind w:right="1370"/>
              <w:spacing w:after="0"/>
              <w:rPr>
                <w:sz w:val="20"/>
                <w:szCs w:val="20"/>
                <w:color w:val="auto"/>
              </w:rPr>
            </w:pPr>
            <w:r>
              <w:rPr>
                <w:rFonts w:ascii="Arial" w:cs="Arial" w:eastAsia="Arial" w:hAnsi="Arial"/>
                <w:sz w:val="18"/>
                <w:szCs w:val="18"/>
                <w:b w:val="1"/>
                <w:bCs w:val="1"/>
                <w:color w:val="auto"/>
              </w:rPr>
              <w:t>(825)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00" w:type="dxa"/>
            <w:vAlign w:val="bottom"/>
          </w:tcPr>
          <w:p>
            <w:pPr>
              <w:ind w:left="340"/>
              <w:spacing w:after="0" w:line="181" w:lineRule="exact"/>
              <w:rPr>
                <w:sz w:val="20"/>
                <w:szCs w:val="20"/>
                <w:color w:val="auto"/>
              </w:rPr>
            </w:pPr>
            <w:r>
              <w:rPr>
                <w:rFonts w:ascii="Arial" w:cs="Arial" w:eastAsia="Arial" w:hAnsi="Arial"/>
                <w:sz w:val="18"/>
                <w:szCs w:val="18"/>
                <w:color w:val="auto"/>
              </w:rPr>
              <w:t>Provision for/resolution of tax audits and contingencies, net</w:t>
            </w:r>
          </w:p>
        </w:tc>
        <w:tc>
          <w:tcPr>
            <w:tcW w:w="3220" w:type="dxa"/>
            <w:vAlign w:val="bottom"/>
            <w:vMerge w:val="continue"/>
          </w:tcPr>
          <w:p>
            <w:pPr>
              <w:spacing w:after="0"/>
              <w:rPr>
                <w:sz w:val="15"/>
                <w:szCs w:val="15"/>
                <w:color w:val="auto"/>
              </w:rPr>
            </w:pPr>
          </w:p>
        </w:tc>
        <w:tc>
          <w:tcPr>
            <w:tcW w:w="10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340"/>
              <w:spacing w:after="0" w:line="202" w:lineRule="exact"/>
              <w:rPr>
                <w:sz w:val="20"/>
                <w:szCs w:val="20"/>
                <w:color w:val="auto"/>
              </w:rPr>
            </w:pPr>
            <w:r>
              <w:rPr>
                <w:rFonts w:ascii="Arial" w:cs="Arial" w:eastAsia="Arial" w:hAnsi="Arial"/>
                <w:sz w:val="18"/>
                <w:szCs w:val="18"/>
                <w:color w:val="auto"/>
              </w:rPr>
              <w:t>Other discrete tax adjustments, net</w:t>
            </w:r>
          </w:p>
        </w:tc>
        <w:tc>
          <w:tcPr>
            <w:tcW w:w="3220" w:type="dxa"/>
            <w:vAlign w:val="bottom"/>
          </w:tcPr>
          <w:p>
            <w:pPr>
              <w:jc w:val="right"/>
              <w:ind w:right="1370"/>
              <w:spacing w:after="0" w:line="202" w:lineRule="exact"/>
              <w:rPr>
                <w:sz w:val="20"/>
                <w:szCs w:val="20"/>
                <w:color w:val="auto"/>
              </w:rPr>
            </w:pPr>
            <w:r>
              <w:rPr>
                <w:rFonts w:ascii="Arial" w:cs="Arial" w:eastAsia="Arial" w:hAnsi="Arial"/>
                <w:sz w:val="18"/>
                <w:szCs w:val="18"/>
                <w:b w:val="1"/>
                <w:bCs w:val="1"/>
                <w:color w:val="auto"/>
              </w:rPr>
              <w:t>(208)</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Enacted tax legislation</w:t>
            </w:r>
          </w:p>
        </w:tc>
        <w:tc>
          <w:tcPr>
            <w:tcW w:w="322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3220" w:type="dxa"/>
            <w:vAlign w:val="bottom"/>
            <w:tcBorders>
              <w:bottom w:val="single" w:sz="8" w:color="auto"/>
            </w:tcBorders>
          </w:tcPr>
          <w:p>
            <w:pPr>
              <w:jc w:val="right"/>
              <w:ind w:right="1430"/>
              <w:spacing w:after="0" w:line="196" w:lineRule="exact"/>
              <w:rPr>
                <w:sz w:val="20"/>
                <w:szCs w:val="20"/>
                <w:color w:val="auto"/>
              </w:rPr>
            </w:pPr>
            <w:r>
              <w:rPr>
                <w:rFonts w:ascii="Arial" w:cs="Arial" w:eastAsia="Arial" w:hAnsi="Arial"/>
                <w:sz w:val="18"/>
                <w:szCs w:val="18"/>
                <w:b w:val="1"/>
                <w:bCs w:val="1"/>
                <w:color w:val="auto"/>
              </w:rPr>
              <w:t>$7,043</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first quarter estimated effective tax rate on continuing operations before discrete items was 39.7 percent in 2016, compared to 40.0 percent for the same period in 2015.</w:t>
      </w:r>
    </w:p>
    <w:p>
      <w:pPr>
        <w:spacing w:after="0" w:line="1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current year foreign earnings that have been targeted for repatriation to the U.S. As a result, such amounts are not considered to be permanently reinvested, and the income tax provision before discrete items, includes the residual taxes on these earnings to the extent they cannot be repatriated in a tax-free manner. As of March 31, 2016, the Company has recorded a deferred tax liability on $59.0 million of prior year non-U.S. earnings that have been targeted for future repatriation to the U.S.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conduct business globally and, as a result, the Company files income tax returns in the U.S. federal jurisdiction and various state and foreign jurisdictions. In the normal course of business we are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1" w:name="page12"/>
    <w:bookmarkEnd w:id="11"/>
    <w:p>
      <w:pPr>
        <w:jc w:val="both"/>
        <w:spacing w:after="0" w:line="246" w:lineRule="auto"/>
        <w:rPr>
          <w:sz w:val="20"/>
          <w:szCs w:val="20"/>
          <w:color w:val="auto"/>
        </w:rPr>
      </w:pPr>
      <w:r>
        <w:rPr>
          <w:rFonts w:ascii="Arial" w:cs="Arial" w:eastAsia="Arial" w:hAnsi="Arial"/>
          <w:sz w:val="18"/>
          <w:szCs w:val="18"/>
          <w:color w:val="auto"/>
        </w:rPr>
        <w:t>subject to examination by taxing authorities throughout the world and we are currently under audit in various jurisdictions, including Canada and Italy. The open tax years range from 2007 to 2015.</w:t>
      </w:r>
    </w:p>
    <w:p>
      <w:pPr>
        <w:spacing w:after="0" w:line="15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$ 0.0 million to a net decrease of $2.3 million, from the reevaluation of uncertain tax positions arising in examinations, in appeals, or in the courts, or from the closure of tax statutes.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first quarter of 2016, the Company reached a settlement with the German tax authorities over matters that had been outstanding for many years. The German Tax Authority had denied tax positions taken by the Company related to a 1999 reorganization. In 2009, the Company made a payment of $14.5 million in order to appeal the German Tax Authority decision, and we recorded that payment as an income tax receivable. As additional information became available in recent years, we wrote down the receivable by $6.3 million in 2014 and $6.4 million in 2015 ($5.8 million in the third quarter and $0.6 million in the fourth quarter). In April 2016, we received $3.7 million representing the final settlement of this matter, and accordingly, we adjusted our income tax receivable as of March 31, 2016 to that amount, and recorded a discrete tax benefit of $0.5 million for the first quarter of 2016.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40" w:type="dxa"/>
            <w:vAlign w:val="bottom"/>
            <w:tcBorders>
              <w:top w:val="single" w:sz="8" w:color="auto"/>
            </w:tcBorders>
          </w:tcPr>
          <w:p>
            <w:pPr>
              <w:spacing w:after="0"/>
              <w:rPr>
                <w:sz w:val="16"/>
                <w:szCs w:val="16"/>
                <w:color w:val="auto"/>
              </w:rPr>
            </w:pPr>
          </w:p>
        </w:tc>
        <w:tc>
          <w:tcPr>
            <w:tcW w:w="50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Three months ended</w:t>
            </w: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502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March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5020" w:type="dxa"/>
            <w:vAlign w:val="bottom"/>
            <w:tcBorders>
              <w:bottom w:val="single" w:sz="8" w:color="auto"/>
            </w:tcBorders>
          </w:tcPr>
          <w:p>
            <w:pPr>
              <w:jc w:val="right"/>
              <w:ind w:right="1930"/>
              <w:spacing w:after="0"/>
              <w:rPr>
                <w:sz w:val="20"/>
                <w:szCs w:val="20"/>
                <w:color w:val="auto"/>
              </w:rPr>
            </w:pPr>
            <w:r>
              <w:rPr>
                <w:rFonts w:ascii="Arial" w:cs="Arial" w:eastAsia="Arial" w:hAnsi="Arial"/>
                <w:sz w:val="18"/>
                <w:szCs w:val="18"/>
                <w:b w:val="1"/>
                <w:bCs w:val="1"/>
                <w:color w:val="auto"/>
              </w:rPr>
              <w:t>2016</w:t>
            </w: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9"/>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50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$13,501</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5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60"/>
              <w:spacing w:after="0" w:line="202" w:lineRule="exact"/>
              <w:rPr>
                <w:sz w:val="20"/>
                <w:szCs w:val="20"/>
                <w:color w:val="auto"/>
              </w:rPr>
            </w:pPr>
            <w:r>
              <w:rPr>
                <w:rFonts w:ascii="Arial" w:cs="Arial" w:eastAsia="Arial" w:hAnsi="Arial"/>
                <w:sz w:val="18"/>
                <w:szCs w:val="18"/>
                <w:color w:val="auto"/>
              </w:rPr>
              <w:t>Weighted average number of shares used in</w:t>
            </w:r>
          </w:p>
        </w:tc>
        <w:tc>
          <w:tcPr>
            <w:tcW w:w="5020" w:type="dxa"/>
            <w:vAlign w:val="bottom"/>
            <w:vMerge w:val="restart"/>
          </w:tcPr>
          <w:p>
            <w:pPr>
              <w:jc w:val="right"/>
              <w:ind w:right="1450"/>
              <w:spacing w:after="0"/>
              <w:rPr>
                <w:sz w:val="20"/>
                <w:szCs w:val="20"/>
                <w:color w:val="auto"/>
              </w:rPr>
            </w:pPr>
            <w:r>
              <w:rPr>
                <w:rFonts w:ascii="Arial" w:cs="Arial" w:eastAsia="Arial" w:hAnsi="Arial"/>
                <w:sz w:val="18"/>
                <w:szCs w:val="18"/>
                <w:b w:val="1"/>
                <w:bCs w:val="1"/>
                <w:color w:val="auto"/>
              </w:rPr>
              <w:t>32,041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40" w:type="dxa"/>
            <w:vAlign w:val="bottom"/>
          </w:tcPr>
          <w:p>
            <w:pPr>
              <w:ind w:left="360"/>
              <w:spacing w:after="0" w:line="181" w:lineRule="exact"/>
              <w:rPr>
                <w:sz w:val="20"/>
                <w:szCs w:val="20"/>
                <w:color w:val="auto"/>
              </w:rPr>
            </w:pPr>
            <w:r>
              <w:rPr>
                <w:rFonts w:ascii="Arial" w:cs="Arial" w:eastAsia="Arial" w:hAnsi="Arial"/>
                <w:sz w:val="18"/>
                <w:szCs w:val="18"/>
                <w:color w:val="auto"/>
              </w:rPr>
              <w:t>calculating basic net income per share</w:t>
            </w:r>
          </w:p>
        </w:tc>
        <w:tc>
          <w:tcPr>
            <w:tcW w:w="5020" w:type="dxa"/>
            <w:vAlign w:val="bottom"/>
            <w:vMerge w:val="continue"/>
          </w:tcPr>
          <w:p>
            <w:pPr>
              <w:spacing w:after="0"/>
              <w:rPr>
                <w:sz w:val="15"/>
                <w:szCs w:val="15"/>
                <w:color w:val="auto"/>
              </w:rPr>
            </w:pPr>
          </w:p>
        </w:tc>
        <w:tc>
          <w:tcPr>
            <w:tcW w:w="10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31,882</w:t>
            </w:r>
          </w:p>
        </w:tc>
        <w:tc>
          <w:tcPr>
            <w:tcW w:w="0" w:type="dxa"/>
            <w:vAlign w:val="bottom"/>
          </w:tcPr>
          <w:p>
            <w:pPr>
              <w:spacing w:after="0"/>
              <w:rPr>
                <w:sz w:val="1"/>
                <w:szCs w:val="1"/>
                <w:color w:val="auto"/>
              </w:rPr>
            </w:pPr>
          </w:p>
        </w:tc>
      </w:tr>
      <w:tr>
        <w:trPr>
          <w:trHeight w:val="225"/>
        </w:trPr>
        <w:tc>
          <w:tcPr>
            <w:tcW w:w="534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5020" w:type="dxa"/>
            <w:vAlign w:val="bottom"/>
            <w:vMerge w:val="restart"/>
          </w:tcPr>
          <w:p>
            <w:pPr>
              <w:jc w:val="right"/>
              <w:ind w:right="1450"/>
              <w:spacing w:after="0"/>
              <w:rPr>
                <w:sz w:val="20"/>
                <w:szCs w:val="20"/>
                <w:color w:val="auto"/>
              </w:rPr>
            </w:pPr>
            <w:r>
              <w:rPr>
                <w:rFonts w:ascii="Arial" w:cs="Arial" w:eastAsia="Arial" w:hAnsi="Arial"/>
                <w:sz w:val="18"/>
                <w:szCs w:val="18"/>
                <w:b w:val="1"/>
                <w:bCs w:val="1"/>
                <w:color w:val="auto"/>
              </w:rPr>
              <w:t>40</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ind w:left="360"/>
              <w:spacing w:after="0" w:line="203" w:lineRule="exact"/>
              <w:rPr>
                <w:sz w:val="20"/>
                <w:szCs w:val="20"/>
                <w:color w:val="auto"/>
              </w:rPr>
            </w:pPr>
            <w:r>
              <w:rPr>
                <w:rFonts w:ascii="Arial" w:cs="Arial" w:eastAsia="Arial" w:hAnsi="Arial"/>
                <w:sz w:val="18"/>
                <w:szCs w:val="18"/>
                <w:color w:val="auto"/>
              </w:rPr>
              <w:t>Stock options</w:t>
            </w:r>
          </w:p>
        </w:tc>
        <w:tc>
          <w:tcPr>
            <w:tcW w:w="50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5020" w:type="dxa"/>
            <w:vAlign w:val="bottom"/>
            <w:vMerge w:val="restart"/>
          </w:tcPr>
          <w:p>
            <w:pPr>
              <w:jc w:val="right"/>
              <w:ind w:right="1450"/>
              <w:spacing w:after="0"/>
              <w:rPr>
                <w:sz w:val="20"/>
                <w:szCs w:val="20"/>
                <w:color w:val="auto"/>
              </w:rPr>
            </w:pPr>
            <w:r>
              <w:rPr>
                <w:rFonts w:ascii="Arial" w:cs="Arial" w:eastAsia="Arial" w:hAnsi="Arial"/>
                <w:sz w:val="18"/>
                <w:szCs w:val="18"/>
                <w:b w:val="1"/>
                <w:bCs w:val="1"/>
                <w:color w:val="auto"/>
              </w:rPr>
              <w:t>32,081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50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31,972</w:t>
            </w: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5020" w:type="dxa"/>
            <w:vAlign w:val="bottom"/>
            <w:vMerge w:val="restart"/>
          </w:tcPr>
          <w:p>
            <w:pPr>
              <w:jc w:val="right"/>
              <w:ind w:right="1450"/>
              <w:spacing w:after="0"/>
              <w:rPr>
                <w:sz w:val="20"/>
                <w:szCs w:val="20"/>
                <w:color w:val="auto"/>
              </w:rPr>
            </w:pPr>
            <w:r>
              <w:rPr>
                <w:rFonts w:ascii="Arial" w:cs="Arial" w:eastAsia="Arial" w:hAnsi="Arial"/>
                <w:sz w:val="18"/>
                <w:szCs w:val="18"/>
                <w:b w:val="1"/>
                <w:bCs w:val="1"/>
                <w:color w:val="auto"/>
              </w:rPr>
              <w:t>$35.23</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50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per share attributable to Company shareholders:</w:t>
            </w:r>
          </w:p>
        </w:tc>
        <w:tc>
          <w:tcPr>
            <w:tcW w:w="5020" w:type="dxa"/>
            <w:vAlign w:val="bottom"/>
            <w:vMerge w:val="restart"/>
          </w:tcPr>
          <w:p>
            <w:pPr>
              <w:jc w:val="right"/>
              <w:ind w:right="1450"/>
              <w:spacing w:after="0"/>
              <w:rPr>
                <w:sz w:val="20"/>
                <w:szCs w:val="20"/>
                <w:color w:val="auto"/>
              </w:rPr>
            </w:pPr>
            <w:r>
              <w:rPr>
                <w:rFonts w:ascii="Arial" w:cs="Arial" w:eastAsia="Arial" w:hAnsi="Arial"/>
                <w:sz w:val="18"/>
                <w:szCs w:val="18"/>
                <w:b w:val="1"/>
                <w:bCs w:val="1"/>
                <w:color w:val="auto"/>
              </w:rPr>
              <w:t>$0.42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340" w:type="dxa"/>
            <w:vAlign w:val="bottom"/>
          </w:tcPr>
          <w:p>
            <w:pPr>
              <w:ind w:left="360"/>
              <w:spacing w:after="0" w:line="181" w:lineRule="exact"/>
              <w:rPr>
                <w:sz w:val="20"/>
                <w:szCs w:val="20"/>
                <w:color w:val="auto"/>
              </w:rPr>
            </w:pPr>
            <w:r>
              <w:rPr>
                <w:rFonts w:ascii="Arial" w:cs="Arial" w:eastAsia="Arial" w:hAnsi="Arial"/>
                <w:sz w:val="18"/>
                <w:szCs w:val="18"/>
                <w:color w:val="auto"/>
              </w:rPr>
              <w:t>Basic</w:t>
            </w:r>
          </w:p>
        </w:tc>
        <w:tc>
          <w:tcPr>
            <w:tcW w:w="5020" w:type="dxa"/>
            <w:vAlign w:val="bottom"/>
            <w:vMerge w:val="continue"/>
          </w:tcPr>
          <w:p>
            <w:pPr>
              <w:spacing w:after="0"/>
              <w:rPr>
                <w:sz w:val="15"/>
                <w:szCs w:val="15"/>
                <w:color w:val="auto"/>
              </w:rPr>
            </w:pPr>
          </w:p>
        </w:tc>
        <w:tc>
          <w:tcPr>
            <w:tcW w:w="10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50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$0.42</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318"/>
        </w:trPr>
        <w:tc>
          <w:tcPr>
            <w:tcW w:w="5340" w:type="dxa"/>
            <w:vAlign w:val="bottom"/>
          </w:tcPr>
          <w:p>
            <w:pPr>
              <w:spacing w:after="0"/>
              <w:rPr>
                <w:sz w:val="24"/>
                <w:szCs w:val="24"/>
                <w:color w:val="auto"/>
              </w:rPr>
            </w:pPr>
          </w:p>
        </w:tc>
        <w:tc>
          <w:tcPr>
            <w:tcW w:w="5020" w:type="dxa"/>
            <w:vAlign w:val="bottom"/>
          </w:tcPr>
          <w:p>
            <w:pPr>
              <w:jc w:val="right"/>
              <w:ind w:right="447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auto"/>
            </w:tcBorders>
          </w:tcPr>
          <w:p>
            <w:pPr>
              <w:spacing w:after="0"/>
              <w:rPr>
                <w:sz w:val="12"/>
                <w:szCs w:val="12"/>
                <w:color w:val="auto"/>
              </w:rPr>
            </w:pPr>
          </w:p>
        </w:tc>
        <w:tc>
          <w:tcPr>
            <w:tcW w:w="50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9. Noncontrolling Interest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02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b w:val="1"/>
                <w:bCs w:val="1"/>
                <w:color w:val="auto"/>
              </w:rPr>
              <w:t>Three months ended</w:t>
            </w:r>
          </w:p>
        </w:tc>
        <w:tc>
          <w:tcPr>
            <w:tcW w:w="1100" w:type="dxa"/>
            <w:vAlign w:val="bottom"/>
            <w:tcBorders>
              <w:top w:val="single" w:sz="8" w:color="auto"/>
            </w:tcBorders>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280" w:type="dxa"/>
            <w:vAlign w:val="bottom"/>
            <w:tcBorders>
              <w:bottom w:val="single" w:sz="8" w:color="auto"/>
            </w:tcBorders>
          </w:tcPr>
          <w:p>
            <w:pPr>
              <w:jc w:val="right"/>
              <w:ind w:right="1970"/>
              <w:spacing w:after="0" w:line="196" w:lineRule="exact"/>
              <w:rPr>
                <w:sz w:val="20"/>
                <w:szCs w:val="20"/>
                <w:color w:val="auto"/>
              </w:rPr>
            </w:pPr>
            <w:r>
              <w:rPr>
                <w:rFonts w:ascii="Arial" w:cs="Arial" w:eastAsia="Arial" w:hAnsi="Arial"/>
                <w:sz w:val="18"/>
                <w:szCs w:val="18"/>
                <w:b w:val="1"/>
                <w:bCs w:val="1"/>
                <w:color w:val="auto"/>
              </w:rPr>
              <w:t>2016</w:t>
            </w:r>
          </w:p>
        </w:tc>
        <w:tc>
          <w:tcPr>
            <w:tcW w:w="11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2015</w:t>
            </w:r>
          </w:p>
        </w:tc>
      </w:tr>
      <w:tr>
        <w:trPr>
          <w:trHeight w:val="173"/>
        </w:trPr>
        <w:tc>
          <w:tcPr>
            <w:tcW w:w="7040" w:type="dxa"/>
            <w:vAlign w:val="bottom"/>
            <w:gridSpan w:val="2"/>
          </w:tcPr>
          <w:p>
            <w:pPr>
              <w:spacing w:after="0" w:line="173" w:lineRule="exact"/>
              <w:rPr>
                <w:sz w:val="20"/>
                <w:szCs w:val="20"/>
                <w:color w:val="auto"/>
              </w:rPr>
            </w:pPr>
            <w:r>
              <w:rPr>
                <w:rFonts w:ascii="Arial" w:cs="Arial" w:eastAsia="Arial" w:hAnsi="Arial"/>
                <w:sz w:val="18"/>
                <w:szCs w:val="18"/>
                <w:color w:val="auto"/>
              </w:rPr>
              <w:t>Net (loss)/income of Albany Safran Composites (ASC)</w:t>
            </w:r>
          </w:p>
        </w:tc>
        <w:tc>
          <w:tcPr>
            <w:tcW w:w="3280" w:type="dxa"/>
            <w:vAlign w:val="bottom"/>
          </w:tcPr>
          <w:p>
            <w:pPr>
              <w:jc w:val="right"/>
              <w:ind w:right="1450"/>
              <w:spacing w:after="0" w:line="173" w:lineRule="exact"/>
              <w:rPr>
                <w:sz w:val="20"/>
                <w:szCs w:val="20"/>
                <w:color w:val="auto"/>
              </w:rPr>
            </w:pPr>
            <w:r>
              <w:rPr>
                <w:rFonts w:ascii="Arial" w:cs="Arial" w:eastAsia="Arial" w:hAnsi="Arial"/>
                <w:sz w:val="18"/>
                <w:szCs w:val="18"/>
                <w:b w:val="1"/>
                <w:bCs w:val="1"/>
                <w:color w:val="auto"/>
              </w:rPr>
              <w:t>$(1,609)</w:t>
            </w:r>
          </w:p>
        </w:tc>
        <w:tc>
          <w:tcPr>
            <w:tcW w:w="11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$511</w:t>
            </w:r>
          </w:p>
        </w:tc>
      </w:tr>
      <w:tr>
        <w:trPr>
          <w:trHeight w:val="225"/>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32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238</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255</w:t>
            </w:r>
          </w:p>
        </w:tc>
      </w:tr>
      <w:tr>
        <w:trPr>
          <w:trHeight w:val="173"/>
        </w:trPr>
        <w:tc>
          <w:tcPr>
            <w:tcW w:w="7040" w:type="dxa"/>
            <w:vAlign w:val="bottom"/>
            <w:gridSpan w:val="2"/>
          </w:tcPr>
          <w:p>
            <w:pPr>
              <w:spacing w:after="0" w:line="173" w:lineRule="exact"/>
              <w:rPr>
                <w:sz w:val="20"/>
                <w:szCs w:val="20"/>
                <w:color w:val="auto"/>
              </w:rPr>
            </w:pPr>
            <w:r>
              <w:rPr>
                <w:rFonts w:ascii="Arial" w:cs="Arial" w:eastAsia="Arial" w:hAnsi="Arial"/>
                <w:sz w:val="18"/>
                <w:szCs w:val="18"/>
                <w:color w:val="auto"/>
              </w:rPr>
              <w:t>Net (loss)/income of ASC available for common ownership</w:t>
            </w:r>
          </w:p>
        </w:tc>
        <w:tc>
          <w:tcPr>
            <w:tcW w:w="3280" w:type="dxa"/>
            <w:vAlign w:val="bottom"/>
          </w:tcPr>
          <w:p>
            <w:pPr>
              <w:jc w:val="right"/>
              <w:ind w:right="1450"/>
              <w:spacing w:after="0" w:line="173" w:lineRule="exact"/>
              <w:rPr>
                <w:sz w:val="20"/>
                <w:szCs w:val="20"/>
                <w:color w:val="auto"/>
              </w:rPr>
            </w:pPr>
            <w:r>
              <w:rPr>
                <w:rFonts w:ascii="Arial" w:cs="Arial" w:eastAsia="Arial" w:hAnsi="Arial"/>
                <w:sz w:val="18"/>
                <w:szCs w:val="18"/>
                <w:b w:val="1"/>
                <w:bCs w:val="1"/>
                <w:color w:val="auto"/>
              </w:rPr>
              <w:t>($1,847)</w:t>
            </w:r>
          </w:p>
        </w:tc>
        <w:tc>
          <w:tcPr>
            <w:tcW w:w="11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$256</w:t>
            </w:r>
          </w:p>
        </w:tc>
      </w:tr>
      <w:tr>
        <w:trPr>
          <w:trHeight w:val="225"/>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Ownership percentage of noncontrolling shareholder</w:t>
            </w:r>
          </w:p>
        </w:tc>
        <w:tc>
          <w:tcPr>
            <w:tcW w:w="32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7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(loss)/income attributable to noncontrolling interest</w:t>
            </w:r>
          </w:p>
        </w:tc>
        <w:tc>
          <w:tcPr>
            <w:tcW w:w="3280" w:type="dxa"/>
            <w:vAlign w:val="bottom"/>
            <w:tcBorders>
              <w:bottom w:val="single" w:sz="8" w:color="auto"/>
            </w:tcBorders>
          </w:tcPr>
          <w:p>
            <w:pPr>
              <w:jc w:val="right"/>
              <w:ind w:right="1450"/>
              <w:spacing w:after="0" w:line="196" w:lineRule="exact"/>
              <w:rPr>
                <w:sz w:val="20"/>
                <w:szCs w:val="20"/>
                <w:color w:val="auto"/>
              </w:rPr>
            </w:pPr>
            <w:r>
              <w:rPr>
                <w:rFonts w:ascii="Arial" w:cs="Arial" w:eastAsia="Arial" w:hAnsi="Arial"/>
                <w:sz w:val="18"/>
                <w:szCs w:val="18"/>
                <w:b w:val="1"/>
                <w:bCs w:val="1"/>
                <w:color w:val="auto"/>
              </w:rPr>
              <w:t>($185)</w:t>
            </w:r>
          </w:p>
        </w:tc>
        <w:tc>
          <w:tcPr>
            <w:tcW w:w="11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$26</w:t>
            </w:r>
          </w:p>
        </w:tc>
      </w:tr>
      <w:tr>
        <w:trPr>
          <w:trHeight w:val="376"/>
        </w:trPr>
        <w:tc>
          <w:tcPr>
            <w:tcW w:w="7040" w:type="dxa"/>
            <w:vAlign w:val="bottom"/>
            <w:gridSpan w:val="2"/>
          </w:tcPr>
          <w:p>
            <w:pPr>
              <w:spacing w:after="0"/>
              <w:rPr>
                <w:sz w:val="20"/>
                <w:szCs w:val="20"/>
                <w:color w:val="auto"/>
              </w:rPr>
            </w:pPr>
            <w:r>
              <w:rPr>
                <w:rFonts w:ascii="Arial" w:cs="Arial" w:eastAsia="Arial" w:hAnsi="Arial"/>
                <w:sz w:val="18"/>
                <w:szCs w:val="18"/>
                <w:color w:val="auto"/>
              </w:rPr>
              <w:t>Noncontrolling interest, beginning of year</w:t>
            </w:r>
          </w:p>
        </w:tc>
        <w:tc>
          <w:tcPr>
            <w:tcW w:w="3280" w:type="dxa"/>
            <w:vAlign w:val="bottom"/>
          </w:tcPr>
          <w:p>
            <w:pPr>
              <w:jc w:val="right"/>
              <w:ind w:right="1510"/>
              <w:spacing w:after="0"/>
              <w:rPr>
                <w:sz w:val="20"/>
                <w:szCs w:val="20"/>
                <w:color w:val="auto"/>
              </w:rPr>
            </w:pPr>
            <w:r>
              <w:rPr>
                <w:rFonts w:ascii="Arial" w:cs="Arial" w:eastAsia="Arial" w:hAnsi="Arial"/>
                <w:sz w:val="18"/>
                <w:szCs w:val="18"/>
                <w:b w:val="1"/>
                <w:bCs w:val="1"/>
                <w:color w:val="auto"/>
              </w:rPr>
              <w:t>$3,690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$3,699</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Net (loss)/income attributable to noncontrolling interest</w:t>
            </w:r>
          </w:p>
        </w:tc>
        <w:tc>
          <w:tcPr>
            <w:tcW w:w="3280" w:type="dxa"/>
            <w:vAlign w:val="bottom"/>
          </w:tcPr>
          <w:p>
            <w:pPr>
              <w:jc w:val="right"/>
              <w:ind w:right="1450"/>
              <w:spacing w:after="0" w:line="202" w:lineRule="exact"/>
              <w:rPr>
                <w:sz w:val="20"/>
                <w:szCs w:val="20"/>
                <w:color w:val="auto"/>
              </w:rPr>
            </w:pPr>
            <w:r>
              <w:rPr>
                <w:rFonts w:ascii="Arial" w:cs="Arial" w:eastAsia="Arial" w:hAnsi="Arial"/>
                <w:sz w:val="18"/>
                <w:szCs w:val="18"/>
                <w:b w:val="1"/>
                <w:bCs w:val="1"/>
                <w:color w:val="auto"/>
              </w:rPr>
              <w:t>(185)</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26</w:t>
            </w:r>
          </w:p>
        </w:tc>
      </w:tr>
      <w:tr>
        <w:trPr>
          <w:trHeight w:val="225"/>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328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(3)</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196"/>
        </w:trPr>
        <w:tc>
          <w:tcPr>
            <w:tcW w:w="7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Noncontrolling interest</w:t>
            </w:r>
          </w:p>
        </w:tc>
        <w:tc>
          <w:tcPr>
            <w:tcW w:w="3280" w:type="dxa"/>
            <w:vAlign w:val="bottom"/>
            <w:tcBorders>
              <w:bottom w:val="single" w:sz="8" w:color="auto"/>
            </w:tcBorders>
          </w:tcPr>
          <w:p>
            <w:pPr>
              <w:jc w:val="right"/>
              <w:ind w:right="1510"/>
              <w:spacing w:after="0" w:line="196" w:lineRule="exact"/>
              <w:rPr>
                <w:sz w:val="20"/>
                <w:szCs w:val="20"/>
                <w:color w:val="auto"/>
              </w:rPr>
            </w:pPr>
            <w:r>
              <w:rPr>
                <w:rFonts w:ascii="Arial" w:cs="Arial" w:eastAsia="Arial" w:hAnsi="Arial"/>
                <w:sz w:val="18"/>
                <w:szCs w:val="18"/>
                <w:b w:val="1"/>
                <w:bCs w:val="1"/>
                <w:color w:val="auto"/>
              </w:rPr>
              <w:t>$3,502</w:t>
            </w:r>
          </w:p>
        </w:tc>
        <w:tc>
          <w:tcPr>
            <w:tcW w:w="11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$3,726</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Accumulated Other Comprehensive Income (AOCI)</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2015 to March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Pension and</w:t>
            </w:r>
          </w:p>
        </w:tc>
        <w:tc>
          <w:tcPr>
            <w:tcW w:w="16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3"/>
        </w:trPr>
        <w:tc>
          <w:tcPr>
            <w:tcW w:w="4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54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4800" w:type="dxa"/>
            <w:vAlign w:val="bottom"/>
          </w:tcPr>
          <w:p>
            <w:pPr>
              <w:spacing w:after="0"/>
              <w:rPr>
                <w:sz w:val="17"/>
                <w:szCs w:val="17"/>
                <w:color w:val="auto"/>
              </w:rPr>
            </w:pPr>
          </w:p>
        </w:tc>
        <w:tc>
          <w:tcPr>
            <w:tcW w:w="16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Translation</w:t>
            </w: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valuation</w:t>
            </w:r>
          </w:p>
        </w:tc>
        <w:tc>
          <w:tcPr>
            <w:tcW w:w="154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rPr>
              <w:t>Income</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2015</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($108,655)</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($48,725)</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($1,464)</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($158,844)</w:t>
            </w:r>
          </w:p>
        </w:tc>
      </w:tr>
      <w:tr>
        <w:trPr>
          <w:trHeight w:val="195"/>
        </w:trPr>
        <w:tc>
          <w:tcPr>
            <w:tcW w:w="480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w:t>
            </w: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reclassifications</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13,114</w:t>
            </w:r>
          </w:p>
        </w:tc>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(373)</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(1,768)</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10,973</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Pension/postretirement plan remeasurements, net of tax</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(105)</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Statement of Income, net of tax</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174</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174</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116</w:t>
            </w:r>
          </w:p>
        </w:tc>
        <w:tc>
          <w:tcPr>
            <w:tcW w:w="16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116</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13,114</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(362)</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(1,594)</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11,158</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March 31, 2016</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($95,541)</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($49,087)</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($3,058)</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($147,686)</w:t>
            </w:r>
          </w:p>
        </w:tc>
      </w:tr>
      <w:tr>
        <w:trPr>
          <w:trHeight w:val="588"/>
        </w:trPr>
        <w:tc>
          <w:tcPr>
            <w:tcW w:w="4800" w:type="dxa"/>
            <w:vAlign w:val="bottom"/>
          </w:tcPr>
          <w:p>
            <w:pPr>
              <w:spacing w:after="0"/>
              <w:rPr>
                <w:sz w:val="24"/>
                <w:szCs w:val="24"/>
                <w:color w:val="auto"/>
              </w:rPr>
            </w:pP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13</w:t>
            </w: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42"/>
        </w:trPr>
        <w:tc>
          <w:tcPr>
            <w:tcW w:w="48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46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2014 to March 31,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Pension and</w:t>
            </w:r>
          </w:p>
        </w:tc>
        <w:tc>
          <w:tcPr>
            <w:tcW w:w="16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3"/>
        </w:trPr>
        <w:tc>
          <w:tcPr>
            <w:tcW w:w="4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54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470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Translation</w:t>
            </w: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valuation</w:t>
            </w:r>
          </w:p>
        </w:tc>
        <w:tc>
          <w:tcPr>
            <w:tcW w:w="154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rPr>
              <w:t>Income</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2014</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($55,240)</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($51,666)</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($861)</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($107,767)</w:t>
            </w:r>
          </w:p>
        </w:tc>
      </w:tr>
      <w:tr>
        <w:trPr>
          <w:trHeight w:val="195"/>
        </w:trPr>
        <w:tc>
          <w:tcPr>
            <w:tcW w:w="470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w:t>
            </w:r>
          </w:p>
        </w:tc>
        <w:tc>
          <w:tcPr>
            <w:tcW w:w="1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reclassifications</w:t>
            </w:r>
          </w:p>
        </w:tc>
        <w:tc>
          <w:tcPr>
            <w:tcW w:w="17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(37,413)</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1,730</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(675)</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(36,358)</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Statement of Income, net of tax</w:t>
            </w:r>
          </w:p>
        </w:tc>
        <w:tc>
          <w:tcPr>
            <w:tcW w:w="17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296</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296</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7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257</w:t>
            </w:r>
          </w:p>
        </w:tc>
        <w:tc>
          <w:tcPr>
            <w:tcW w:w="16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257</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(37,413)</w:t>
            </w:r>
          </w:p>
        </w:tc>
        <w:tc>
          <w:tcPr>
            <w:tcW w:w="18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1,987</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(379)</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(35,805)</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March 31, 2015</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($92,653)</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($49,679)</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($1,240)</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($143,572)</w:t>
            </w:r>
          </w:p>
        </w:tc>
      </w:tr>
    </w:tbl>
    <w:p>
      <w:pPr>
        <w:spacing w:after="0" w:line="39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Consolidated Statements of Income that were affected for the periods ended March 31, 2016 and 2015.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78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54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March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54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78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Pretax Derivative valuation reclassified from Accumulated Other Comprehensive Income:</w:t>
            </w:r>
          </w:p>
        </w:tc>
        <w:tc>
          <w:tcPr>
            <w:tcW w:w="2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40"/>
              <w:spacing w:after="0" w:line="202" w:lineRule="exact"/>
              <w:rPr>
                <w:sz w:val="20"/>
                <w:szCs w:val="20"/>
                <w:color w:val="auto"/>
              </w:rPr>
            </w:pPr>
            <w:r>
              <w:rPr>
                <w:rFonts w:ascii="Arial" w:cs="Arial" w:eastAsia="Arial" w:hAnsi="Arial"/>
                <w:sz w:val="18"/>
                <w:szCs w:val="18"/>
                <w:color w:val="auto"/>
              </w:rPr>
              <w:t>Payments made on interest rate swaps included in Income</w:t>
            </w:r>
          </w:p>
        </w:tc>
        <w:tc>
          <w:tcPr>
            <w:tcW w:w="254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$281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80" w:type="dxa"/>
            <w:vAlign w:val="bottom"/>
          </w:tcPr>
          <w:p>
            <w:pPr>
              <w:ind w:left="340"/>
              <w:spacing w:after="0" w:line="181" w:lineRule="exact"/>
              <w:rPr>
                <w:sz w:val="20"/>
                <w:szCs w:val="20"/>
                <w:color w:val="auto"/>
              </w:rPr>
            </w:pPr>
            <w:r>
              <w:rPr>
                <w:rFonts w:ascii="Arial" w:cs="Arial" w:eastAsia="Arial" w:hAnsi="Arial"/>
                <w:sz w:val="18"/>
                <w:szCs w:val="18"/>
                <w:color w:val="auto"/>
              </w:rPr>
              <w:t>before taxes(a)</w:t>
            </w:r>
          </w:p>
        </w:tc>
        <w:tc>
          <w:tcPr>
            <w:tcW w:w="2540" w:type="dxa"/>
            <w:vAlign w:val="bottom"/>
            <w:vMerge w:val="continue"/>
          </w:tcPr>
          <w:p>
            <w:pPr>
              <w:spacing w:after="0"/>
              <w:rPr>
                <w:sz w:val="15"/>
                <w:szCs w:val="15"/>
                <w:color w:val="auto"/>
              </w:rPr>
            </w:pPr>
          </w:p>
        </w:tc>
        <w:tc>
          <w:tcPr>
            <w:tcW w:w="10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tax effect</w:t>
            </w:r>
          </w:p>
        </w:tc>
        <w:tc>
          <w:tcPr>
            <w:tcW w:w="254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(107)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54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$174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25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376"/>
        </w:trPr>
        <w:tc>
          <w:tcPr>
            <w:tcW w:w="10340" w:type="dxa"/>
            <w:vAlign w:val="bottom"/>
            <w:gridSpan w:val="3"/>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 Accumulated Other Comprehensive Income: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prior service credit</w:t>
            </w:r>
          </w:p>
        </w:tc>
        <w:tc>
          <w:tcPr>
            <w:tcW w:w="2540" w:type="dxa"/>
            <w:vAlign w:val="bottom"/>
          </w:tcPr>
          <w:p>
            <w:pPr>
              <w:jc w:val="right"/>
              <w:ind w:right="1370"/>
              <w:spacing w:after="0" w:line="202" w:lineRule="exact"/>
              <w:rPr>
                <w:sz w:val="20"/>
                <w:szCs w:val="20"/>
                <w:color w:val="auto"/>
              </w:rPr>
            </w:pPr>
            <w:r>
              <w:rPr>
                <w:rFonts w:ascii="Arial" w:cs="Arial" w:eastAsia="Arial" w:hAnsi="Arial"/>
                <w:sz w:val="18"/>
                <w:szCs w:val="18"/>
                <w:b w:val="1"/>
                <w:bCs w:val="1"/>
                <w:color w:val="auto"/>
              </w:rPr>
              <w:t>($1,113)</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254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1,278</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780" w:type="dxa"/>
            <w:vAlign w:val="bottom"/>
          </w:tcPr>
          <w:p>
            <w:pPr>
              <w:spacing w:after="0" w:line="173" w:lineRule="exact"/>
              <w:rPr>
                <w:sz w:val="20"/>
                <w:szCs w:val="20"/>
                <w:color w:val="auto"/>
              </w:rPr>
            </w:pPr>
            <w:r>
              <w:rPr>
                <w:rFonts w:ascii="Arial" w:cs="Arial" w:eastAsia="Arial" w:hAnsi="Arial"/>
                <w:sz w:val="18"/>
                <w:szCs w:val="18"/>
                <w:color w:val="auto"/>
              </w:rPr>
              <w:t>Total pretax amount reclassified (b)</w:t>
            </w:r>
          </w:p>
        </w:tc>
        <w:tc>
          <w:tcPr>
            <w:tcW w:w="2540" w:type="dxa"/>
            <w:vAlign w:val="bottom"/>
          </w:tcPr>
          <w:p>
            <w:pPr>
              <w:jc w:val="right"/>
              <w:ind w:right="1430"/>
              <w:spacing w:after="0" w:line="173" w:lineRule="exact"/>
              <w:rPr>
                <w:sz w:val="20"/>
                <w:szCs w:val="20"/>
                <w:color w:val="auto"/>
              </w:rPr>
            </w:pPr>
            <w:r>
              <w:rPr>
                <w:rFonts w:ascii="Arial" w:cs="Arial" w:eastAsia="Arial" w:hAnsi="Arial"/>
                <w:sz w:val="18"/>
                <w:szCs w:val="18"/>
                <w:b w:val="1"/>
                <w:bCs w:val="1"/>
                <w:color w:val="auto"/>
              </w:rPr>
              <w:t>165</w:t>
            </w:r>
          </w:p>
        </w:tc>
        <w:tc>
          <w:tcPr>
            <w:tcW w:w="10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5"/>
        </w:trPr>
        <w:tc>
          <w:tcPr>
            <w:tcW w:w="7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254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(49)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5"/>
        </w:trPr>
        <w:tc>
          <w:tcPr>
            <w:tcW w:w="780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54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$116</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25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Interest expense.</w:t>
      </w:r>
    </w:p>
    <w:p>
      <w:pPr>
        <w:ind w:left="340" w:right="20" w:hanging="332"/>
        <w:spacing w:after="0" w:line="24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accumulated other comprehensive income/(loss) components are included in the computation of net periodic pension cost (see Note 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9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business. The Company maintains allowances for doubtful accounts for estimated losses resulting from the inability of its customers to make required payments. The Company determines the allowance based on historical write-off</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ind w:right="660"/>
        <w:spacing w:after="0" w:line="246" w:lineRule="auto"/>
        <w:rPr>
          <w:sz w:val="20"/>
          <w:szCs w:val="20"/>
          <w:color w:val="auto"/>
        </w:rPr>
      </w:pPr>
      <w:r>
        <w:rPr>
          <w:rFonts w:ascii="Arial" w:cs="Arial" w:eastAsia="Arial" w:hAnsi="Arial"/>
          <w:sz w:val="18"/>
          <w:szCs w:val="18"/>
          <w:color w:val="auto"/>
        </w:rPr>
        <w:t>experience, customer-specific facts and economic conditions. If the financial condition of the Company’s customers were to deteriorate, resulting in an impairment of their ability to make payments, additional allowances may be required.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2016 and December 31, 2015, Accounts receivable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tcPr>
          <w:p>
            <w:pPr>
              <w:jc w:val="right"/>
              <w:ind w:right="850"/>
              <w:spacing w:after="0" w:line="194" w:lineRule="exact"/>
              <w:rPr>
                <w:sz w:val="20"/>
                <w:szCs w:val="20"/>
                <w:color w:val="auto"/>
              </w:rPr>
            </w:pPr>
            <w:r>
              <w:rPr>
                <w:rFonts w:ascii="Arial" w:cs="Arial" w:eastAsia="Arial" w:hAnsi="Arial"/>
                <w:sz w:val="18"/>
                <w:szCs w:val="18"/>
                <w:b w:val="1"/>
                <w:bCs w:val="1"/>
                <w:color w:val="auto"/>
              </w:rPr>
              <w:t>March 31,</w:t>
            </w:r>
          </w:p>
        </w:tc>
        <w:tc>
          <w:tcPr>
            <w:tcW w:w="196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0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2016</w:t>
            </w:r>
          </w:p>
        </w:tc>
        <w:tc>
          <w:tcPr>
            <w:tcW w:w="1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173"/>
        </w:trPr>
        <w:tc>
          <w:tcPr>
            <w:tcW w:w="538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4080" w:type="dxa"/>
            <w:vAlign w:val="bottom"/>
          </w:tcPr>
          <w:p>
            <w:pPr>
              <w:jc w:val="right"/>
              <w:ind w:right="550"/>
              <w:spacing w:after="0" w:line="173" w:lineRule="exact"/>
              <w:rPr>
                <w:sz w:val="20"/>
                <w:szCs w:val="20"/>
                <w:color w:val="auto"/>
              </w:rPr>
            </w:pPr>
            <w:r>
              <w:rPr>
                <w:rFonts w:ascii="Arial" w:cs="Arial" w:eastAsia="Arial" w:hAnsi="Arial"/>
                <w:sz w:val="18"/>
                <w:szCs w:val="18"/>
                <w:b w:val="1"/>
                <w:bCs w:val="1"/>
                <w:color w:val="auto"/>
              </w:rPr>
              <w:t>$132,215</w:t>
            </w:r>
          </w:p>
        </w:tc>
        <w:tc>
          <w:tcPr>
            <w:tcW w:w="19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$123,179</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0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14,560</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15,845</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0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12,569</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15,889</w:t>
            </w:r>
          </w:p>
        </w:tc>
      </w:tr>
      <w:tr>
        <w:trPr>
          <w:trHeight w:val="225"/>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4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(8,523)</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w:t>
            </w:r>
          </w:p>
        </w:tc>
      </w:tr>
      <w:tr>
        <w:trPr>
          <w:trHeight w:val="196"/>
        </w:trPr>
        <w:tc>
          <w:tcPr>
            <w:tcW w:w="5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$150,821</w:t>
            </w:r>
          </w:p>
        </w:tc>
        <w:tc>
          <w:tcPr>
            <w:tcW w:w="1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$146,383</w:t>
            </w: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connection with certain sales in Asia Pacific, the Company accepts a bank promissory note as customer payment. The notes may be presented for payment at maturity, which is less than one year.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Inventories</w:t>
      </w:r>
    </w:p>
    <w:p>
      <w:pPr>
        <w:spacing w:after="0" w:line="19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Inventories are stated at the lower of cost or market, with cost determined using the first-in-first out method. The Company writes down the inventory for estimated obsolescence and to lower of cost or market value based upon assumptions about future demand and market conditions. If actual market conditions are less favorable than those projected by the Company, additional inventory write-downs may be required. Once established, the original cost of the inventory less the related inventory allowance represents the new cost basis of such inventories.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2016 and December 31, 2015, inventories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Borders>
              <w:top w:val="single" w:sz="8" w:color="auto"/>
            </w:tcBorders>
          </w:tcPr>
          <w:p>
            <w:pPr>
              <w:spacing w:after="0"/>
              <w:rPr>
                <w:sz w:val="16"/>
                <w:szCs w:val="16"/>
                <w:color w:val="auto"/>
              </w:rPr>
            </w:pPr>
          </w:p>
        </w:tc>
        <w:tc>
          <w:tcPr>
            <w:tcW w:w="4920" w:type="dxa"/>
            <w:vAlign w:val="bottom"/>
            <w:tcBorders>
              <w:top w:val="single" w:sz="8" w:color="auto"/>
            </w:tcBorders>
          </w:tcPr>
          <w:p>
            <w:pPr>
              <w:jc w:val="right"/>
              <w:ind w:right="810"/>
              <w:spacing w:after="0" w:line="194" w:lineRule="exact"/>
              <w:rPr>
                <w:sz w:val="20"/>
                <w:szCs w:val="20"/>
                <w:color w:val="auto"/>
              </w:rPr>
            </w:pPr>
            <w:r>
              <w:rPr>
                <w:rFonts w:ascii="Arial" w:cs="Arial" w:eastAsia="Arial" w:hAnsi="Arial"/>
                <w:sz w:val="18"/>
                <w:szCs w:val="18"/>
                <w:b w:val="1"/>
                <w:bCs w:val="1"/>
                <w:color w:val="auto"/>
              </w:rPr>
              <w:t>March 31,</w:t>
            </w:r>
          </w:p>
        </w:tc>
        <w:tc>
          <w:tcPr>
            <w:tcW w:w="200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9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2016</w:t>
            </w:r>
          </w:p>
        </w:tc>
        <w:tc>
          <w:tcPr>
            <w:tcW w:w="2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4500" w:type="dxa"/>
            <w:vAlign w:val="bottom"/>
          </w:tcPr>
          <w:p>
            <w:pPr>
              <w:spacing w:after="0" w:line="173" w:lineRule="exact"/>
              <w:rPr>
                <w:sz w:val="20"/>
                <w:szCs w:val="20"/>
                <w:color w:val="auto"/>
              </w:rPr>
            </w:pPr>
            <w:r>
              <w:rPr>
                <w:rFonts w:ascii="Arial" w:cs="Arial" w:eastAsia="Arial" w:hAnsi="Arial"/>
                <w:sz w:val="18"/>
                <w:szCs w:val="18"/>
                <w:color w:val="auto"/>
              </w:rPr>
              <w:t>Raw materials</w:t>
            </w:r>
          </w:p>
        </w:tc>
        <w:tc>
          <w:tcPr>
            <w:tcW w:w="4920" w:type="dxa"/>
            <w:vAlign w:val="bottom"/>
          </w:tcPr>
          <w:p>
            <w:pPr>
              <w:jc w:val="right"/>
              <w:ind w:right="510"/>
              <w:spacing w:after="0" w:line="173" w:lineRule="exact"/>
              <w:rPr>
                <w:sz w:val="20"/>
                <w:szCs w:val="20"/>
                <w:color w:val="auto"/>
              </w:rPr>
            </w:pPr>
            <w:r>
              <w:rPr>
                <w:rFonts w:ascii="Arial" w:cs="Arial" w:eastAsia="Arial" w:hAnsi="Arial"/>
                <w:sz w:val="18"/>
                <w:szCs w:val="18"/>
                <w:b w:val="1"/>
                <w:bCs w:val="1"/>
                <w:color w:val="auto"/>
              </w:rPr>
              <w:t>$26,824</w:t>
            </w:r>
          </w:p>
        </w:tc>
        <w:tc>
          <w:tcPr>
            <w:tcW w:w="20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$27,636</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49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46,884</w:t>
            </w:r>
          </w:p>
        </w:tc>
        <w:tc>
          <w:tcPr>
            <w:tcW w:w="2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41,823</w:t>
            </w:r>
          </w:p>
        </w:tc>
      </w:tr>
      <w:tr>
        <w:trPr>
          <w:trHeight w:val="2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49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36,648</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36,947</w:t>
            </w:r>
          </w:p>
        </w:tc>
      </w:tr>
      <w:tr>
        <w:trPr>
          <w:trHeight w:val="196"/>
        </w:trPr>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49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$110,356</w:t>
            </w:r>
          </w:p>
        </w:tc>
        <w:tc>
          <w:tcPr>
            <w:tcW w:w="2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$106,406</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Goodwill and Other Intangible Assets</w:t>
      </w:r>
    </w:p>
    <w:p>
      <w:pPr>
        <w:spacing w:after="0" w:line="207"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8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ind w:right="200"/>
        <w:spacing w:after="0" w:line="246" w:lineRule="auto"/>
        <w:rPr>
          <w:sz w:val="20"/>
          <w:szCs w:val="20"/>
          <w:color w:val="auto"/>
        </w:rPr>
      </w:pPr>
      <w:r>
        <w:rPr>
          <w:rFonts w:ascii="Arial" w:cs="Arial" w:eastAsia="Arial" w:hAnsi="Arial"/>
          <w:sz w:val="18"/>
          <w:szCs w:val="18"/>
          <w:color w:val="auto"/>
        </w:rPr>
        <w:t>events, such as significant changes in the business climate, plant closures, changes in product offerings, or other circumstances indicate that the carrying amount may not be recoverable.</w:t>
      </w:r>
    </w:p>
    <w:p>
      <w:pPr>
        <w:spacing w:after="0" w:line="18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89" w:lineRule="exact"/>
        <w:rPr>
          <w:sz w:val="20"/>
          <w:szCs w:val="20"/>
          <w:color w:val="auto"/>
        </w:rPr>
      </w:pPr>
    </w:p>
    <w:p>
      <w:pPr>
        <w:jc w:val="both"/>
        <w:ind w:right="580" w:firstLine="648"/>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2015, the Company applied the qualitative assessment approach in performing its annual evaluation of goodwill and concluded that no impairment provision was required. There were no amounts at risk due to the large spread between the fair and carrying values.</w:t>
      </w:r>
    </w:p>
    <w:p>
      <w:pPr>
        <w:spacing w:after="0" w:line="189"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and technology assets that have finite lives. The changes in intangible assets and goodwill from December 31, 2015 to March 31, 2016,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jc w:val="right"/>
              <w:ind w:right="190"/>
              <w:spacing w:after="0" w:line="194" w:lineRule="exact"/>
              <w:rPr>
                <w:sz w:val="20"/>
                <w:szCs w:val="20"/>
                <w:color w:val="auto"/>
              </w:rPr>
            </w:pPr>
            <w:r>
              <w:rPr>
                <w:rFonts w:ascii="Arial" w:cs="Arial" w:eastAsia="Arial" w:hAnsi="Arial"/>
                <w:sz w:val="18"/>
                <w:szCs w:val="18"/>
                <w:b w:val="1"/>
                <w:bCs w:val="1"/>
                <w:color w:val="auto"/>
              </w:rPr>
              <w:t>December 31,</w:t>
            </w:r>
          </w:p>
        </w:tc>
        <w:tc>
          <w:tcPr>
            <w:tcW w:w="17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Currency</w:t>
            </w:r>
          </w:p>
        </w:tc>
        <w:tc>
          <w:tcPr>
            <w:tcW w:w="1440" w:type="dxa"/>
            <w:vAlign w:val="bottom"/>
            <w:tcBorders>
              <w:top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6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Amortization</w:t>
            </w: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Translation</w:t>
            </w: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98"/>
        </w:trPr>
        <w:tc>
          <w:tcPr>
            <w:tcW w:w="384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tcPr>
          <w:p>
            <w:pPr>
              <w:ind w:left="340"/>
              <w:spacing w:after="0" w:line="181" w:lineRule="exact"/>
              <w:rPr>
                <w:sz w:val="20"/>
                <w:szCs w:val="20"/>
                <w:color w:val="auto"/>
              </w:rPr>
            </w:pPr>
            <w:r>
              <w:rPr>
                <w:rFonts w:ascii="Arial" w:cs="Arial" w:eastAsia="Arial" w:hAnsi="Arial"/>
                <w:sz w:val="18"/>
                <w:szCs w:val="18"/>
                <w:color w:val="auto"/>
              </w:rPr>
              <w:t>AEC trade names</w:t>
            </w:r>
          </w:p>
        </w:tc>
        <w:tc>
          <w:tcPr>
            <w:tcW w:w="266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$25</w:t>
            </w:r>
          </w:p>
        </w:tc>
        <w:tc>
          <w:tcPr>
            <w:tcW w:w="17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$(1)</w:t>
            </w:r>
          </w:p>
        </w:tc>
        <w:tc>
          <w:tcPr>
            <w:tcW w:w="170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AEC technology</w:t>
            </w:r>
          </w:p>
        </w:tc>
        <w:tc>
          <w:tcPr>
            <w:tcW w:w="2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129</w:t>
            </w:r>
          </w:p>
        </w:tc>
        <w:tc>
          <w:tcPr>
            <w:tcW w:w="1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6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$154</w:t>
            </w:r>
          </w:p>
        </w:tc>
        <w:tc>
          <w:tcPr>
            <w:tcW w:w="1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w:t>
            </w:r>
          </w:p>
        </w:tc>
        <w:tc>
          <w:tcPr>
            <w:tcW w:w="17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398"/>
        </w:trPr>
        <w:tc>
          <w:tcPr>
            <w:tcW w:w="384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$68,359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Goodwill</w:t>
            </w:r>
          </w:p>
        </w:tc>
        <w:tc>
          <w:tcPr>
            <w:tcW w:w="26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$66,373</w:t>
            </w:r>
          </w:p>
        </w:tc>
        <w:tc>
          <w:tcPr>
            <w:tcW w:w="17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$1,986</w:t>
            </w: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2016 through 2020,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Borders>
              <w:top w:val="single" w:sz="8" w:color="auto"/>
            </w:tcBorders>
          </w:tcPr>
          <w:p>
            <w:pPr>
              <w:spacing w:after="0"/>
              <w:rPr>
                <w:sz w:val="16"/>
                <w:szCs w:val="16"/>
                <w:color w:val="auto"/>
              </w:rPr>
            </w:pPr>
          </w:p>
        </w:tc>
        <w:tc>
          <w:tcPr>
            <w:tcW w:w="72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Annual amortization</w:t>
            </w:r>
          </w:p>
        </w:tc>
      </w:tr>
      <w:tr>
        <w:trPr>
          <w:trHeight w:val="225"/>
        </w:trPr>
        <w:tc>
          <w:tcPr>
            <w:tcW w:w="42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Year</w:t>
            </w:r>
          </w:p>
        </w:tc>
        <w:tc>
          <w:tcPr>
            <w:tcW w:w="7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4200" w:type="dxa"/>
            <w:vAlign w:val="bottom"/>
          </w:tcPr>
          <w:p>
            <w:pPr>
              <w:jc w:val="right"/>
              <w:ind w:right="1390"/>
              <w:spacing w:after="0" w:line="195" w:lineRule="exact"/>
              <w:rPr>
                <w:sz w:val="20"/>
                <w:szCs w:val="20"/>
                <w:color w:val="auto"/>
              </w:rPr>
            </w:pPr>
            <w:r>
              <w:rPr>
                <w:rFonts w:ascii="Arial" w:cs="Arial" w:eastAsia="Arial" w:hAnsi="Arial"/>
                <w:sz w:val="18"/>
                <w:szCs w:val="18"/>
                <w:color w:val="auto"/>
              </w:rPr>
              <w:t>2016</w:t>
            </w:r>
          </w:p>
        </w:tc>
        <w:tc>
          <w:tcPr>
            <w:tcW w:w="7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$29</w:t>
            </w:r>
          </w:p>
        </w:tc>
      </w:tr>
      <w:tr>
        <w:trPr>
          <w:trHeight w:val="203"/>
        </w:trPr>
        <w:tc>
          <w:tcPr>
            <w:tcW w:w="4200" w:type="dxa"/>
            <w:vAlign w:val="bottom"/>
          </w:tcPr>
          <w:p>
            <w:pPr>
              <w:jc w:val="right"/>
              <w:ind w:right="1390"/>
              <w:spacing w:after="0" w:line="202" w:lineRule="exact"/>
              <w:rPr>
                <w:sz w:val="20"/>
                <w:szCs w:val="20"/>
                <w:color w:val="auto"/>
              </w:rPr>
            </w:pPr>
            <w:r>
              <w:rPr>
                <w:rFonts w:ascii="Arial" w:cs="Arial" w:eastAsia="Arial" w:hAnsi="Arial"/>
                <w:sz w:val="18"/>
                <w:szCs w:val="18"/>
                <w:color w:val="auto"/>
              </w:rPr>
              <w:t>2017</w:t>
            </w:r>
          </w:p>
        </w:tc>
        <w:tc>
          <w:tcPr>
            <w:tcW w:w="7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4200" w:type="dxa"/>
            <w:vAlign w:val="bottom"/>
          </w:tcPr>
          <w:p>
            <w:pPr>
              <w:jc w:val="right"/>
              <w:ind w:right="1390"/>
              <w:spacing w:after="0" w:line="202" w:lineRule="exact"/>
              <w:rPr>
                <w:sz w:val="20"/>
                <w:szCs w:val="20"/>
                <w:color w:val="auto"/>
              </w:rPr>
            </w:pPr>
            <w:r>
              <w:rPr>
                <w:rFonts w:ascii="Arial" w:cs="Arial" w:eastAsia="Arial" w:hAnsi="Arial"/>
                <w:sz w:val="18"/>
                <w:szCs w:val="18"/>
                <w:color w:val="auto"/>
              </w:rPr>
              <w:t>2018</w:t>
            </w:r>
          </w:p>
        </w:tc>
        <w:tc>
          <w:tcPr>
            <w:tcW w:w="7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4200" w:type="dxa"/>
            <w:vAlign w:val="bottom"/>
          </w:tcPr>
          <w:p>
            <w:pPr>
              <w:jc w:val="right"/>
              <w:ind w:right="1390"/>
              <w:spacing w:after="0" w:line="202" w:lineRule="exact"/>
              <w:rPr>
                <w:sz w:val="20"/>
                <w:szCs w:val="20"/>
                <w:color w:val="auto"/>
              </w:rPr>
            </w:pPr>
            <w:r>
              <w:rPr>
                <w:rFonts w:ascii="Arial" w:cs="Arial" w:eastAsia="Arial" w:hAnsi="Arial"/>
                <w:sz w:val="18"/>
                <w:szCs w:val="18"/>
                <w:color w:val="auto"/>
              </w:rPr>
              <w:t>2019</w:t>
            </w:r>
          </w:p>
        </w:tc>
        <w:tc>
          <w:tcPr>
            <w:tcW w:w="7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4200" w:type="dxa"/>
            <w:vAlign w:val="bottom"/>
            <w:tcBorders>
              <w:bottom w:val="single" w:sz="8" w:color="auto"/>
            </w:tcBorders>
          </w:tcPr>
          <w:p>
            <w:pPr>
              <w:jc w:val="right"/>
              <w:ind w:right="1390"/>
              <w:spacing w:after="0" w:line="203" w:lineRule="exact"/>
              <w:rPr>
                <w:sz w:val="20"/>
                <w:szCs w:val="20"/>
                <w:color w:val="auto"/>
              </w:rPr>
            </w:pPr>
            <w:r>
              <w:rPr>
                <w:rFonts w:ascii="Arial" w:cs="Arial" w:eastAsia="Arial" w:hAnsi="Arial"/>
                <w:sz w:val="18"/>
                <w:szCs w:val="18"/>
                <w:color w:val="auto"/>
              </w:rPr>
              <w:t>2020</w:t>
            </w:r>
          </w:p>
        </w:tc>
        <w:tc>
          <w:tcPr>
            <w:tcW w:w="7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29</w:t>
            </w:r>
          </w:p>
        </w:tc>
      </w:tr>
      <w:tr>
        <w:trPr>
          <w:trHeight w:val="601"/>
        </w:trPr>
        <w:tc>
          <w:tcPr>
            <w:tcW w:w="4200" w:type="dxa"/>
            <w:vAlign w:val="bottom"/>
          </w:tcPr>
          <w:p>
            <w:pPr>
              <w:spacing w:after="0"/>
              <w:rPr>
                <w:sz w:val="24"/>
                <w:szCs w:val="24"/>
                <w:color w:val="auto"/>
              </w:rPr>
            </w:pPr>
          </w:p>
        </w:tc>
        <w:tc>
          <w:tcPr>
            <w:tcW w:w="7220" w:type="dxa"/>
            <w:vAlign w:val="bottom"/>
          </w:tcPr>
          <w:p>
            <w:pPr>
              <w:jc w:val="right"/>
              <w:ind w:right="5530"/>
              <w:spacing w:after="0"/>
              <w:rPr>
                <w:sz w:val="20"/>
                <w:szCs w:val="20"/>
                <w:color w:val="auto"/>
              </w:rPr>
            </w:pPr>
            <w:r>
              <w:rPr>
                <w:rFonts w:ascii="Arial" w:cs="Arial" w:eastAsia="Arial" w:hAnsi="Arial"/>
                <w:sz w:val="18"/>
                <w:szCs w:val="18"/>
                <w:color w:val="auto"/>
              </w:rPr>
              <w:t>16</w:t>
            </w:r>
          </w:p>
        </w:tc>
      </w:tr>
      <w:tr>
        <w:trPr>
          <w:trHeight w:val="142"/>
        </w:trPr>
        <w:tc>
          <w:tcPr>
            <w:tcW w:w="4200" w:type="dxa"/>
            <w:vAlign w:val="bottom"/>
            <w:tcBorders>
              <w:bottom w:val="single" w:sz="8" w:color="auto"/>
            </w:tcBorders>
          </w:tcPr>
          <w:p>
            <w:pPr>
              <w:spacing w:after="0"/>
              <w:rPr>
                <w:sz w:val="12"/>
                <w:szCs w:val="12"/>
                <w:color w:val="auto"/>
              </w:rPr>
            </w:pPr>
          </w:p>
        </w:tc>
        <w:tc>
          <w:tcPr>
            <w:tcW w:w="722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4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14. Financial Instruments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2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March 31, 2016</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412"/>
        </w:trPr>
        <w:tc>
          <w:tcPr>
            <w:tcW w:w="686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2017</w:t>
            </w:r>
          </w:p>
        </w:tc>
        <w:tc>
          <w:tcPr>
            <w:tcW w:w="2460" w:type="dxa"/>
            <w:vAlign w:val="bottom"/>
          </w:tcPr>
          <w:p>
            <w:pPr>
              <w:jc w:val="right"/>
              <w:ind w:right="450"/>
              <w:spacing w:after="0"/>
              <w:rPr>
                <w:sz w:val="20"/>
                <w:szCs w:val="20"/>
                <w:color w:val="auto"/>
              </w:rPr>
            </w:pPr>
            <w:r>
              <w:rPr>
                <w:rFonts w:ascii="Arial" w:cs="Arial" w:eastAsia="Arial" w:hAnsi="Arial"/>
                <w:sz w:val="18"/>
                <w:szCs w:val="18"/>
                <w:b w:val="1"/>
                <w:bCs w:val="1"/>
                <w:color w:val="auto"/>
              </w:rPr>
              <w:t>$50,000</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91"/>
        </w:trPr>
        <w:tc>
          <w:tcPr>
            <w:tcW w:w="686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w:t>
            </w: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of 2.34% in 2016 and 2.27% in 2015 (including the effect of interest rate</w:t>
            </w:r>
          </w:p>
        </w:tc>
        <w:tc>
          <w:tcPr>
            <w:tcW w:w="24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205,000</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hedging transactions, as described below)</w:t>
            </w:r>
          </w:p>
        </w:tc>
        <w:tc>
          <w:tcPr>
            <w:tcW w:w="2460" w:type="dxa"/>
            <w:vAlign w:val="bottom"/>
            <w:vMerge w:val="continue"/>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391"/>
        </w:trPr>
        <w:tc>
          <w:tcPr>
            <w:tcW w:w="686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w:t>
            </w: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United States, at an average end of period rate of 5.5% in 2016 and 2015, due</w:t>
            </w:r>
          </w:p>
        </w:tc>
        <w:tc>
          <w:tcPr>
            <w:tcW w:w="24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92</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varying amounts through 2021</w:t>
            </w:r>
          </w:p>
        </w:tc>
        <w:tc>
          <w:tcPr>
            <w:tcW w:w="246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12"/>
        </w:trPr>
        <w:tc>
          <w:tcPr>
            <w:tcW w:w="6860" w:type="dxa"/>
            <w:vAlign w:val="bottom"/>
          </w:tcPr>
          <w:p>
            <w:pPr>
              <w:spacing w:after="0"/>
              <w:rPr>
                <w:sz w:val="20"/>
                <w:szCs w:val="20"/>
                <w:color w:val="auto"/>
              </w:rPr>
            </w:pPr>
            <w:r>
              <w:rPr>
                <w:rFonts w:ascii="Arial" w:cs="Arial" w:eastAsia="Arial" w:hAnsi="Arial"/>
                <w:sz w:val="18"/>
                <w:szCs w:val="18"/>
                <w:color w:val="auto"/>
              </w:rPr>
              <w:t>Long-term debt</w:t>
            </w:r>
          </w:p>
        </w:tc>
        <w:tc>
          <w:tcPr>
            <w:tcW w:w="2460" w:type="dxa"/>
            <w:vAlign w:val="bottom"/>
          </w:tcPr>
          <w:p>
            <w:pPr>
              <w:jc w:val="right"/>
              <w:ind w:right="450"/>
              <w:spacing w:after="0"/>
              <w:rPr>
                <w:sz w:val="20"/>
                <w:szCs w:val="20"/>
                <w:color w:val="auto"/>
              </w:rPr>
            </w:pPr>
            <w:r>
              <w:rPr>
                <w:rFonts w:ascii="Arial" w:cs="Arial" w:eastAsia="Arial" w:hAnsi="Arial"/>
                <w:sz w:val="18"/>
                <w:szCs w:val="18"/>
                <w:b w:val="1"/>
                <w:bCs w:val="1"/>
                <w:color w:val="auto"/>
              </w:rPr>
              <w:t>255,092</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265,096</w:t>
            </w:r>
          </w:p>
        </w:tc>
        <w:tc>
          <w:tcPr>
            <w:tcW w:w="0" w:type="dxa"/>
            <w:vAlign w:val="bottom"/>
          </w:tcPr>
          <w:p>
            <w:pPr>
              <w:spacing w:after="0"/>
              <w:rPr>
                <w:sz w:val="1"/>
                <w:szCs w:val="1"/>
                <w:color w:val="auto"/>
              </w:rPr>
            </w:pPr>
          </w:p>
        </w:tc>
      </w:tr>
      <w:tr>
        <w:trPr>
          <w:trHeight w:val="392"/>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2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(16)</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99"/>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2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$255,076</w:t>
            </w: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A note agreement and guaranty (“Prudential Agreement”) was originally entered into in October 2005 with the Prudential Insurance Company of America, and certain other purchasers, with interest at 6.84% and a maturity date of October 25, 2017. The remaining obligation under the Prudential Agreement has a final payment of $50 million due on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agreement (as described below). The Prudential Agreement has been amended a number of times, most recently in April 2016, in order to maintain terms comparable to our current principal credit facility. For disclosure purposes, we are required to measure the fair value of outstanding debt on a recurring basis. As of March 31, 2016, the fair value of this debt was approximately $54.3 million, and was measured using active market interest rates, which would be considered Level 2 for fair value measurement purposes.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June 18, 2015, we entered into a $400 million, unsecured Five-Year Revolving Credit Facility Agreement (the “Prior Agreement”), under which $205 million of borrowings were outstanding as of March 31, 2016. The applicable interest rate for borrowings under the Prior Agreement was LIBOR plus a spread, based on our leverage ratio at the time of borrowing. At the time of the last borrowing on March 16, 2016, the spread was 1.375%. The spread was based on a pricing grid, which ranged from 1.250% to 1.750%, based on our leverage ratio. Based on our maximum leverage ratio and our Consolidated EBITDA (as defined in the Prior Agreement), and without modification to any other credit agreements, as of March 31, 2016, we would have been able to borrow an additional $195 million under the Prior Agreement.</w:t>
      </w:r>
    </w:p>
    <w:p>
      <w:pPr>
        <w:spacing w:after="0" w:line="192"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On April 8, 2016, we entered into a $550 million unsecured Five-Year Revolving Credit Facility Agreement (the “Credit Agreement”) which amends and restates the Prior Agreement. The Credit Agreement contains customary terms, as well as affirmative covenants, negative covenants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events of default comparable to those in the Prior Agreement. The Borrowings are guaranteed by certain of the Company's subsidiaries.</w:t>
      </w:r>
    </w:p>
    <w:p>
      <w:pPr>
        <w:spacing w:after="0" w:line="212"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19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March 16, 2016 was 0.450%. The net effect is to fix the effective interest rate on $110 million of indebtedness at 1.414%, plus the applicable spread, during the swap period. On March 16, 2016, the all-in-rate on the $110 million of debt was 2.789%.</w:t>
      </w:r>
    </w:p>
    <w:p>
      <w:pPr>
        <w:spacing w:after="0" w:line="205"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On July 16, 2015, we entered into interest rate hedging transactions for the period March 16, 2018 through June 16, 2020. These transactions have the effect of fixing the LIBOR portion of the effective interest rate (before addition of the spread) on $120 million of indebtedness drawn under the Credit Agreement at the rate of 2.43% during this period. Under the terms of these transactions, we pay the fixed rate of 2.43% and the counterparties pay a floating rate based on the one-month LIBOR rate at each monthly calculation date, which on March 16, 2016 was 0.45%. The net effect is to fix the effective interest rate on $120 million of indebtedness at 2.43%, plus the applicable spread, during the swap period.</w:t>
      </w:r>
    </w:p>
    <w:p>
      <w:pPr>
        <w:spacing w:after="0" w:line="205" w:lineRule="exact"/>
        <w:rPr>
          <w:sz w:val="20"/>
          <w:szCs w:val="20"/>
          <w:color w:val="auto"/>
        </w:rPr>
      </w:pPr>
    </w:p>
    <w:p>
      <w:pPr>
        <w:ind w:right="84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of the Notes to Consolidated Financial Statements. No cash collateral was received or pledged in relation to the swap agreements.</w:t>
      </w:r>
    </w:p>
    <w:p>
      <w:pPr>
        <w:spacing w:after="0" w:line="197"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97"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As of March 31, 2016, our leverage ratio, including the pro-forma effect of the acquisition, was 2.57 to 1.00 and our interest coverage ratio was 13.59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8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March 31, 2016.</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Fair-Value Measurements</w:t>
      </w:r>
    </w:p>
    <w:p>
      <w:pPr>
        <w:spacing w:after="0" w:line="23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18" w:name="page19"/>
    <w:bookmarkEnd w:id="18"/>
    <w:p>
      <w:pPr>
        <w:ind w:right="340"/>
        <w:spacing w:after="0" w:line="239" w:lineRule="auto"/>
        <w:rPr>
          <w:sz w:val="20"/>
          <w:szCs w:val="20"/>
          <w:color w:val="auto"/>
        </w:rPr>
      </w:pPr>
      <w:r>
        <w:rPr>
          <w:rFonts w:ascii="Arial" w:cs="Arial" w:eastAsia="Arial" w:hAnsi="Arial"/>
          <w:sz w:val="18"/>
          <w:szCs w:val="18"/>
          <w:color w:val="auto"/>
        </w:rPr>
        <w:t>situations in which there is little, if any, market activity for the asset or liability. In 2015 we reclassified land and building related to the former manufacturing facility in Germany as Asset held for sale in the accompanying Consolidated Balance Sheets. As of March 31, 2016 and December 31, 2015, we have Level 3 financial assets of $5.2 million and $5.0 million, respectively. The value as of March 31, 2016 was determined based on preliminary offers from active market participants.</w:t>
      </w:r>
    </w:p>
    <w:p>
      <w:pPr>
        <w:spacing w:after="0" w:line="202"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 and Level 3 non-financial measured at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2"/>
          </w:tcPr>
          <w:p>
            <w:pPr>
              <w:jc w:val="right"/>
              <w:ind w:right="1190"/>
              <w:spacing w:after="0" w:line="173" w:lineRule="exact"/>
              <w:rPr>
                <w:sz w:val="20"/>
                <w:szCs w:val="20"/>
                <w:color w:val="auto"/>
              </w:rPr>
            </w:pPr>
            <w:r>
              <w:rPr>
                <w:rFonts w:ascii="Arial" w:cs="Arial" w:eastAsia="Arial" w:hAnsi="Arial"/>
                <w:sz w:val="18"/>
                <w:szCs w:val="18"/>
                <w:b w:val="1"/>
                <w:bCs w:val="1"/>
                <w:color w:val="auto"/>
              </w:rPr>
              <w:t>March 31, 2016</w:t>
            </w:r>
          </w:p>
        </w:tc>
        <w:tc>
          <w:tcPr>
            <w:tcW w:w="3260" w:type="dxa"/>
            <w:vAlign w:val="bottom"/>
            <w:tcBorders>
              <w:top w:val="single" w:sz="8" w:color="auto"/>
            </w:tcBorders>
            <w:gridSpan w:val="3"/>
          </w:tcPr>
          <w:p>
            <w:pPr>
              <w:jc w:val="center"/>
              <w:spacing w:after="0" w:line="173" w:lineRule="exact"/>
              <w:rPr>
                <w:sz w:val="20"/>
                <w:szCs w:val="20"/>
                <w:color w:val="auto"/>
              </w:rPr>
            </w:pPr>
            <w:r>
              <w:rPr>
                <w:rFonts w:ascii="Arial" w:cs="Arial" w:eastAsia="Arial" w:hAnsi="Arial"/>
                <w:sz w:val="18"/>
                <w:szCs w:val="18"/>
                <w:b w:val="1"/>
                <w:bCs w:val="1"/>
                <w:color w:val="auto"/>
                <w:w w:val="99"/>
              </w:rPr>
              <w:t>December 31,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36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8"/>
              </w:rPr>
              <w:t>Quoted</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400" w:type="dxa"/>
            <w:vAlign w:val="bottom"/>
          </w:tcPr>
          <w:p>
            <w:pPr>
              <w:spacing w:after="0"/>
              <w:rPr>
                <w:sz w:val="17"/>
                <w:szCs w:val="17"/>
                <w:color w:val="auto"/>
              </w:rPr>
            </w:pPr>
          </w:p>
        </w:tc>
        <w:tc>
          <w:tcPr>
            <w:tcW w:w="10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Quoted</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Significant</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36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prices in</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1400" w:type="dxa"/>
            <w:vAlign w:val="bottom"/>
          </w:tcPr>
          <w:p>
            <w:pPr>
              <w:spacing w:after="0"/>
              <w:rPr>
                <w:sz w:val="17"/>
                <w:szCs w:val="17"/>
                <w:color w:val="auto"/>
              </w:rPr>
            </w:pPr>
          </w:p>
        </w:tc>
        <w:tc>
          <w:tcPr>
            <w:tcW w:w="10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prices in</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36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7"/>
              </w:rPr>
              <w:t>active</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14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10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active</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observable</w:t>
            </w:r>
          </w:p>
        </w:tc>
        <w:tc>
          <w:tcPr>
            <w:tcW w:w="11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Unobservable</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36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rPr>
              <w:t>markets</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14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inputs</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markets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inputs</w:t>
            </w:r>
          </w:p>
        </w:tc>
        <w:tc>
          <w:tcPr>
            <w:tcW w:w="11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inputs</w:t>
            </w:r>
          </w:p>
        </w:tc>
        <w:tc>
          <w:tcPr>
            <w:tcW w:w="0" w:type="dxa"/>
            <w:vAlign w:val="bottom"/>
          </w:tcPr>
          <w:p>
            <w:pPr>
              <w:spacing w:after="0"/>
              <w:rPr>
                <w:sz w:val="1"/>
                <w:szCs w:val="1"/>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Pr>
          <w:p>
            <w:pPr>
              <w:jc w:val="center"/>
              <w:ind w:left="170"/>
              <w:spacing w:after="0"/>
              <w:rPr>
                <w:sz w:val="20"/>
                <w:szCs w:val="20"/>
                <w:color w:val="auto"/>
              </w:rPr>
            </w:pPr>
            <w:r>
              <w:rPr>
                <w:rFonts w:ascii="Arial" w:cs="Arial" w:eastAsia="Arial" w:hAnsi="Arial"/>
                <w:sz w:val="18"/>
                <w:szCs w:val="18"/>
                <w:b w:val="1"/>
                <w:bCs w:val="1"/>
                <w:color w:val="auto"/>
              </w:rPr>
              <w:t>(Level 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rPr>
              <w:t>(Level 3)</w:t>
            </w: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9"/>
              </w:rPr>
              <w:t>(Level 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9"/>
              </w:rPr>
              <w:t>(Level 3)</w:t>
            </w:r>
          </w:p>
        </w:tc>
        <w:tc>
          <w:tcPr>
            <w:tcW w:w="0" w:type="dxa"/>
            <w:vAlign w:val="bottom"/>
          </w:tcPr>
          <w:p>
            <w:pPr>
              <w:spacing w:after="0"/>
              <w:rPr>
                <w:sz w:val="1"/>
                <w:szCs w:val="1"/>
                <w:color w:val="auto"/>
              </w:rPr>
            </w:pPr>
          </w:p>
        </w:tc>
      </w:tr>
      <w:tr>
        <w:trPr>
          <w:trHeight w:val="177"/>
        </w:trPr>
        <w:tc>
          <w:tcPr>
            <w:tcW w:w="41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1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$9,028</w:t>
            </w:r>
          </w:p>
        </w:tc>
        <w:tc>
          <w:tcPr>
            <w:tcW w:w="1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160" w:type="dxa"/>
            <w:vAlign w:val="bottom"/>
          </w:tcPr>
          <w:p>
            <w:pPr>
              <w:ind w:left="140"/>
              <w:spacing w:after="0" w:line="181" w:lineRule="exact"/>
              <w:rPr>
                <w:sz w:val="20"/>
                <w:szCs w:val="20"/>
                <w:color w:val="auto"/>
              </w:rPr>
            </w:pPr>
            <w:r>
              <w:rPr>
                <w:rFonts w:ascii="Arial" w:cs="Arial" w:eastAsia="Arial" w:hAnsi="Arial"/>
                <w:sz w:val="18"/>
                <w:szCs w:val="18"/>
                <w:color w:val="auto"/>
              </w:rPr>
              <w:t>Cash equivalents</w:t>
            </w:r>
          </w:p>
        </w:tc>
        <w:tc>
          <w:tcPr>
            <w:tcW w:w="13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$5,189</w:t>
            </w:r>
          </w:p>
        </w:tc>
        <w:tc>
          <w:tcPr>
            <w:tcW w:w="1020" w:type="dxa"/>
            <w:vAlign w:val="bottom"/>
          </w:tcPr>
          <w:p>
            <w:pPr>
              <w:jc w:val="right"/>
              <w:ind w:right="70"/>
              <w:spacing w:after="0" w:line="181"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140"/>
              <w:spacing w:after="0"/>
              <w:rPr>
                <w:sz w:val="20"/>
                <w:szCs w:val="20"/>
                <w:color w:val="auto"/>
              </w:rPr>
            </w:pPr>
            <w:r>
              <w:rPr>
                <w:rFonts w:ascii="Arial" w:cs="Arial" w:eastAsia="Arial" w:hAnsi="Arial"/>
                <w:sz w:val="18"/>
                <w:szCs w:val="18"/>
                <w:color w:val="auto"/>
              </w:rPr>
              <w:t>Asset held for sale</w:t>
            </w: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5,193</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263</w:t>
            </w: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260"/>
              <w:spacing w:after="0" w:line="185" w:lineRule="exact"/>
              <w:rPr>
                <w:sz w:val="20"/>
                <w:szCs w:val="20"/>
                <w:color w:val="auto"/>
              </w:rPr>
            </w:pPr>
            <w:r>
              <w:rPr>
                <w:rFonts w:ascii="Arial" w:cs="Arial" w:eastAsia="Arial" w:hAnsi="Arial"/>
                <w:sz w:val="18"/>
                <w:szCs w:val="18"/>
                <w:color w:val="auto"/>
              </w:rPr>
              <w:t>Foreign currency options</w:t>
            </w:r>
          </w:p>
        </w:tc>
        <w:tc>
          <w:tcPr>
            <w:tcW w:w="13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080" w:type="dxa"/>
            <w:vAlign w:val="bottom"/>
          </w:tcPr>
          <w:p>
            <w:pPr>
              <w:jc w:val="right"/>
              <w:ind w:right="250"/>
              <w:spacing w:after="0" w:line="185"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line="185"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18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160" w:type="dxa"/>
            <w:vAlign w:val="bottom"/>
          </w:tcPr>
          <w:p>
            <w:pPr>
              <w:ind w:left="140"/>
              <w:spacing w:after="0"/>
              <w:rPr>
                <w:sz w:val="20"/>
                <w:szCs w:val="20"/>
                <w:color w:val="auto"/>
              </w:rPr>
            </w:pPr>
            <w:r>
              <w:rPr>
                <w:rFonts w:ascii="Arial" w:cs="Arial" w:eastAsia="Arial" w:hAnsi="Arial"/>
                <w:sz w:val="18"/>
                <w:szCs w:val="18"/>
                <w:i w:val="1"/>
                <w:iCs w:val="1"/>
                <w:color w:val="auto"/>
              </w:rPr>
              <w:t>Other Assets:</w:t>
            </w: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60"/>
              <w:spacing w:after="0" w:line="202" w:lineRule="exact"/>
              <w:rPr>
                <w:sz w:val="20"/>
                <w:szCs w:val="20"/>
                <w:color w:val="auto"/>
              </w:rPr>
            </w:pPr>
            <w:r>
              <w:rPr>
                <w:rFonts w:ascii="Arial" w:cs="Arial" w:eastAsia="Arial" w:hAnsi="Arial"/>
                <w:sz w:val="18"/>
                <w:szCs w:val="18"/>
                <w:color w:val="auto"/>
              </w:rPr>
              <w:t>Common stock of unaffiliated foreign public</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721</w:t>
            </w:r>
            <w:r>
              <w:rPr>
                <w:rFonts w:ascii="Arial" w:cs="Arial" w:eastAsia="Arial" w:hAnsi="Arial"/>
                <w:sz w:val="15"/>
                <w:szCs w:val="15"/>
                <w:b w:val="1"/>
                <w:bCs w:val="1"/>
                <w:color w:val="auto"/>
              </w:rPr>
              <w:t>(a)</w:t>
            </w:r>
          </w:p>
        </w:tc>
        <w:tc>
          <w:tcPr>
            <w:tcW w:w="1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260"/>
              <w:spacing w:after="0" w:line="185" w:lineRule="exact"/>
              <w:rPr>
                <w:sz w:val="20"/>
                <w:szCs w:val="20"/>
                <w:color w:val="auto"/>
              </w:rPr>
            </w:pPr>
            <w:r>
              <w:rPr>
                <w:rFonts w:ascii="Arial" w:cs="Arial" w:eastAsia="Arial" w:hAnsi="Arial"/>
                <w:sz w:val="18"/>
                <w:szCs w:val="18"/>
                <w:color w:val="auto"/>
              </w:rPr>
              <w:t>company</w:t>
            </w:r>
          </w:p>
        </w:tc>
        <w:tc>
          <w:tcPr>
            <w:tcW w:w="13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080" w:type="dxa"/>
            <w:vAlign w:val="bottom"/>
          </w:tcPr>
          <w:p>
            <w:pPr>
              <w:jc w:val="right"/>
              <w:ind w:right="250"/>
              <w:spacing w:after="0" w:line="185" w:lineRule="exact"/>
              <w:rPr>
                <w:sz w:val="20"/>
                <w:szCs w:val="20"/>
                <w:color w:val="auto"/>
              </w:rPr>
            </w:pPr>
            <w:r>
              <w:rPr>
                <w:rFonts w:ascii="Arial" w:cs="Arial" w:eastAsia="Arial" w:hAnsi="Arial"/>
                <w:sz w:val="18"/>
                <w:szCs w:val="18"/>
                <w:color w:val="auto"/>
              </w:rPr>
              <w:t>819</w:t>
            </w:r>
          </w:p>
        </w:tc>
        <w:tc>
          <w:tcPr>
            <w:tcW w:w="1020" w:type="dxa"/>
            <w:vAlign w:val="bottom"/>
          </w:tcPr>
          <w:p>
            <w:pPr>
              <w:jc w:val="right"/>
              <w:ind w:right="70"/>
              <w:spacing w:after="0" w:line="185"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18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136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xml:space="preserve">(4,971) </w:t>
            </w:r>
            <w:r>
              <w:rPr>
                <w:rFonts w:ascii="Arial" w:cs="Arial" w:eastAsia="Arial" w:hAnsi="Arial"/>
                <w:sz w:val="30"/>
                <w:szCs w:val="30"/>
                <w:b w:val="1"/>
                <w:bCs w:val="1"/>
                <w:color w:val="auto"/>
                <w:vertAlign w:val="superscript"/>
              </w:rPr>
              <w:t>(b)</w:t>
            </w:r>
          </w:p>
        </w:tc>
        <w:tc>
          <w:tcPr>
            <w:tcW w:w="14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 xml:space="preserve">(2,400) </w:t>
            </w:r>
            <w:r>
              <w:rPr>
                <w:rFonts w:ascii="Arial" w:cs="Arial" w:eastAsia="Arial" w:hAnsi="Arial"/>
                <w:sz w:val="30"/>
                <w:szCs w:val="30"/>
                <w:color w:val="auto"/>
                <w:vertAlign w:val="superscript"/>
              </w:rPr>
              <w:t>(c)</w:t>
            </w: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16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continue"/>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Original cost basis $0.5 million</w:t>
      </w:r>
    </w:p>
    <w:p>
      <w:pPr>
        <w:spacing w:after="0" w:line="41" w:lineRule="exact"/>
        <w:rPr>
          <w:rFonts w:ascii="Arial" w:cs="Arial" w:eastAsia="Arial" w:hAnsi="Arial"/>
          <w:sz w:val="14"/>
          <w:szCs w:val="14"/>
          <w:color w:val="auto"/>
        </w:rPr>
      </w:pPr>
    </w:p>
    <w:p>
      <w:pPr>
        <w:ind w:left="1300" w:hanging="320"/>
        <w:spacing w:after="0"/>
        <w:tabs>
          <w:tab w:leader="none" w:pos="1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$4.6 million receivable floating leg and $9.6 million liability fixed leg</w:t>
      </w:r>
    </w:p>
    <w:p>
      <w:pPr>
        <w:spacing w:after="0" w:line="28" w:lineRule="exact"/>
        <w:rPr>
          <w:rFonts w:ascii="Arial" w:cs="Arial" w:eastAsia="Arial" w:hAnsi="Arial"/>
          <w:sz w:val="14"/>
          <w:szCs w:val="14"/>
          <w:color w:val="auto"/>
        </w:rPr>
      </w:pPr>
    </w:p>
    <w:p>
      <w:pPr>
        <w:ind w:left="1300" w:hanging="320"/>
        <w:spacing w:after="0"/>
        <w:tabs>
          <w:tab w:leader="none" w:pos="1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$7.4 million receivable floating leg and $9.8 million liability fixed leg</w:t>
      </w:r>
    </w:p>
    <w:p>
      <w:pPr>
        <w:spacing w:after="0" w:line="21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205"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payable, as applicable. Changes in fair value of these instruments are recorded as gains or losses within Other (income)/expenses, net.</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21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2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March 31, 2016,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$0.3 million for the three month period ended March 31, 2016 and $0.5 million for the three month period ended March 31, 2015.</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Borders>
              <w:top w:val="single" w:sz="8" w:color="auto"/>
            </w:tcBorders>
          </w:tcPr>
          <w:p>
            <w:pPr>
              <w:spacing w:after="0"/>
              <w:rPr>
                <w:sz w:val="16"/>
                <w:szCs w:val="16"/>
                <w:color w:val="auto"/>
              </w:rPr>
            </w:pPr>
          </w:p>
        </w:tc>
        <w:tc>
          <w:tcPr>
            <w:tcW w:w="5500" w:type="dxa"/>
            <w:vAlign w:val="bottom"/>
            <w:tcBorders>
              <w:top w:val="single" w:sz="8" w:color="auto"/>
            </w:tcBorders>
          </w:tcPr>
          <w:p>
            <w:pPr>
              <w:jc w:val="center"/>
              <w:ind w:left="3470"/>
              <w:spacing w:after="0" w:line="194" w:lineRule="exact"/>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5500" w:type="dxa"/>
            <w:vAlign w:val="bottom"/>
          </w:tcPr>
          <w:p>
            <w:pPr>
              <w:jc w:val="center"/>
              <w:ind w:left="3470"/>
              <w:spacing w:after="0" w:line="202" w:lineRule="exact"/>
              <w:rPr>
                <w:sz w:val="20"/>
                <w:szCs w:val="20"/>
                <w:color w:val="auto"/>
              </w:rPr>
            </w:pPr>
            <w:r>
              <w:rPr>
                <w:rFonts w:ascii="Arial" w:cs="Arial" w:eastAsia="Arial" w:hAnsi="Arial"/>
                <w:sz w:val="18"/>
                <w:szCs w:val="18"/>
                <w:b w:val="1"/>
                <w:bCs w:val="1"/>
                <w:color w:val="auto"/>
                <w:w w:val="98"/>
              </w:rPr>
              <w:t>March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50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8"/>
        </w:trPr>
        <w:tc>
          <w:tcPr>
            <w:tcW w:w="48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550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$205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Foreign currency options</w:t>
            </w:r>
          </w:p>
        </w:tc>
        <w:tc>
          <w:tcPr>
            <w:tcW w:w="55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588"/>
        </w:trPr>
        <w:tc>
          <w:tcPr>
            <w:tcW w:w="4840" w:type="dxa"/>
            <w:vAlign w:val="bottom"/>
          </w:tcPr>
          <w:p>
            <w:pPr>
              <w:spacing w:after="0"/>
              <w:rPr>
                <w:sz w:val="24"/>
                <w:szCs w:val="24"/>
                <w:color w:val="auto"/>
              </w:rPr>
            </w:pPr>
          </w:p>
        </w:tc>
        <w:tc>
          <w:tcPr>
            <w:tcW w:w="5500" w:type="dxa"/>
            <w:vAlign w:val="bottom"/>
          </w:tcPr>
          <w:p>
            <w:pPr>
              <w:jc w:val="right"/>
              <w:ind w:right="4450"/>
              <w:spacing w:after="0"/>
              <w:rPr>
                <w:sz w:val="20"/>
                <w:szCs w:val="20"/>
                <w:color w:val="auto"/>
              </w:rPr>
            </w:pPr>
            <w:r>
              <w:rPr>
                <w:rFonts w:ascii="Arial" w:cs="Arial" w:eastAsia="Arial" w:hAnsi="Arial"/>
                <w:sz w:val="18"/>
                <w:szCs w:val="18"/>
                <w:color w:val="auto"/>
              </w:rPr>
              <w:t>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auto"/>
            </w:tcBorders>
          </w:tcPr>
          <w:p>
            <w:pPr>
              <w:spacing w:after="0"/>
              <w:rPr>
                <w:sz w:val="12"/>
                <w:szCs w:val="12"/>
                <w:color w:val="auto"/>
              </w:rPr>
            </w:pPr>
          </w:p>
        </w:tc>
        <w:tc>
          <w:tcPr>
            <w:tcW w:w="5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16.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207"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3,785 claims as of March 31, 2016.</w:t>
      </w:r>
    </w:p>
    <w:p>
      <w:pPr>
        <w:spacing w:after="0" w:line="171"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20" w:type="dxa"/>
            <w:vAlign w:val="bottom"/>
            <w:tcBorders>
              <w:top w:val="single" w:sz="8" w:color="auto"/>
              <w:left w:val="single" w:sz="8" w:color="auto"/>
              <w:right w:val="single" w:sz="8" w:color="auto"/>
            </w:tcBorders>
          </w:tcPr>
          <w:p>
            <w:pPr>
              <w:spacing w:after="0"/>
              <w:rPr>
                <w:sz w:val="17"/>
                <w:szCs w:val="17"/>
                <w:color w:val="auto"/>
              </w:rPr>
            </w:pPr>
          </w:p>
        </w:tc>
        <w:tc>
          <w:tcPr>
            <w:tcW w:w="1860" w:type="dxa"/>
            <w:vAlign w:val="bottom"/>
            <w:tcBorders>
              <w:top w:val="single" w:sz="8" w:color="auto"/>
              <w:right w:val="single" w:sz="8" w:color="auto"/>
            </w:tcBorders>
          </w:tcPr>
          <w:p>
            <w:pPr>
              <w:spacing w:after="0"/>
              <w:rPr>
                <w:sz w:val="17"/>
                <w:szCs w:val="17"/>
                <w:color w:val="auto"/>
              </w:rPr>
            </w:pPr>
          </w:p>
        </w:tc>
        <w:tc>
          <w:tcPr>
            <w:tcW w:w="1860" w:type="dxa"/>
            <w:vAlign w:val="bottom"/>
            <w:tcBorders>
              <w:top w:val="single" w:sz="8" w:color="auto"/>
              <w:right w:val="single" w:sz="8" w:color="auto"/>
            </w:tcBorders>
          </w:tcPr>
          <w:p>
            <w:pPr>
              <w:spacing w:after="0"/>
              <w:rPr>
                <w:sz w:val="17"/>
                <w:szCs w:val="17"/>
                <w:color w:val="auto"/>
              </w:rPr>
            </w:pPr>
          </w:p>
        </w:tc>
        <w:tc>
          <w:tcPr>
            <w:tcW w:w="1880" w:type="dxa"/>
            <w:vAlign w:val="bottom"/>
            <w:tcBorders>
              <w:top w:val="single" w:sz="8" w:color="auto"/>
              <w:right w:val="single" w:sz="8" w:color="auto"/>
            </w:tcBorders>
          </w:tcPr>
          <w:p>
            <w:pPr>
              <w:spacing w:after="0"/>
              <w:rPr>
                <w:sz w:val="17"/>
                <w:szCs w:val="17"/>
                <w:color w:val="auto"/>
              </w:rPr>
            </w:pPr>
          </w:p>
        </w:tc>
        <w:tc>
          <w:tcPr>
            <w:tcW w:w="1900" w:type="dxa"/>
            <w:vAlign w:val="bottom"/>
            <w:tcBorders>
              <w:top w:val="single" w:sz="8" w:color="auto"/>
              <w:right w:val="single" w:sz="8" w:color="auto"/>
            </w:tcBorders>
          </w:tcPr>
          <w:p>
            <w:pPr>
              <w:spacing w:after="0"/>
              <w:rPr>
                <w:sz w:val="17"/>
                <w:szCs w:val="17"/>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Amounts Paid</w:t>
            </w:r>
          </w:p>
        </w:tc>
      </w:tr>
      <w:tr>
        <w:trPr>
          <w:trHeight w:val="203"/>
        </w:trPr>
        <w:tc>
          <w:tcPr>
            <w:tcW w:w="2020" w:type="dxa"/>
            <w:vAlign w:val="bottom"/>
            <w:tcBorders>
              <w:left w:val="single" w:sz="8" w:color="auto"/>
              <w:right w:val="single" w:sz="8" w:color="auto"/>
            </w:tcBorders>
          </w:tcPr>
          <w:p>
            <w:pPr>
              <w:ind w:left="520"/>
              <w:spacing w:after="0" w:line="202" w:lineRule="exact"/>
              <w:rPr>
                <w:sz w:val="20"/>
                <w:szCs w:val="20"/>
                <w:color w:val="auto"/>
              </w:rPr>
            </w:pPr>
            <w:r>
              <w:rPr>
                <w:rFonts w:ascii="Arial" w:cs="Arial" w:eastAsia="Arial" w:hAnsi="Arial"/>
                <w:sz w:val="18"/>
                <w:szCs w:val="18"/>
                <w:b w:val="1"/>
                <w:bCs w:val="1"/>
                <w:color w:val="auto"/>
              </w:rPr>
              <w:t>Year ended</w:t>
            </w:r>
          </w:p>
        </w:tc>
        <w:tc>
          <w:tcPr>
            <w:tcW w:w="186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Opening Number of</w:t>
            </w:r>
          </w:p>
        </w:tc>
        <w:tc>
          <w:tcPr>
            <w:tcW w:w="186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Claims Dismissed,</w:t>
            </w:r>
          </w:p>
        </w:tc>
        <w:tc>
          <w:tcPr>
            <w:tcW w:w="188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Closing Number of</w:t>
            </w:r>
          </w:p>
        </w:tc>
        <w:tc>
          <w:tcPr>
            <w:tcW w:w="19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 to Settle</w:t>
            </w:r>
          </w:p>
        </w:tc>
      </w:tr>
      <w:tr>
        <w:trPr>
          <w:trHeight w:val="239"/>
        </w:trPr>
        <w:tc>
          <w:tcPr>
            <w:tcW w:w="202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December 31,</w:t>
            </w:r>
          </w:p>
        </w:tc>
        <w:tc>
          <w:tcPr>
            <w:tcW w:w="18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Claims</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Settled, or Resolved</w:t>
            </w:r>
          </w:p>
        </w:tc>
        <w:tc>
          <w:tcPr>
            <w:tcW w:w="18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New Claims</w:t>
            </w:r>
          </w:p>
        </w:tc>
        <w:tc>
          <w:tcPr>
            <w:tcW w:w="190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Claims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 Resolve</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2005</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29,411</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6,257</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1,297</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24,451</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$504</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2006</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24,451</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6,841</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1,806</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19,416</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3,879</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2007</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19,416</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808</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190</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18,798</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2008</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18,798</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523</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18,385</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2009</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18,385</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9,482</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8,945</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2010</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8,945</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3,963</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188</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5,170</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159</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2011</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5,170</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789</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65</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4,446</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1,111</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2012</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4,446</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4,463</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530</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2013</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4,463</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230</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4,299</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2014</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4,299</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625</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147</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3,821</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437</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2015</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3,821</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116</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3,791</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r>
      <w:tr>
        <w:trPr>
          <w:trHeight w:val="223"/>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3,791</w:t>
            </w:r>
          </w:p>
        </w:tc>
        <w:tc>
          <w:tcPr>
            <w:tcW w:w="1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w:t>
            </w:r>
          </w:p>
        </w:tc>
        <w:tc>
          <w:tcPr>
            <w:tcW w:w="1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3,785</w:t>
            </w:r>
          </w:p>
        </w:tc>
        <w:tc>
          <w:tcPr>
            <w:tcW w:w="1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w:t>
            </w:r>
          </w:p>
        </w:tc>
      </w:tr>
    </w:tbl>
    <w:p>
      <w:pPr>
        <w:spacing w:after="0" w:line="202"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March 31, 2016 we had resolved, by means of settlement or dismissal, 37,378 claims. The total cost of resolving all claims was $9.4 million. Of this amount, almost 100% was paid by our insurance carrier. The Company’s insurer has confirmed that although the coverage limits under two (of approximately 23) primary insurance policies have been exhausted, there still remains approximately $ 3 million in coverage limits under other applicable primary policies, and $140 million in coverage under excess umbrella coverage policies that should be available with respect to current and future asbestos claims.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1" w:name="page22"/>
    <w:bookmarkEnd w:id="21"/>
    <w:p>
      <w:pPr>
        <w:ind w:right="14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7,707 claims as of March 31, 2016.</w:t>
      </w:r>
    </w:p>
    <w:p>
      <w:pPr>
        <w:spacing w:after="0" w:line="162"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980" w:type="dxa"/>
            <w:vAlign w:val="bottom"/>
            <w:tcBorders>
              <w:top w:val="single" w:sz="8" w:color="auto"/>
              <w:left w:val="single" w:sz="8" w:color="auto"/>
              <w:right w:val="single" w:sz="8" w:color="auto"/>
            </w:tcBorders>
          </w:tcPr>
          <w:p>
            <w:pPr>
              <w:spacing w:after="0"/>
              <w:rPr>
                <w:sz w:val="17"/>
                <w:szCs w:val="17"/>
                <w:color w:val="auto"/>
              </w:rPr>
            </w:pPr>
          </w:p>
        </w:tc>
        <w:tc>
          <w:tcPr>
            <w:tcW w:w="1960" w:type="dxa"/>
            <w:vAlign w:val="bottom"/>
            <w:tcBorders>
              <w:top w:val="single" w:sz="8" w:color="auto"/>
              <w:right w:val="single" w:sz="8" w:color="auto"/>
            </w:tcBorders>
          </w:tcPr>
          <w:p>
            <w:pPr>
              <w:spacing w:after="0"/>
              <w:rPr>
                <w:sz w:val="17"/>
                <w:szCs w:val="17"/>
                <w:color w:val="auto"/>
              </w:rPr>
            </w:pPr>
          </w:p>
        </w:tc>
        <w:tc>
          <w:tcPr>
            <w:tcW w:w="194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46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Amounts Paid</w:t>
            </w:r>
          </w:p>
        </w:tc>
      </w:tr>
      <w:tr>
        <w:trPr>
          <w:trHeight w:val="203"/>
        </w:trPr>
        <w:tc>
          <w:tcPr>
            <w:tcW w:w="1980" w:type="dxa"/>
            <w:vAlign w:val="bottom"/>
            <w:tcBorders>
              <w:left w:val="single" w:sz="8" w:color="auto"/>
              <w:right w:val="single" w:sz="8" w:color="auto"/>
            </w:tcBorders>
          </w:tcPr>
          <w:p>
            <w:pPr>
              <w:ind w:left="520"/>
              <w:spacing w:after="0" w:line="202" w:lineRule="exact"/>
              <w:rPr>
                <w:sz w:val="20"/>
                <w:szCs w:val="20"/>
                <w:color w:val="auto"/>
              </w:rPr>
            </w:pPr>
            <w:r>
              <w:rPr>
                <w:rFonts w:ascii="Arial" w:cs="Arial" w:eastAsia="Arial" w:hAnsi="Arial"/>
                <w:sz w:val="18"/>
                <w:szCs w:val="18"/>
                <w:b w:val="1"/>
                <w:bCs w:val="1"/>
                <w:color w:val="auto"/>
              </w:rPr>
              <w:t>Year ended</w:t>
            </w:r>
          </w:p>
        </w:tc>
        <w:tc>
          <w:tcPr>
            <w:tcW w:w="196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Opening Number of</w:t>
            </w:r>
          </w:p>
        </w:tc>
        <w:tc>
          <w:tcPr>
            <w:tcW w:w="194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Claims Dismissed,</w:t>
            </w:r>
          </w:p>
        </w:tc>
        <w:tc>
          <w:tcPr>
            <w:tcW w:w="146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Closing Number of</w:t>
            </w:r>
          </w:p>
        </w:tc>
        <w:tc>
          <w:tcPr>
            <w:tcW w:w="1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 to</w:t>
            </w:r>
          </w:p>
        </w:tc>
      </w:tr>
      <w:tr>
        <w:trPr>
          <w:trHeight w:val="239"/>
        </w:trPr>
        <w:tc>
          <w:tcPr>
            <w:tcW w:w="19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December 31,</w:t>
            </w:r>
          </w:p>
        </w:tc>
        <w:tc>
          <w:tcPr>
            <w:tcW w:w="196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Claims</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Settled, or Resolved</w:t>
            </w: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8"/>
              </w:rPr>
              <w:t>New Claims</w:t>
            </w:r>
          </w:p>
        </w:tc>
        <w:tc>
          <w:tcPr>
            <w:tcW w:w="46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Claims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 or Resolve</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2005</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9,985</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642</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223</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9,566</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2006</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9,566</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1,182</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730</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9,114</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2007</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9,114</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462</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8,740</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2008</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8,740</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8,664</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2009</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8,664</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760</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7,907</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2010</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7,907</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7,869</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2011</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7,869</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7,877</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2012</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7,877</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7,867</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2013</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7,867</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7,815</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2014</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7,815</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87</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7,730</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2015</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7,730</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7,713</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1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7,713</w:t>
            </w:r>
          </w:p>
        </w:tc>
        <w:tc>
          <w:tcPr>
            <w:tcW w:w="1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w:t>
            </w: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7,707</w:t>
            </w:r>
          </w:p>
        </w:tc>
        <w:tc>
          <w:tcPr>
            <w:tcW w:w="1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March 31, 2016, Brandon has resolved, by means of settlement or dismissal, 9,899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6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ind w:right="680"/>
        <w:spacing w:after="0" w:line="246" w:lineRule="auto"/>
        <w:rPr>
          <w:sz w:val="20"/>
          <w:szCs w:val="20"/>
          <w:color w:val="auto"/>
        </w:rPr>
      </w:pPr>
      <w:r>
        <w:rPr>
          <w:rFonts w:ascii="Arial" w:cs="Arial" w:eastAsia="Arial" w:hAnsi="Arial"/>
          <w:sz w:val="18"/>
          <w:szCs w:val="18"/>
          <w:color w:val="auto"/>
        </w:rPr>
        <w:t>Pursuant to its contractual indemnification obligations, Mount Vernon has assumed the defense of these claims. On this basis, we have successfully moved for dismissal in a number of actions.</w:t>
      </w:r>
    </w:p>
    <w:p>
      <w:pPr>
        <w:spacing w:after="0" w:line="15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Changes in Shareholders’ Equity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Common</w:t>
            </w:r>
          </w:p>
        </w:tc>
        <w:tc>
          <w:tcPr>
            <w:tcW w:w="10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Accumulated</w:t>
            </w:r>
          </w:p>
        </w:tc>
        <w:tc>
          <w:tcPr>
            <w:tcW w:w="10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03"/>
        </w:trPr>
        <w:tc>
          <w:tcPr>
            <w:tcW w:w="36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Stock</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w:t>
            </w:r>
          </w:p>
        </w:tc>
        <w:tc>
          <w:tcPr>
            <w:tcW w:w="94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items of other</w:t>
            </w: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Class</w:t>
            </w: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paid in</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Retained</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comprehensive</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Treasury</w:t>
            </w:r>
          </w:p>
        </w:tc>
        <w:tc>
          <w:tcPr>
            <w:tcW w:w="1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Noncontrolling</w:t>
            </w: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Total</w:t>
            </w:r>
          </w:p>
        </w:tc>
      </w:tr>
      <w:tr>
        <w:trPr>
          <w:trHeight w:val="2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 and B</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earnings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income/(loss)</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stock</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Interest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Equity</w:t>
            </w:r>
          </w:p>
        </w:tc>
      </w:tr>
      <w:tr>
        <w:trPr>
          <w:trHeight w:val="21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2015</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$40</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$423,108</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$491,950</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($158,844)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($257,391)</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$3,690</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$502,553</w:t>
            </w:r>
          </w:p>
        </w:tc>
      </w:tr>
      <w:tr>
        <w:trPr>
          <w:trHeight w:val="195"/>
        </w:trPr>
        <w:tc>
          <w:tcPr>
            <w:tcW w:w="362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0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13,501</w:t>
            </w:r>
          </w:p>
        </w:tc>
        <w:tc>
          <w:tcPr>
            <w:tcW w:w="14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(185)</w:t>
            </w: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13,316</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Compensation and benefits paid or payable</w:t>
            </w: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in shares</w:t>
            </w:r>
          </w:p>
        </w:tc>
        <w:tc>
          <w:tcPr>
            <w:tcW w:w="10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864</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864</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0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271</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0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(5,454)</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(5,454)</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Cumulative translation adjustments</w:t>
            </w:r>
          </w:p>
        </w:tc>
        <w:tc>
          <w:tcPr>
            <w:tcW w:w="10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13,114</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13,111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w:t>
            </w: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0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(362)</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17"/>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valuation adjustment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(1,594)</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r>
      <w:tr>
        <w:trPr>
          <w:trHeight w:val="21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March 31, 2016</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$40</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$424,243</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$499,997</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($147,686)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($257,391)</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$3,502</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$522,705</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20"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In May 2014, an accounting update was issued that replaces the existing revenue recognition framework regarding contracts with customers. The standard was revised in July 2015 and March 2016. This accounting update is effective for reporting periods beginning after December 31, 2017. Early adoption is permitted but not before the original effective date, which is for reporting periods beginning after December 31, 2016. We have not determined the impact of this update on our financial statements.</w:t>
      </w:r>
    </w:p>
    <w:p>
      <w:pPr>
        <w:spacing w:after="0" w:line="188"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In February 2015, amended accounting guidance was issued which changes the evaluation of variable interest entities regarding whether they should consolidate limited partnerships and similar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spacing w:after="0" w:line="246" w:lineRule="auto"/>
        <w:rPr>
          <w:sz w:val="20"/>
          <w:szCs w:val="20"/>
          <w:color w:val="auto"/>
        </w:rPr>
      </w:pPr>
      <w:r>
        <w:rPr>
          <w:rFonts w:ascii="Arial" w:cs="Arial" w:eastAsia="Arial" w:hAnsi="Arial"/>
          <w:sz w:val="18"/>
          <w:szCs w:val="18"/>
          <w:color w:val="auto"/>
        </w:rPr>
        <w:t>entities, or whether fees are paid to a decision maker or service provider, or whether they are held by related parties. We adopted this provision as of January 1, 2016 and it did not affect our financial statements.</w:t>
      </w:r>
    </w:p>
    <w:p>
      <w:pPr>
        <w:spacing w:after="0" w:line="183" w:lineRule="exact"/>
        <w:rPr>
          <w:sz w:val="20"/>
          <w:szCs w:val="20"/>
          <w:color w:val="auto"/>
        </w:rPr>
      </w:pPr>
    </w:p>
    <w:p>
      <w:pPr>
        <w:jc w:val="both"/>
        <w:ind w:right="460" w:firstLine="648"/>
        <w:spacing w:after="0"/>
        <w:rPr>
          <w:sz w:val="20"/>
          <w:szCs w:val="20"/>
          <w:color w:val="auto"/>
        </w:rPr>
      </w:pPr>
      <w:r>
        <w:rPr>
          <w:rFonts w:ascii="Arial" w:cs="Arial" w:eastAsia="Arial" w:hAnsi="Arial"/>
          <w:sz w:val="18"/>
          <w:szCs w:val="18"/>
          <w:color w:val="auto"/>
        </w:rPr>
        <w:t>In April 2015 and August 2015, accounting updates were issued which require that debt issuance costs related to certain types of recognized debt liability be presented in the balance sheet as a direct deduction of that debt, which could result in a minor netting down of assets and liabilities. We adopted this provision as of January 1, 2016 and it did not affect our financial statements.</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May 2015, an accounting update was issued which eliminates the requirement to categorize investments in the fair value hierarchy if their fair value is measured at net asset value (NAV) per share. We adopted this provision as of January 1, 2016 and it did not affect our financial statements.</w:t>
      </w:r>
    </w:p>
    <w:p>
      <w:pPr>
        <w:spacing w:after="0" w:line="189" w:lineRule="exact"/>
        <w:rPr>
          <w:sz w:val="20"/>
          <w:szCs w:val="20"/>
          <w:color w:val="auto"/>
        </w:rPr>
      </w:pPr>
    </w:p>
    <w:p>
      <w:pPr>
        <w:jc w:val="both"/>
        <w:ind w:right="140" w:firstLine="648"/>
        <w:spacing w:after="0" w:line="239" w:lineRule="auto"/>
        <w:rPr>
          <w:sz w:val="20"/>
          <w:szCs w:val="20"/>
          <w:color w:val="auto"/>
        </w:rPr>
      </w:pPr>
      <w:r>
        <w:rPr>
          <w:rFonts w:ascii="Arial" w:cs="Arial" w:eastAsia="Arial" w:hAnsi="Arial"/>
          <w:sz w:val="18"/>
          <w:szCs w:val="18"/>
          <w:color w:val="auto"/>
        </w:rPr>
        <w:t>In July 2015, an accounting update was issued simplifying the measurement of inventory from the lower of cost or market to lower of cost net realizable value. This accounting update eliminates the requirement for consideration of replacement cost or net realizable value less normal profit margin measurements. This accounting update is effective for reporting periods beginning after December 15, 2016. We do not expect the adoption of this update to have a significant effect on our financial statements.</w:t>
      </w:r>
    </w:p>
    <w:p>
      <w:pPr>
        <w:spacing w:after="0" w:line="161"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September 2015, an accounting update was issued which eliminates the requirement for an acquirer to retrospectively adjust the financial statements for measurement-period adjustments that occur in periods after a business combination is consummated. This accounting update is effective for reporting periods beginning after December 15, 2015. Adoption of this update did not affect our financial statements.</w:t>
      </w:r>
    </w:p>
    <w:p>
      <w:pPr>
        <w:spacing w:after="0" w:line="176"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In January 2016, an accounting update was issued which requires entities to present separately in Other comprehensive income the portion of the total change in the fair value of a liability resulting from a change in the instrument-specific credit risk if the entity has elected to measure the liability at fair value in accordance with the fair value option for financial instruments. This accounting update is effective for reporting periods beginning after December 15, 2017. We have not determined the impact of this update on our financial statements.</w:t>
      </w:r>
    </w:p>
    <w:p>
      <w:pPr>
        <w:spacing w:after="0" w:line="161" w:lineRule="exact"/>
        <w:rPr>
          <w:sz w:val="20"/>
          <w:szCs w:val="20"/>
          <w:color w:val="auto"/>
        </w:rPr>
      </w:pPr>
    </w:p>
    <w:p>
      <w:pPr>
        <w:jc w:val="both"/>
        <w:ind w:right="560" w:firstLine="648"/>
        <w:spacing w:after="0"/>
        <w:rPr>
          <w:sz w:val="20"/>
          <w:szCs w:val="20"/>
          <w:color w:val="auto"/>
        </w:rPr>
      </w:pPr>
      <w:r>
        <w:rPr>
          <w:rFonts w:ascii="Arial" w:cs="Arial" w:eastAsia="Arial" w:hAnsi="Arial"/>
          <w:sz w:val="18"/>
          <w:szCs w:val="18"/>
          <w:color w:val="auto"/>
        </w:rPr>
        <w:t>In February 2016, an accounting update was issued which requires lessees to recognize most leases on the balance sheet. The update may significantly increase reported assets and liabilities. This accounting update is effective for reporting periods beginning after December 15, 2018. We have not determined the impact of this update on our financial statements.</w:t>
      </w:r>
    </w:p>
    <w:p>
      <w:pPr>
        <w:spacing w:after="0" w:line="16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March 2016, an accounting update was issued which clarifies that a change in counterparty to a derivative contract, through novation, that is part of a hedge accounting relationship does not, by itself, require dedesignation of that relationship, as long as all other hedge accounting criteria continue to be met. This accounting update is effective for reporting periods beginning after December 15, 2016. We do not expect the adoption of this update to have a significant effect on our financial statements.</w:t>
      </w:r>
    </w:p>
    <w:p>
      <w:pPr>
        <w:spacing w:after="0" w:line="175"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In March 2016, an accounting update was issued which simplifies the transition to the equity method of accounting by eliminating the requirement for an investor to retroactively apply the equity method when its increase in ownership interest, or degree of influence, triggers equity method accounting. This accounting update is effective for reporting periods beginning after December 15, 2016. We do not expect the adoption of this update to have a significant effect on our financial statements.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4" w:name="page25"/>
    <w:bookmarkEnd w:id="24"/>
    <w:p>
      <w:pPr>
        <w:ind w:firstLine="648"/>
        <w:spacing w:after="0" w:line="238" w:lineRule="auto"/>
        <w:rPr>
          <w:sz w:val="20"/>
          <w:szCs w:val="20"/>
          <w:color w:val="auto"/>
        </w:rPr>
      </w:pPr>
      <w:r>
        <w:rPr>
          <w:rFonts w:ascii="Arial" w:cs="Arial" w:eastAsia="Arial" w:hAnsi="Arial"/>
          <w:sz w:val="18"/>
          <w:szCs w:val="18"/>
          <w:color w:val="auto"/>
        </w:rPr>
        <w:t>In March 2016, an accounting update was issued which simplifies several aspects related to the accounting for share-based payment transactions, including the income tax consequences, statutory tax withholding requirements, and classification of excess tax benefits on the statement of cash flows. This accounting update is effective for reporting periods beginning after December 15, 2016. Early adoption is permitted. Adoption of this accounting update could increase the volatility of income tax expense. We have not determined the effect of this update on our financial statements.</w:t>
      </w:r>
    </w:p>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490"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7" w:lineRule="exact"/>
        <w:rPr>
          <w:sz w:val="20"/>
          <w:szCs w:val="20"/>
          <w:color w:val="auto"/>
        </w:rPr>
      </w:pPr>
    </w:p>
    <w:p>
      <w:pPr>
        <w:ind w:right="40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”may,” “plan,” “project,” “will,” “should” and variations of such words or similar expressions are intended, but are not the exclusive 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176"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1180" w:right="180" w:hanging="389"/>
        <w:spacing w:after="0" w:line="246"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macroeconomic conditions;</w:t>
      </w:r>
    </w:p>
    <w:p>
      <w:pPr>
        <w:spacing w:after="0" w:line="88" w:lineRule="exact"/>
        <w:rPr>
          <w:rFonts w:ascii="Arial" w:cs="Arial" w:eastAsia="Arial" w:hAnsi="Arial"/>
          <w:sz w:val="18"/>
          <w:szCs w:val="18"/>
          <w:color w:val="auto"/>
        </w:rPr>
      </w:pPr>
    </w:p>
    <w:p>
      <w:pPr>
        <w:ind w:left="1180" w:hanging="389"/>
        <w:spacing w:after="0" w:line="246"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demand for paper in certain regions and market segments that continue at a rate that is greater than anticipated, and growth in demand in other segments or regions that is lower or slower than anticipated;</w:t>
      </w:r>
    </w:p>
    <w:p>
      <w:pPr>
        <w:spacing w:after="0" w:line="88" w:lineRule="exact"/>
        <w:rPr>
          <w:rFonts w:ascii="Arial" w:cs="Arial" w:eastAsia="Arial" w:hAnsi="Arial"/>
          <w:sz w:val="18"/>
          <w:szCs w:val="18"/>
          <w:color w:val="auto"/>
        </w:rPr>
      </w:pPr>
    </w:p>
    <w:p>
      <w:pPr>
        <w:ind w:left="1180" w:hanging="38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1180" w:hanging="38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the “Risk Factors” section of our most recent Annual Report on Form 10-K.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26" w:name="page27"/>
    <w:bookmarkEnd w:id="26"/>
    <w:p>
      <w:pPr>
        <w:ind w:right="8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proprietary, product-based advantage that is grounded in those core capabilities.</w:t>
      </w:r>
    </w:p>
    <w:p>
      <w:pPr>
        <w:spacing w:after="0" w:line="18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Machine Clothing segment is the Company’s long-established core business and primary generator of cash. While the paper and paperboard industry in our traditional geographic markets has suffered from well-documented declines in publication grades, the industry is still expected to grow slightly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Because of pricing pressures and industry overcapacity, the machine clothing and paper industries will continue to face top line pressure. Nonetheless the business has potential for flat earnings in the future. It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93"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technology on high-value aerospace and defense applications that cannot be served effectively by conventional composites. AEC (including Albany Safran Composites, LLC (“ASC”), in which our customer SAFRAN Group owns a 10 percent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fan cases for the LEAP engine. AEC (through ASC and otherwise) is also developing other new and potentially significant composite products for aerospace (engine and airframe) applications. Other growth programs of note are the fan case for the GE9X engine, and composite parts for the Joint Strike Fighter (JSF) LiftFan ® for Rolls Royce. AEC is actively engaged in research to develop new applications in the aircraft engine, airframes, and automotive markets.</w:t>
      </w:r>
    </w:p>
    <w:p>
      <w:pPr>
        <w:spacing w:after="0" w:line="180" w:lineRule="exact"/>
        <w:rPr>
          <w:sz w:val="20"/>
          <w:szCs w:val="20"/>
          <w:color w:val="auto"/>
        </w:rPr>
      </w:pPr>
    </w:p>
    <w:p>
      <w:pPr>
        <w:ind w:right="60" w:firstLine="259"/>
        <w:spacing w:after="0" w:line="239" w:lineRule="auto"/>
        <w:rPr>
          <w:sz w:val="20"/>
          <w:szCs w:val="20"/>
          <w:color w:val="auto"/>
        </w:rPr>
      </w:pPr>
      <w:r>
        <w:rPr>
          <w:rFonts w:ascii="Arial" w:cs="Arial" w:eastAsia="Arial" w:hAnsi="Arial"/>
          <w:sz w:val="18"/>
          <w:szCs w:val="18"/>
          <w:color w:val="auto"/>
        </w:rPr>
        <w:t>On April 8, 2016, the Company completed the purchase of Harris Corporation’s composite aerostructures business for total consideration of $210 million, including the assumption of a capital lease. The purchase price is subject to a post-closing working capital adjustment. The acquired business, which is now called Albany Aerostructures Composites LLC (“AAC”), will be part of Albany Engineered Composites (“AEC”) segment. The acquisition of AAC significantly increases the growth opportunity for the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Borders>
              <w:top w:val="single" w:sz="8" w:color="auto"/>
            </w:tcBorders>
          </w:tcPr>
          <w:p>
            <w:pPr>
              <w:spacing w:after="0"/>
              <w:rPr>
                <w:sz w:val="16"/>
                <w:szCs w:val="16"/>
                <w:color w:val="auto"/>
              </w:rPr>
            </w:pPr>
          </w:p>
        </w:tc>
        <w:tc>
          <w:tcPr>
            <w:tcW w:w="5080" w:type="dxa"/>
            <w:vAlign w:val="bottom"/>
            <w:tcBorders>
              <w:top w:val="single" w:sz="8" w:color="auto"/>
            </w:tcBorders>
            <w:gridSpan w:val="2"/>
          </w:tcPr>
          <w:p>
            <w:pPr>
              <w:jc w:val="right"/>
              <w:ind w:right="73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1700" w:type="dxa"/>
            <w:vAlign w:val="bottom"/>
            <w:tcBorders>
              <w:top w:val="single" w:sz="8" w:color="auto"/>
            </w:tcBorders>
          </w:tcPr>
          <w:p>
            <w:pPr>
              <w:spacing w:after="0"/>
              <w:rPr>
                <w:sz w:val="16"/>
                <w:szCs w:val="16"/>
                <w:color w:val="auto"/>
              </w:rPr>
            </w:pPr>
          </w:p>
        </w:tc>
      </w:tr>
      <w:tr>
        <w:trPr>
          <w:trHeight w:val="225"/>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2016</w:t>
            </w:r>
          </w:p>
        </w:tc>
        <w:tc>
          <w:tcPr>
            <w:tcW w:w="19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2015</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173"/>
        </w:trPr>
        <w:tc>
          <w:tcPr>
            <w:tcW w:w="46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140" w:type="dxa"/>
            <w:vAlign w:val="bottom"/>
          </w:tcPr>
          <w:p>
            <w:pPr>
              <w:jc w:val="right"/>
              <w:ind w:right="510"/>
              <w:spacing w:after="0" w:line="173" w:lineRule="exact"/>
              <w:rPr>
                <w:sz w:val="20"/>
                <w:szCs w:val="20"/>
                <w:color w:val="auto"/>
              </w:rPr>
            </w:pPr>
            <w:r>
              <w:rPr>
                <w:rFonts w:ascii="Arial" w:cs="Arial" w:eastAsia="Arial" w:hAnsi="Arial"/>
                <w:sz w:val="18"/>
                <w:szCs w:val="18"/>
                <w:b w:val="1"/>
                <w:bCs w:val="1"/>
                <w:color w:val="auto"/>
              </w:rPr>
              <w:t>$145,264</w:t>
            </w:r>
          </w:p>
        </w:tc>
        <w:tc>
          <w:tcPr>
            <w:tcW w:w="194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$158,494</w:t>
            </w:r>
          </w:p>
        </w:tc>
        <w:tc>
          <w:tcPr>
            <w:tcW w:w="1700" w:type="dxa"/>
            <w:vAlign w:val="bottom"/>
          </w:tcPr>
          <w:p>
            <w:pPr>
              <w:jc w:val="right"/>
              <w:spacing w:after="0" w:line="173" w:lineRule="exact"/>
              <w:rPr>
                <w:sz w:val="20"/>
                <w:szCs w:val="20"/>
                <w:color w:val="auto"/>
              </w:rPr>
            </w:pPr>
            <w:r>
              <w:rPr>
                <w:rFonts w:ascii="Arial" w:cs="Arial" w:eastAsia="Arial" w:hAnsi="Arial"/>
                <w:sz w:val="18"/>
                <w:szCs w:val="18"/>
                <w:color w:val="auto"/>
              </w:rPr>
              <w:t>-8.3%</w:t>
            </w:r>
          </w:p>
        </w:tc>
      </w:tr>
      <w:tr>
        <w:trPr>
          <w:trHeight w:val="225"/>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27,067</w:t>
            </w:r>
          </w:p>
        </w:tc>
        <w:tc>
          <w:tcPr>
            <w:tcW w:w="1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22,830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196"/>
        </w:trPr>
        <w:tc>
          <w:tcPr>
            <w:tcW w:w="4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$172,331</w:t>
            </w:r>
          </w:p>
        </w:tc>
        <w:tc>
          <w:tcPr>
            <w:tcW w:w="19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$181,324</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800" w:right="700" w:hanging="400"/>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$1.9 million during the first quarter of 2016 as compared to 2015.</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580" w:hanging="383"/>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decreased 3.9% compared to the same period in 2015.</w:t>
      </w:r>
    </w:p>
    <w:p>
      <w:pPr>
        <w:spacing w:after="0" w:line="117" w:lineRule="exact"/>
        <w:rPr>
          <w:rFonts w:ascii="Arial" w:cs="Arial" w:eastAsia="Arial" w:hAnsi="Arial"/>
          <w:sz w:val="18"/>
          <w:szCs w:val="18"/>
          <w:color w:val="auto"/>
        </w:rPr>
      </w:pPr>
    </w:p>
    <w:p>
      <w:pPr>
        <w:ind w:left="1580" w:hanging="383"/>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decreased 7.2%.</w:t>
      </w:r>
    </w:p>
    <w:p>
      <w:pPr>
        <w:spacing w:after="0" w:line="117" w:lineRule="exact"/>
        <w:rPr>
          <w:rFonts w:ascii="Arial" w:cs="Arial" w:eastAsia="Arial" w:hAnsi="Arial"/>
          <w:sz w:val="18"/>
          <w:szCs w:val="18"/>
          <w:color w:val="auto"/>
        </w:rPr>
      </w:pPr>
    </w:p>
    <w:p>
      <w:pPr>
        <w:ind w:left="1580" w:hanging="383"/>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AEC increased 18.8%.</w:t>
      </w:r>
    </w:p>
    <w:p>
      <w:pPr>
        <w:spacing w:after="0" w:line="117" w:lineRule="exact"/>
        <w:rPr>
          <w:rFonts w:ascii="Arial" w:cs="Arial" w:eastAsia="Arial" w:hAnsi="Arial"/>
          <w:sz w:val="18"/>
          <w:szCs w:val="18"/>
          <w:color w:val="auto"/>
        </w:rPr>
      </w:pPr>
    </w:p>
    <w:p>
      <w:pPr>
        <w:ind w:left="800" w:right="120" w:hanging="400"/>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the decline in first-quarter MC segment sales was principally due to the continuing effect of the significant drop in publication grade sales that occurred in the first half of 2015.</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AEC segment sales increase was due to higher sales related to the LEAP program.</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profit/(loss)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tcBorders>
              <w:top w:val="single" w:sz="8" w:color="auto"/>
            </w:tcBorders>
          </w:tcPr>
          <w:p>
            <w:pPr>
              <w:spacing w:after="0"/>
              <w:rPr>
                <w:sz w:val="16"/>
                <w:szCs w:val="16"/>
                <w:color w:val="auto"/>
              </w:rPr>
            </w:pPr>
          </w:p>
        </w:tc>
        <w:tc>
          <w:tcPr>
            <w:tcW w:w="598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2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2016</w:t>
            </w:r>
          </w:p>
        </w:tc>
        <w:tc>
          <w:tcPr>
            <w:tcW w:w="1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42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$69,622</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$75,260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3,121</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1,815</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42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(242)</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$72,501</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$76,684</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42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42.1%</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328" w:lineRule="exact"/>
        <w:rPr>
          <w:sz w:val="20"/>
          <w:szCs w:val="20"/>
          <w:color w:val="auto"/>
        </w:rPr>
      </w:pPr>
    </w:p>
    <w:p>
      <w:pPr>
        <w:ind w:right="680" w:firstLine="324"/>
        <w:spacing w:after="0" w:line="246" w:lineRule="auto"/>
        <w:rPr>
          <w:sz w:val="20"/>
          <w:szCs w:val="20"/>
          <w:color w:val="auto"/>
        </w:rPr>
      </w:pPr>
      <w:r>
        <w:rPr>
          <w:rFonts w:ascii="Arial" w:cs="Arial" w:eastAsia="Arial" w:hAnsi="Arial"/>
          <w:sz w:val="18"/>
          <w:szCs w:val="18"/>
          <w:color w:val="auto"/>
        </w:rPr>
        <w:t>The decrease in gross profit, compared to the same period in 2015, was principally due to the net effect of the following individually significant items:</w:t>
      </w:r>
    </w:p>
    <w:p>
      <w:pPr>
        <w:spacing w:after="0" w:line="183" w:lineRule="exact"/>
        <w:rPr>
          <w:sz w:val="20"/>
          <w:szCs w:val="20"/>
          <w:color w:val="auto"/>
        </w:rPr>
      </w:pPr>
    </w:p>
    <w:p>
      <w:pPr>
        <w:ind w:left="1300" w:right="620" w:hanging="320"/>
        <w:spacing w:after="0" w:line="24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reduction in MC sales described above resulted in a decrease in gross profit of $5.9 million. MC gross profit margin improved to 47.9% in 2016 from 47.5% in 2015.</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8" w:name="page29"/>
    <w:bookmarkEnd w:id="28"/>
    <w:p>
      <w:pPr>
        <w:ind w:left="1300" w:right="320" w:hanging="320"/>
        <w:spacing w:after="0" w:line="24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AEC gross profit to $3.1 million in Q1 2016, compared to $1.8 million in Q1 2015, was principally due to the higher LEAP program sales noted above.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tcBorders>
              <w:top w:val="single" w:sz="8" w:color="auto"/>
            </w:tcBorders>
          </w:tcPr>
          <w:p>
            <w:pPr>
              <w:spacing w:after="0"/>
              <w:rPr>
                <w:sz w:val="16"/>
                <w:szCs w:val="16"/>
                <w:color w:val="auto"/>
              </w:rPr>
            </w:pPr>
          </w:p>
        </w:tc>
        <w:tc>
          <w:tcPr>
            <w:tcW w:w="598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2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2016</w:t>
            </w:r>
          </w:p>
        </w:tc>
        <w:tc>
          <w:tcPr>
            <w:tcW w:w="1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42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$31,785</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$30,570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6,826</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5,626</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42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10,942</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11,338</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$49,553</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$47,534</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42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28.8%</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right="720" w:firstLine="324"/>
        <w:spacing w:after="0" w:line="246" w:lineRule="auto"/>
        <w:rPr>
          <w:sz w:val="20"/>
          <w:szCs w:val="20"/>
          <w:color w:val="auto"/>
        </w:rPr>
      </w:pPr>
      <w:r>
        <w:rPr>
          <w:rFonts w:ascii="Arial" w:cs="Arial" w:eastAsia="Arial" w:hAnsi="Arial"/>
          <w:sz w:val="18"/>
          <w:szCs w:val="18"/>
          <w:color w:val="auto"/>
        </w:rPr>
        <w:t>The increase in STG&amp;R expenses of $2.0 million, compared to the same period in 2015, was principally due to the net effect of the following individually significant items:</w:t>
      </w:r>
    </w:p>
    <w:p>
      <w:pPr>
        <w:spacing w:after="0" w:line="183" w:lineRule="exact"/>
        <w:rPr>
          <w:sz w:val="20"/>
          <w:szCs w:val="20"/>
          <w:color w:val="auto"/>
        </w:rPr>
      </w:pPr>
    </w:p>
    <w:p>
      <w:pPr>
        <w:ind w:left="800" w:right="320" w:hanging="400"/>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first-quarter losses of $1.9 million in 2016 and gains of $2.9 million in 2015.</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actions taken in 2015 reduced 2016 STG&amp;R expenses by approximately $2 million.</w:t>
      </w:r>
    </w:p>
    <w:p>
      <w:pPr>
        <w:spacing w:after="0" w:line="117" w:lineRule="exact"/>
        <w:rPr>
          <w:rFonts w:ascii="Arial" w:cs="Arial" w:eastAsia="Arial" w:hAnsi="Arial"/>
          <w:sz w:val="18"/>
          <w:szCs w:val="18"/>
          <w:color w:val="auto"/>
        </w:rPr>
      </w:pPr>
    </w:p>
    <w:p>
      <w:pPr>
        <w:ind w:left="800" w:right="200" w:hanging="400"/>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first quarter of 2016, the Company recorded expenses in AEC of $1.6 million related to the acquisition of Harris Corporation’s composite aerostructures business. The sale closed in April 2016.</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currency translation rates reduced MC STG&amp;R by $1.5 million, compared to the first quarter of 2015.</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Borders>
              <w:top w:val="single" w:sz="8" w:color="auto"/>
            </w:tcBorders>
          </w:tcPr>
          <w:p>
            <w:pPr>
              <w:spacing w:after="0"/>
              <w:rPr>
                <w:sz w:val="16"/>
                <w:szCs w:val="16"/>
                <w:color w:val="auto"/>
              </w:rPr>
            </w:pPr>
          </w:p>
        </w:tc>
        <w:tc>
          <w:tcPr>
            <w:tcW w:w="734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5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2016</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40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554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$4,337</w:t>
            </w:r>
          </w:p>
        </w:tc>
        <w:tc>
          <w:tcPr>
            <w:tcW w:w="18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$4,796</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554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2,681</w:t>
            </w: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2,873</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5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r>
      <w:tr>
        <w:trPr>
          <w:trHeight w:val="196"/>
        </w:trPr>
        <w:tc>
          <w:tcPr>
            <w:tcW w:w="4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55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$7,018</w:t>
            </w:r>
          </w:p>
        </w:tc>
        <w:tc>
          <w:tcPr>
            <w:tcW w:w="1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$7,963</w:t>
            </w:r>
          </w:p>
        </w:tc>
      </w:tr>
      <w:tr>
        <w:trPr>
          <w:trHeight w:val="723"/>
        </w:trPr>
        <w:tc>
          <w:tcPr>
            <w:tcW w:w="4080" w:type="dxa"/>
            <w:vAlign w:val="bottom"/>
          </w:tcPr>
          <w:p>
            <w:pPr>
              <w:spacing w:after="0"/>
              <w:rPr>
                <w:sz w:val="24"/>
                <w:szCs w:val="24"/>
                <w:color w:val="auto"/>
              </w:rPr>
            </w:pPr>
          </w:p>
        </w:tc>
        <w:tc>
          <w:tcPr>
            <w:tcW w:w="5540" w:type="dxa"/>
            <w:vAlign w:val="bottom"/>
          </w:tcPr>
          <w:p>
            <w:pPr>
              <w:jc w:val="right"/>
              <w:ind w:right="3730"/>
              <w:spacing w:after="0"/>
              <w:rPr>
                <w:sz w:val="20"/>
                <w:szCs w:val="20"/>
                <w:color w:val="auto"/>
              </w:rPr>
            </w:pPr>
            <w:r>
              <w:rPr>
                <w:rFonts w:ascii="Arial" w:cs="Arial" w:eastAsia="Arial" w:hAnsi="Arial"/>
                <w:sz w:val="18"/>
                <w:szCs w:val="18"/>
                <w:color w:val="auto"/>
              </w:rPr>
              <w:t>29</w:t>
            </w:r>
          </w:p>
        </w:tc>
        <w:tc>
          <w:tcPr>
            <w:tcW w:w="1800" w:type="dxa"/>
            <w:vAlign w:val="bottom"/>
          </w:tcPr>
          <w:p>
            <w:pPr>
              <w:spacing w:after="0"/>
              <w:rPr>
                <w:sz w:val="24"/>
                <w:szCs w:val="24"/>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55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$0.7 million in the first three months of 2016 and $9.0 million in the comparable period of 2015.</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40" w:type="dxa"/>
            <w:vAlign w:val="bottom"/>
            <w:tcBorders>
              <w:top w:val="single" w:sz="8" w:color="auto"/>
            </w:tcBorders>
          </w:tcPr>
          <w:p>
            <w:pPr>
              <w:spacing w:after="0"/>
              <w:rPr>
                <w:sz w:val="16"/>
                <w:szCs w:val="16"/>
                <w:color w:val="auto"/>
              </w:rPr>
            </w:pPr>
          </w:p>
        </w:tc>
        <w:tc>
          <w:tcPr>
            <w:tcW w:w="618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4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2016</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52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442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$698</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$9,001</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4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4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(19)</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5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42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$679</w:t>
            </w:r>
          </w:p>
        </w:tc>
        <w:tc>
          <w:tcPr>
            <w:tcW w:w="1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$9,001</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Machine Clothing restructuring costs in 2016 and 2015 were principally related to ongoing plant closure costs in Göppingen, Germany.</w:t>
      </w:r>
    </w:p>
    <w:p>
      <w:pPr>
        <w:spacing w:after="0" w:line="198"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During the first quarter of 2016 the Company announced the initiation of discussions with the employee Works Council regarding a proposal to discontinue R&amp;D activities at its Machine Clothing production facility in Sélestat, France. The proposed measures would result in the elimination of 25 positions and the departure of 22 employees. The consultations are subject to applicable law, and until they are concluded the Company is unable to determine the restructuring costs associated with this proposal.</w:t>
      </w:r>
    </w:p>
    <w:p>
      <w:pPr>
        <w:spacing w:after="0" w:line="364"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Borders>
              <w:top w:val="single" w:sz="8" w:color="auto"/>
            </w:tcBorders>
          </w:tcPr>
          <w:p>
            <w:pPr>
              <w:spacing w:after="0"/>
              <w:rPr>
                <w:sz w:val="16"/>
                <w:szCs w:val="16"/>
                <w:color w:val="auto"/>
              </w:rPr>
            </w:pPr>
          </w:p>
        </w:tc>
        <w:tc>
          <w:tcPr>
            <w:tcW w:w="734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58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2016</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40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558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$37,139</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$35,689</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55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(3,706)</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(3,811)</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5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(11,164)</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(11,729)</w:t>
            </w:r>
          </w:p>
        </w:tc>
      </w:tr>
      <w:tr>
        <w:trPr>
          <w:trHeight w:val="196"/>
        </w:trPr>
        <w:tc>
          <w:tcPr>
            <w:tcW w:w="4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$22,269</w:t>
            </w:r>
          </w:p>
        </w:tc>
        <w:tc>
          <w:tcPr>
            <w:tcW w:w="1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$20,149</w:t>
            </w:r>
          </w:p>
        </w:tc>
      </w:tr>
      <w:tr>
        <w:trPr>
          <w:trHeight w:val="588"/>
        </w:trPr>
        <w:tc>
          <w:tcPr>
            <w:tcW w:w="4080" w:type="dxa"/>
            <w:vAlign w:val="bottom"/>
          </w:tcPr>
          <w:p>
            <w:pPr>
              <w:spacing w:after="0"/>
              <w:rPr>
                <w:sz w:val="24"/>
                <w:szCs w:val="24"/>
                <w:color w:val="auto"/>
              </w:rPr>
            </w:pPr>
          </w:p>
        </w:tc>
        <w:tc>
          <w:tcPr>
            <w:tcW w:w="5580" w:type="dxa"/>
            <w:vAlign w:val="bottom"/>
          </w:tcPr>
          <w:p>
            <w:pPr>
              <w:jc w:val="right"/>
              <w:ind w:right="3770"/>
              <w:spacing w:after="0"/>
              <w:rPr>
                <w:sz w:val="20"/>
                <w:szCs w:val="20"/>
                <w:color w:val="auto"/>
              </w:rPr>
            </w:pPr>
            <w:r>
              <w:rPr>
                <w:rFonts w:ascii="Arial" w:cs="Arial" w:eastAsia="Arial" w:hAnsi="Arial"/>
                <w:sz w:val="18"/>
                <w:szCs w:val="18"/>
                <w:color w:val="auto"/>
              </w:rPr>
              <w:t>30</w:t>
            </w:r>
          </w:p>
        </w:tc>
        <w:tc>
          <w:tcPr>
            <w:tcW w:w="1760" w:type="dxa"/>
            <w:vAlign w:val="bottom"/>
          </w:tcPr>
          <w:p>
            <w:pPr>
              <w:spacing w:after="0"/>
              <w:rPr>
                <w:sz w:val="24"/>
                <w:szCs w:val="24"/>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4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Other Earnings Items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Borders>
              <w:top w:val="single" w:sz="8" w:color="auto"/>
            </w:tcBorders>
          </w:tcPr>
          <w:p>
            <w:pPr>
              <w:spacing w:after="0"/>
              <w:rPr>
                <w:sz w:val="16"/>
                <w:szCs w:val="16"/>
                <w:color w:val="auto"/>
              </w:rPr>
            </w:pPr>
          </w:p>
        </w:tc>
        <w:tc>
          <w:tcPr>
            <w:tcW w:w="512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36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2016</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630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336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$2,238</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$2,676</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33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(328)</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(3,285)</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336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7,043</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8,519</w:t>
            </w:r>
          </w:p>
        </w:tc>
      </w:tr>
      <w:tr>
        <w:trPr>
          <w:trHeight w:val="225"/>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income/(loss) attributable to the noncontrolling interest</w:t>
            </w:r>
          </w:p>
        </w:tc>
        <w:tc>
          <w:tcPr>
            <w:tcW w:w="3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(185)</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0"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Interest expense, net, decreased $ 0.4 million principally due to lower debt and average interest rates. For more information on borrowings and interest rates, see Note 14 to the Consolidated Financial Statements in Item 1, which is incorporated herein by reference.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included the following individually significant items: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1180" w:right="140" w:hanging="389"/>
        <w:spacing w:after="0" w:line="246"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first-quarter gains of $0.5 million in 2016 and $2.4 million in 2015.</w:t>
      </w:r>
    </w:p>
    <w:p>
      <w:pPr>
        <w:spacing w:after="0" w:line="88" w:lineRule="exact"/>
        <w:rPr>
          <w:rFonts w:ascii="Arial" w:cs="Arial" w:eastAsia="Arial" w:hAnsi="Arial"/>
          <w:sz w:val="18"/>
          <w:szCs w:val="18"/>
          <w:color w:val="auto"/>
        </w:rPr>
      </w:pPr>
    </w:p>
    <w:p>
      <w:pPr>
        <w:ind w:left="1180" w:right="140" w:hanging="389"/>
        <w:spacing w:after="0" w:line="246"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gain of $0.9 million was recorded in the first quarter of 2015 related to the sale of the Company’s investment in an unaffiliated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has operations which constitute a taxable presence in 18 countries outside of the United States, all of which have income tax rates that were at or below the United States’ federal tax rate of 35% during the periods reported. The jurisdictional location of earnings is a significant component of our effective tax rate each year and therefore on our overall income tax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effective tax rates for the first quarter of 2016 and 2015 were 34.6% and 41.0%,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by discrete items that may occur in any given year but are not consistent from year to year.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2016 tax rate included the following (percentages reflect the effect of each item as a percentage of</w:t>
      </w:r>
    </w:p>
    <w:p>
      <w:pPr>
        <w:spacing w:after="0"/>
        <w:rPr>
          <w:sz w:val="20"/>
          <w:szCs w:val="20"/>
          <w:color w:val="auto"/>
        </w:rPr>
      </w:pPr>
      <w:r>
        <w:rPr>
          <w:rFonts w:ascii="Arial" w:cs="Arial" w:eastAsia="Arial" w:hAnsi="Arial"/>
          <w:sz w:val="18"/>
          <w:szCs w:val="18"/>
          <w:color w:val="auto"/>
        </w:rPr>
        <w:t>Income before income taxes):</w:t>
      </w:r>
    </w:p>
    <w:p>
      <w:pPr>
        <w:spacing w:after="0" w:line="185" w:lineRule="exact"/>
        <w:rPr>
          <w:sz w:val="20"/>
          <w:szCs w:val="20"/>
          <w:color w:val="auto"/>
        </w:rPr>
      </w:pPr>
    </w:p>
    <w:p>
      <w:pPr>
        <w:ind w:left="5620" w:right="3180" w:hanging="4315"/>
        <w:spacing w:after="0" w:line="387" w:lineRule="auto"/>
        <w:tabs>
          <w:tab w:leader="none" w:pos="1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39.7%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1" w:name="page32"/>
    <w:bookmarkEnd w:id="31"/>
    <w:p>
      <w:pPr>
        <w:ind w:left="1580" w:hanging="383"/>
        <w:spacing w:after="0"/>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$0.8 million (4.1%) discrete income tax benefit related to provisions for and settlements of income tax audits.</w:t>
      </w:r>
    </w:p>
    <w:p>
      <w:pPr>
        <w:spacing w:after="0" w:line="117" w:lineRule="exact"/>
        <w:rPr>
          <w:rFonts w:ascii="Arial" w:cs="Arial" w:eastAsia="Arial" w:hAnsi="Arial"/>
          <w:sz w:val="18"/>
          <w:szCs w:val="18"/>
          <w:color w:val="auto"/>
        </w:rPr>
      </w:pPr>
    </w:p>
    <w:p>
      <w:pPr>
        <w:ind w:left="1580" w:hanging="383"/>
        <w:spacing w:after="0"/>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$0.2 million (1.0%) net tax benefit due to other discrete tax adjustments.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2015 tax rate included the following (percentages reflect the effect of each item as a percentage of</w:t>
      </w:r>
    </w:p>
    <w:p>
      <w:pPr>
        <w:spacing w:after="0"/>
        <w:rPr>
          <w:sz w:val="20"/>
          <w:szCs w:val="20"/>
          <w:color w:val="auto"/>
        </w:rPr>
      </w:pPr>
      <w:r>
        <w:rPr>
          <w:rFonts w:ascii="Arial" w:cs="Arial" w:eastAsia="Arial" w:hAnsi="Arial"/>
          <w:sz w:val="18"/>
          <w:szCs w:val="18"/>
          <w:color w:val="auto"/>
        </w:rPr>
        <w:t>Income before income taxes):</w:t>
      </w:r>
    </w:p>
    <w:p>
      <w:pPr>
        <w:spacing w:after="0" w:line="185" w:lineRule="exact"/>
        <w:rPr>
          <w:sz w:val="20"/>
          <w:szCs w:val="20"/>
          <w:color w:val="auto"/>
        </w:rPr>
      </w:pPr>
    </w:p>
    <w:p>
      <w:pPr>
        <w:ind w:left="1580" w:hanging="383"/>
        <w:spacing w:after="0"/>
        <w:tabs>
          <w:tab w:leader="none" w:pos="1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40.0%.</w:t>
      </w:r>
    </w:p>
    <w:p>
      <w:pPr>
        <w:spacing w:after="0" w:line="117" w:lineRule="exact"/>
        <w:rPr>
          <w:rFonts w:ascii="Arial" w:cs="Arial" w:eastAsia="Arial" w:hAnsi="Arial"/>
          <w:sz w:val="18"/>
          <w:szCs w:val="18"/>
          <w:color w:val="auto"/>
        </w:rPr>
      </w:pPr>
    </w:p>
    <w:p>
      <w:pPr>
        <w:ind w:left="1580" w:hanging="383"/>
        <w:spacing w:after="0"/>
        <w:tabs>
          <w:tab w:leader="none" w:pos="1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Discrete charges of $0.2 million (1.0%) were recognized.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8"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Machine Clothing is our primary business segment and accounted for 87% of our consolidated revenues during the first three months of 2016. Machine Clothing products are purchased primarily by manufacturers of paper and paperboard.</w:t>
      </w:r>
    </w:p>
    <w:p>
      <w:pPr>
        <w:spacing w:after="0" w:line="18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89"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9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88"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in the United States, Germany, France, Canada, and Sweden.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tcBorders>
              <w:top w:val="single" w:sz="8" w:color="auto"/>
            </w:tcBorders>
          </w:tcPr>
          <w:p>
            <w:pPr>
              <w:spacing w:after="0"/>
              <w:rPr>
                <w:sz w:val="16"/>
                <w:szCs w:val="16"/>
                <w:color w:val="auto"/>
              </w:rPr>
            </w:pPr>
          </w:p>
        </w:tc>
        <w:tc>
          <w:tcPr>
            <w:tcW w:w="598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2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2016</w:t>
            </w:r>
          </w:p>
        </w:tc>
        <w:tc>
          <w:tcPr>
            <w:tcW w:w="1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42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$145,264</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$158,494</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69,622</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75,260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420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47.9%</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31,785</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30,570</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42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37,139</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35,689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8" w:lineRule="exact"/>
        <w:rPr>
          <w:sz w:val="20"/>
          <w:szCs w:val="20"/>
          <w:color w:val="auto"/>
        </w:rPr>
      </w:pPr>
    </w:p>
    <w:p>
      <w:pPr>
        <w:ind w:left="800" w:hanging="400"/>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2016 sales by $1.8 million.</w:t>
      </w:r>
    </w:p>
    <w:p>
      <w:pPr>
        <w:spacing w:after="0" w:line="117" w:lineRule="exact"/>
        <w:rPr>
          <w:rFonts w:ascii="Arial" w:cs="Arial" w:eastAsia="Arial" w:hAnsi="Arial"/>
          <w:sz w:val="18"/>
          <w:szCs w:val="18"/>
          <w:color w:val="auto"/>
        </w:rPr>
      </w:pPr>
    </w:p>
    <w:p>
      <w:pPr>
        <w:ind w:left="800" w:right="280" w:hanging="400"/>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MC sales declined 7.2% principally due to the continuing effect of the significant drop in publication grade sales that occurred in the first half of 2015.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800" w:right="140" w:hanging="400"/>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reduction in MC sales described above resulted in a decrease in gross profit of $5.9 million. MC gross profit margin improved to 47.9% in 2016 from 47.5% in 2015.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8" w:lineRule="exact"/>
        <w:rPr>
          <w:sz w:val="20"/>
          <w:szCs w:val="20"/>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decreased $5.6 million as described above.</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charges of $0.7 million in the first quarter of 2016, compared to $9.0 million in 2015.</w:t>
      </w:r>
    </w:p>
    <w:p>
      <w:pPr>
        <w:spacing w:after="0" w:line="117" w:lineRule="exact"/>
        <w:rPr>
          <w:rFonts w:ascii="Arial" w:cs="Arial" w:eastAsia="Arial" w:hAnsi="Arial"/>
          <w:sz w:val="18"/>
          <w:szCs w:val="18"/>
          <w:color w:val="auto"/>
        </w:rPr>
      </w:pPr>
    </w:p>
    <w:p>
      <w:pPr>
        <w:ind w:left="800" w:right="340" w:hanging="400"/>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first quarter losses of $1.9 million in 2016 and gains of $2.9 million in 2015.</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actions taken in 2015 reduced STG&amp;R expenses by approximately $2 million.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5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based on proprietary technology to customers primarily in the aerospace and defense industries. AEC’s largest program relates to CFM International’s LEAP engine, which is scheduled to enter into service in 2016. AEC, through ASC, is the exclusive supplier of advanced composite fan blades and cases for this program under a long-term supply contract. In 2015, approximately 15 percent of this segment’s sales were related to U.S. government contracts or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tcBorders>
              <w:top w:val="single" w:sz="8" w:color="auto"/>
            </w:tcBorders>
          </w:tcPr>
          <w:p>
            <w:pPr>
              <w:spacing w:after="0"/>
              <w:rPr>
                <w:sz w:val="16"/>
                <w:szCs w:val="16"/>
                <w:color w:val="auto"/>
              </w:rPr>
            </w:pPr>
          </w:p>
        </w:tc>
        <w:tc>
          <w:tcPr>
            <w:tcW w:w="598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2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2016</w:t>
            </w:r>
          </w:p>
        </w:tc>
        <w:tc>
          <w:tcPr>
            <w:tcW w:w="1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42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$27,067</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$22,830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3,121</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1,815</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420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11.5%</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6,826</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5,626</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loss</w:t>
            </w:r>
          </w:p>
        </w:tc>
        <w:tc>
          <w:tcPr>
            <w:tcW w:w="42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(3,706)</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800" w:hanging="400"/>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2016 AEC sales increased due to growth in the LEAP program.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800" w:hanging="40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$1.3 million increase in gross profit was principally due to higher sales from the LEAP program.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93"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60 percent and 50 percent of AEC revenue for 2016 and 2015, respectively.</w:t>
      </w:r>
    </w:p>
    <w:p>
      <w:pPr>
        <w:spacing w:after="0" w:line="18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In addition, AEC has long-term fixed price contracts.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Changes in contract estimates increased gross profit $0.4 million in the first three months of 2016, and had minimal impact on gross profit in the same period of 2015.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The table below provides a summary of long-term fixed price contracts that were in process at the end of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00" w:type="dxa"/>
            <w:vAlign w:val="bottom"/>
            <w:tcBorders>
              <w:top w:val="single" w:sz="8" w:color="auto"/>
            </w:tcBorders>
          </w:tcPr>
          <w:p>
            <w:pPr>
              <w:spacing w:after="0"/>
              <w:rPr>
                <w:sz w:val="16"/>
                <w:szCs w:val="16"/>
                <w:color w:val="auto"/>
              </w:rPr>
            </w:pPr>
          </w:p>
        </w:tc>
        <w:tc>
          <w:tcPr>
            <w:tcW w:w="572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9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2016</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5700" w:type="dxa"/>
            <w:vAlign w:val="bottom"/>
          </w:tcPr>
          <w:p>
            <w:pPr>
              <w:spacing w:after="0" w:line="173" w:lineRule="exact"/>
              <w:rPr>
                <w:sz w:val="20"/>
                <w:szCs w:val="20"/>
                <w:color w:val="auto"/>
              </w:rPr>
            </w:pPr>
            <w:r>
              <w:rPr>
                <w:rFonts w:ascii="Arial" w:cs="Arial" w:eastAsia="Arial" w:hAnsi="Arial"/>
                <w:sz w:val="18"/>
                <w:szCs w:val="18"/>
                <w:color w:val="auto"/>
              </w:rPr>
              <w:t>Revenue earned during period</w:t>
            </w:r>
          </w:p>
        </w:tc>
        <w:tc>
          <w:tcPr>
            <w:tcW w:w="392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$4,526</w:t>
            </w:r>
          </w:p>
        </w:tc>
        <w:tc>
          <w:tcPr>
            <w:tcW w:w="18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$5,198</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Total value of contracts in process</w:t>
            </w:r>
          </w:p>
        </w:tc>
        <w:tc>
          <w:tcPr>
            <w:tcW w:w="392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21,701</w:t>
            </w: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34,892</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Revenue recognized to date</w:t>
            </w:r>
          </w:p>
        </w:tc>
        <w:tc>
          <w:tcPr>
            <w:tcW w:w="392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11,502</w:t>
            </w: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23,329</w:t>
            </w:r>
          </w:p>
        </w:tc>
      </w:tr>
      <w:tr>
        <w:trPr>
          <w:trHeight w:val="225"/>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to be recognized in future periods</w:t>
            </w:r>
          </w:p>
        </w:tc>
        <w:tc>
          <w:tcPr>
            <w:tcW w:w="3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10,199</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11,563</w:t>
            </w:r>
          </w:p>
        </w:tc>
      </w:tr>
    </w:tbl>
    <w:p>
      <w:pPr>
        <w:spacing w:after="0" w:line="2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February 2016, our customer on a long-term contract for the manufacture of composite components for the Rolls-Royce BR725 engine notified us that they disagreed with our calculation of pricing for the parts to be sold in 2016, which could, potentially, have an adverse effect on the profitability of this contract in the future. While the Company believes that its position is supported by the prior course of dealing between the parties, if the customer’s position were to prevail it could have a material effect on operating results in future periods.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800" w:right="160" w:hanging="400"/>
        <w:spacing w:after="0" w:line="275" w:lineRule="auto"/>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2016 operating loss slightly improved principally due to the higher gross profit, which was mostly offset by higher STG&amp;R expenses, which includes $1.6 million of expenses related to the acquisition of Harris Corporation’s composite aerostructures business.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180" w:type="dxa"/>
            <w:vAlign w:val="bottom"/>
            <w:tcBorders>
              <w:top w:val="single" w:sz="8" w:color="auto"/>
            </w:tcBorders>
          </w:tcPr>
          <w:p>
            <w:pPr>
              <w:spacing w:after="0"/>
              <w:rPr>
                <w:sz w:val="16"/>
                <w:szCs w:val="16"/>
                <w:color w:val="auto"/>
              </w:rPr>
            </w:pPr>
          </w:p>
        </w:tc>
        <w:tc>
          <w:tcPr>
            <w:tcW w:w="622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446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2016</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520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446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$13,316</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$12,239</w:t>
            </w:r>
          </w:p>
        </w:tc>
      </w:tr>
      <w:tr>
        <w:trPr>
          <w:trHeight w:val="203"/>
        </w:trPr>
        <w:tc>
          <w:tcPr>
            <w:tcW w:w="20" w:type="dxa"/>
            <w:vAlign w:val="bottom"/>
          </w:tcPr>
          <w:p>
            <w:pPr>
              <w:spacing w:after="0"/>
              <w:rPr>
                <w:sz w:val="17"/>
                <w:szCs w:val="17"/>
                <w:color w:val="auto"/>
              </w:rPr>
            </w:pPr>
          </w:p>
        </w:tc>
        <w:tc>
          <w:tcPr>
            <w:tcW w:w="518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446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14,820</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15,354</w:t>
            </w:r>
          </w:p>
        </w:tc>
      </w:tr>
      <w:tr>
        <w:trPr>
          <w:trHeight w:val="203"/>
        </w:trPr>
        <w:tc>
          <w:tcPr>
            <w:tcW w:w="20" w:type="dxa"/>
            <w:vAlign w:val="bottom"/>
          </w:tcPr>
          <w:p>
            <w:pPr>
              <w:spacing w:after="0"/>
              <w:rPr>
                <w:sz w:val="17"/>
                <w:szCs w:val="17"/>
                <w:color w:val="auto"/>
              </w:rPr>
            </w:pPr>
          </w:p>
        </w:tc>
        <w:tc>
          <w:tcPr>
            <w:tcW w:w="5180" w:type="dxa"/>
            <w:vAlign w:val="bottom"/>
          </w:tcPr>
          <w:p>
            <w:pPr>
              <w:ind w:left="180"/>
              <w:spacing w:after="0" w:line="202" w:lineRule="exact"/>
              <w:rPr>
                <w:sz w:val="20"/>
                <w:szCs w:val="20"/>
                <w:color w:val="auto"/>
              </w:rPr>
            </w:pPr>
            <w:r>
              <w:rPr>
                <w:rFonts w:ascii="Arial" w:cs="Arial" w:eastAsia="Arial" w:hAnsi="Arial"/>
                <w:sz w:val="18"/>
                <w:szCs w:val="18"/>
                <w:color w:val="auto"/>
              </w:rPr>
              <w:t>Changes in working capital</w:t>
            </w:r>
          </w:p>
        </w:tc>
        <w:tc>
          <w:tcPr>
            <w:tcW w:w="44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(25,375)</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(20,318)</w:t>
            </w:r>
          </w:p>
        </w:tc>
      </w:tr>
      <w:tr>
        <w:trPr>
          <w:trHeight w:val="203"/>
        </w:trPr>
        <w:tc>
          <w:tcPr>
            <w:tcW w:w="20" w:type="dxa"/>
            <w:vAlign w:val="bottom"/>
          </w:tcPr>
          <w:p>
            <w:pPr>
              <w:spacing w:after="0"/>
              <w:rPr>
                <w:sz w:val="17"/>
                <w:szCs w:val="17"/>
                <w:color w:val="auto"/>
              </w:rPr>
            </w:pPr>
          </w:p>
        </w:tc>
        <w:tc>
          <w:tcPr>
            <w:tcW w:w="5180" w:type="dxa"/>
            <w:vAlign w:val="bottom"/>
          </w:tcPr>
          <w:p>
            <w:pPr>
              <w:ind w:left="180"/>
              <w:spacing w:after="0" w:line="202" w:lineRule="exact"/>
              <w:rPr>
                <w:sz w:val="20"/>
                <w:szCs w:val="20"/>
                <w:color w:val="auto"/>
              </w:rPr>
            </w:pPr>
            <w:r>
              <w:rPr>
                <w:rFonts w:ascii="Arial" w:cs="Arial" w:eastAsia="Arial" w:hAnsi="Arial"/>
                <w:sz w:val="18"/>
                <w:szCs w:val="18"/>
                <w:color w:val="auto"/>
              </w:rPr>
              <w:t>Gain on disposition of assets</w:t>
            </w:r>
          </w:p>
        </w:tc>
        <w:tc>
          <w:tcPr>
            <w:tcW w:w="446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r>
      <w:tr>
        <w:trPr>
          <w:trHeight w:val="203"/>
        </w:trPr>
        <w:tc>
          <w:tcPr>
            <w:tcW w:w="20" w:type="dxa"/>
            <w:vAlign w:val="bottom"/>
          </w:tcPr>
          <w:p>
            <w:pPr>
              <w:spacing w:after="0"/>
              <w:rPr>
                <w:sz w:val="17"/>
                <w:szCs w:val="17"/>
                <w:color w:val="auto"/>
              </w:rPr>
            </w:pPr>
          </w:p>
        </w:tc>
        <w:tc>
          <w:tcPr>
            <w:tcW w:w="5180" w:type="dxa"/>
            <w:vAlign w:val="bottom"/>
          </w:tcPr>
          <w:p>
            <w:pPr>
              <w:ind w:left="180"/>
              <w:spacing w:after="0" w:line="202" w:lineRule="exact"/>
              <w:rPr>
                <w:sz w:val="20"/>
                <w:szCs w:val="20"/>
                <w:color w:val="auto"/>
              </w:rPr>
            </w:pPr>
            <w:r>
              <w:rPr>
                <w:rFonts w:ascii="Arial" w:cs="Arial" w:eastAsia="Arial" w:hAnsi="Arial"/>
                <w:sz w:val="18"/>
                <w:szCs w:val="18"/>
                <w:color w:val="auto"/>
              </w:rPr>
              <w:t>Changes in other noncurrent liabilities and deferred taxes</w:t>
            </w:r>
          </w:p>
        </w:tc>
        <w:tc>
          <w:tcPr>
            <w:tcW w:w="44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(107)</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r>
      <w:tr>
        <w:trPr>
          <w:trHeight w:val="225"/>
        </w:trPr>
        <w:tc>
          <w:tcPr>
            <w:tcW w:w="20" w:type="dxa"/>
            <w:vAlign w:val="bottom"/>
          </w:tcPr>
          <w:p>
            <w:pPr>
              <w:spacing w:after="0"/>
              <w:rPr>
                <w:sz w:val="19"/>
                <w:szCs w:val="19"/>
                <w:color w:val="auto"/>
              </w:rPr>
            </w:pPr>
          </w:p>
        </w:tc>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operating items</w:t>
            </w:r>
          </w:p>
        </w:tc>
        <w:tc>
          <w:tcPr>
            <w:tcW w:w="44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1,390</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r>
      <w:tr>
        <w:trPr>
          <w:trHeight w:val="173"/>
        </w:trPr>
        <w:tc>
          <w:tcPr>
            <w:tcW w:w="20" w:type="dxa"/>
            <w:vAlign w:val="bottom"/>
          </w:tcPr>
          <w:p>
            <w:pPr>
              <w:spacing w:after="0"/>
              <w:rPr>
                <w:sz w:val="15"/>
                <w:szCs w:val="15"/>
                <w:color w:val="auto"/>
              </w:rPr>
            </w:pPr>
          </w:p>
        </w:tc>
        <w:tc>
          <w:tcPr>
            <w:tcW w:w="5180" w:type="dxa"/>
            <w:vAlign w:val="bottom"/>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446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4,044</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6,409</w:t>
            </w: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4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(8,075)</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(9,447)</w:t>
            </w: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in)/provided by financing activities</w:t>
            </w:r>
          </w:p>
        </w:tc>
        <w:tc>
          <w:tcPr>
            <w:tcW w:w="44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(15,374)</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5,679</w:t>
            </w:r>
          </w:p>
        </w:tc>
      </w:tr>
      <w:tr>
        <w:trPr>
          <w:trHeight w:val="22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44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3,907</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(11,605)</w:t>
            </w:r>
          </w:p>
        </w:tc>
      </w:tr>
      <w:tr>
        <w:trPr>
          <w:trHeight w:val="173"/>
        </w:trPr>
        <w:tc>
          <w:tcPr>
            <w:tcW w:w="5200" w:type="dxa"/>
            <w:vAlign w:val="bottom"/>
            <w:gridSpan w:val="2"/>
          </w:tcPr>
          <w:p>
            <w:pPr>
              <w:spacing w:after="0" w:line="173" w:lineRule="exact"/>
              <w:rPr>
                <w:sz w:val="20"/>
                <w:szCs w:val="20"/>
                <w:color w:val="auto"/>
              </w:rPr>
            </w:pPr>
            <w:r>
              <w:rPr>
                <w:rFonts w:ascii="Arial" w:cs="Arial" w:eastAsia="Arial" w:hAnsi="Arial"/>
                <w:sz w:val="18"/>
                <w:szCs w:val="18"/>
                <w:color w:val="auto"/>
              </w:rPr>
              <w:t>Decrease in cash and cash equivalents</w:t>
            </w:r>
          </w:p>
        </w:tc>
        <w:tc>
          <w:tcPr>
            <w:tcW w:w="446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(15,498)</w:t>
            </w:r>
          </w:p>
        </w:tc>
        <w:tc>
          <w:tcPr>
            <w:tcW w:w="1760" w:type="dxa"/>
            <w:vAlign w:val="bottom"/>
          </w:tcPr>
          <w:p>
            <w:pPr>
              <w:jc w:val="right"/>
              <w:spacing w:after="0" w:line="173" w:lineRule="exact"/>
              <w:rPr>
                <w:sz w:val="20"/>
                <w:szCs w:val="20"/>
                <w:color w:val="auto"/>
              </w:rPr>
            </w:pPr>
            <w:r>
              <w:rPr>
                <w:rFonts w:ascii="Arial" w:cs="Arial" w:eastAsia="Arial" w:hAnsi="Arial"/>
                <w:sz w:val="18"/>
                <w:szCs w:val="18"/>
                <w:color w:val="auto"/>
              </w:rPr>
              <w:t>(8,964)</w:t>
            </w:r>
          </w:p>
        </w:tc>
      </w:tr>
      <w:tr>
        <w:trPr>
          <w:trHeight w:val="22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44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185,113</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179,802</w:t>
            </w:r>
          </w:p>
        </w:tc>
      </w:tr>
      <w:tr>
        <w:trPr>
          <w:trHeight w:val="196"/>
        </w:trPr>
        <w:tc>
          <w:tcPr>
            <w:tcW w:w="520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4460" w:type="dxa"/>
            <w:vAlign w:val="bottom"/>
          </w:tcPr>
          <w:p>
            <w:pPr>
              <w:jc w:val="right"/>
              <w:ind w:right="750"/>
              <w:spacing w:after="0" w:line="196" w:lineRule="exact"/>
              <w:rPr>
                <w:sz w:val="20"/>
                <w:szCs w:val="20"/>
                <w:color w:val="auto"/>
              </w:rPr>
            </w:pPr>
            <w:r>
              <w:rPr>
                <w:rFonts w:ascii="Arial" w:cs="Arial" w:eastAsia="Arial" w:hAnsi="Arial"/>
                <w:sz w:val="18"/>
                <w:szCs w:val="18"/>
                <w:b w:val="1"/>
                <w:bCs w:val="1"/>
                <w:color w:val="auto"/>
              </w:rPr>
              <w:t>$169,615</w:t>
            </w:r>
          </w:p>
        </w:tc>
        <w:tc>
          <w:tcPr>
            <w:tcW w:w="1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$170,838</w:t>
            </w:r>
          </w:p>
        </w:tc>
      </w:tr>
      <w:tr>
        <w:trPr>
          <w:trHeight w:val="520"/>
        </w:trPr>
        <w:tc>
          <w:tcPr>
            <w:tcW w:w="20" w:type="dxa"/>
            <w:vAlign w:val="bottom"/>
          </w:tcPr>
          <w:p>
            <w:pPr>
              <w:spacing w:after="0"/>
              <w:rPr>
                <w:sz w:val="24"/>
                <w:szCs w:val="24"/>
                <w:color w:val="auto"/>
              </w:rPr>
            </w:pPr>
          </w:p>
        </w:tc>
        <w:tc>
          <w:tcPr>
            <w:tcW w:w="5180" w:type="dxa"/>
            <w:vAlign w:val="bottom"/>
            <w:tcBorders>
              <w:top w:val="single" w:sz="8" w:color="auto"/>
            </w:tcBorders>
          </w:tcPr>
          <w:p>
            <w:pPr>
              <w:spacing w:after="0"/>
              <w:rPr>
                <w:sz w:val="24"/>
                <w:szCs w:val="24"/>
                <w:color w:val="auto"/>
              </w:rPr>
            </w:pPr>
          </w:p>
        </w:tc>
        <w:tc>
          <w:tcPr>
            <w:tcW w:w="4460" w:type="dxa"/>
            <w:vAlign w:val="bottom"/>
            <w:tcBorders>
              <w:top w:val="single" w:sz="8" w:color="auto"/>
            </w:tcBorders>
          </w:tcPr>
          <w:p>
            <w:pPr>
              <w:jc w:val="right"/>
              <w:ind w:right="3770"/>
              <w:spacing w:after="0"/>
              <w:rPr>
                <w:sz w:val="20"/>
                <w:szCs w:val="20"/>
                <w:color w:val="auto"/>
              </w:rPr>
            </w:pPr>
            <w:r>
              <w:rPr>
                <w:rFonts w:ascii="Arial" w:cs="Arial" w:eastAsia="Arial" w:hAnsi="Arial"/>
                <w:sz w:val="18"/>
                <w:szCs w:val="18"/>
                <w:color w:val="auto"/>
              </w:rPr>
              <w:t>35</w:t>
            </w:r>
          </w:p>
        </w:tc>
        <w:tc>
          <w:tcPr>
            <w:tcW w:w="1760" w:type="dxa"/>
            <w:vAlign w:val="bottom"/>
            <w:tcBorders>
              <w:top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auto"/>
            </w:tcBorders>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4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Operating activities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operating activities was $4.0 million for the first three months of 2016, compared to $6.4 million in the same period of</w:t>
      </w:r>
    </w:p>
    <w:p>
      <w:pPr>
        <w:spacing w:after="0" w:line="234" w:lineRule="auto"/>
        <w:rPr>
          <w:sz w:val="20"/>
          <w:szCs w:val="20"/>
          <w:color w:val="auto"/>
        </w:rPr>
      </w:pPr>
      <w:r>
        <w:rPr>
          <w:rFonts w:ascii="Arial" w:cs="Arial" w:eastAsia="Arial" w:hAnsi="Arial"/>
          <w:sz w:val="18"/>
          <w:szCs w:val="18"/>
          <w:color w:val="auto"/>
        </w:rPr>
        <w:t>2015. Changes in working capital for the first three months of 2016 resulted in a use of cash totaling $25.4 million compared to $20.3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2015. Cash paid for income taxes was $9.2 million and $7.1 million for the first three months of 2016 and 2015, respectively.</w:t>
      </w:r>
    </w:p>
    <w:p>
      <w:pPr>
        <w:spacing w:after="0" w:line="19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At March 31, 2016, we had $169.6 million of cash and cash equivalents, of which $ 149.1 million was held by subsidiaries outside of the United States. As disclosed in Note 7 contained in Item 1, “Notes to Consolidated Financial Statements”, we determined that all but $59.0 million of this amount (which represents the amount of prior year earnings to be repatriated to the United States at some point in the future) is intended to be utilized by these non-U.S. operations for an indefinite period of time. Our current plans do not anticipate that we will need additional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Total capital expenditures for the first quarter of 2016 were $10.9 million, including amounts that were included in Accounts payable. In the Consolidated Statements of Cash Flows, capital expenditures and accounts payable were each adjusted by $2.9 million to reflect the non-cash nature of that amount. The Company estimates full-year capital expenditure spending of $85 million to $95 million, including capital expenditures for the acquired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0"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March 31, 2016 was held by non-U.S. subsidiaries. Based on cash on hand and credit facilities, we anticipate that the Company has sufficient capital resources to operate for the foreseeable future. We were in compliance with all debt covenants as of March 31, 2016.</w:t>
      </w:r>
    </w:p>
    <w:p>
      <w:pPr>
        <w:spacing w:after="0" w:line="176"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On June 18, 2015, we entered into a $400 million, unsecured Five-Year Revolving Credit Facility Agreement (the “Prior Agreement”), under which $205 million of borrowings were outstanding as of March 31, 2016. The applicable interest rate for borrowings under the Prior Agreement was LIBOR plus a spread, based on our leverage ratio at the time of borrowing. At the time of the last borrowing on March 16, 2016, the spread was 1.375%. The spread was based on a pricing grid, which ranged from 1.250% to 1.750%, based on our leverage ratio. Based on our maximum leverage ratio</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6" w:name="page37"/>
    <w:bookmarkEnd w:id="36"/>
    <w:p>
      <w:pPr>
        <w:ind w:right="280"/>
        <w:spacing w:after="0" w:line="246" w:lineRule="auto"/>
        <w:rPr>
          <w:sz w:val="20"/>
          <w:szCs w:val="20"/>
          <w:color w:val="auto"/>
        </w:rPr>
      </w:pPr>
      <w:r>
        <w:rPr>
          <w:rFonts w:ascii="Arial" w:cs="Arial" w:eastAsia="Arial" w:hAnsi="Arial"/>
          <w:sz w:val="18"/>
          <w:szCs w:val="18"/>
          <w:color w:val="auto"/>
        </w:rPr>
        <w:t>and our Consolidated EBITDA (as defined in the Prior Agreement), and without modification to any other credit agreements, as of March 31, 2016, we would have been able to borrow an additional $195 million under the Prior Agreement.</w:t>
      </w:r>
    </w:p>
    <w:p>
      <w:pPr>
        <w:spacing w:after="0" w:line="18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On April 8, 2016, we entered into a $550 million unsecured Five-Year Revolving Credit Facility Agreement (the “Credit Agreement”) which amends and restates the Prior Agreement. The Credit Agreement contains customary terms, as well as affirmative covenants, negative covenants and events of default comparable to those in the Prior Agreement. The Borrowings are guaranteed by certain of the Company's subsidiaries.</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On May 20, 2013 and July 16, 2015 we entered into hedging transactions that had the effect of fixing the interest rate on $110 million to $120 million of borrowings drawn under the Credit Agreement at the rate during the period.</w:t>
      </w:r>
    </w:p>
    <w:p>
      <w:pPr>
        <w:spacing w:after="0" w:line="197"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As of March 31, 2016, our leverage ratio, including the pro-forma effect of the acquisition, was 2.57 to 1.00 and our interest coverage ratio was 13.59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Note 14 to the Consolidated Financial Statements in Item 1, which is incorporated herein by reference.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2016, we have no off-balance sheet arrangements required to be disclosed pursuant to Item 303(a)(4) of Regulation 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information set forth under Note 18 contained in Item 1, “Notes to Consolidated Financial Statements”, which is incorporated herein by reference.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right="60" w:firstLine="648"/>
        <w:spacing w:after="0" w:line="234"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EBITDA margin, sales excluding currency effects, income tax rate excluding adjustments, net debt, net income attributable to the Company, excluding adjustments (on an absolute and per-share basis), and certain income and expense items on a per-share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period performance, especially when compared to periods in which such items had a greater or lesser effect, or no effect. All non-GAAP financial measures in this report relate to the Company’s continuing operations.</w:t>
      </w:r>
    </w:p>
    <w:p>
      <w:pPr>
        <w:spacing w:after="0" w:line="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income taxes. The Company calculates EBITDA by removing the following from Net income: Interest expense net, Income tax expense, and Depreciation and amortization. Adjusted EBITDA is calculated by adding to EBITDA, costs associated with restructuring, adding or subtracting revaluation losses or gains, subtracting or adding gains or losses from the sale of buildings or investments and insurance -recovery gains, and subtracting Income attributable to the noncontrolling interest in Albany Safran Composites, LLC (ASC); and adding expenses related to the Company’s acquisition of Harris Corporation’s composite aerostructures business.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acquisition costs, foreign currency revaluation losses or gains, and gains and losses from the sale of buildings or investments and insurance-recovery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Consolidated Statements of Income.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0" w:right="25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18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88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Machine</w:t>
            </w:r>
          </w:p>
        </w:tc>
        <w:tc>
          <w:tcPr>
            <w:tcW w:w="154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expenses and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Clothing</w:t>
            </w: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AEC</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173"/>
        </w:trPr>
        <w:tc>
          <w:tcPr>
            <w:tcW w:w="4800" w:type="dxa"/>
            <w:vAlign w:val="bottom"/>
          </w:tcPr>
          <w:p>
            <w:pPr>
              <w:spacing w:after="0" w:line="173" w:lineRule="exact"/>
              <w:rPr>
                <w:sz w:val="20"/>
                <w:szCs w:val="20"/>
                <w:color w:val="auto"/>
              </w:rPr>
            </w:pPr>
            <w:r>
              <w:rPr>
                <w:rFonts w:ascii="Arial" w:cs="Arial" w:eastAsia="Arial" w:hAnsi="Arial"/>
                <w:sz w:val="18"/>
                <w:szCs w:val="18"/>
                <w:color w:val="auto"/>
              </w:rPr>
              <w:t>Net income</w:t>
            </w:r>
          </w:p>
        </w:tc>
        <w:tc>
          <w:tcPr>
            <w:tcW w:w="1880" w:type="dxa"/>
            <w:vAlign w:val="bottom"/>
          </w:tcPr>
          <w:p>
            <w:pPr>
              <w:jc w:val="right"/>
              <w:ind w:right="390"/>
              <w:spacing w:after="0" w:line="173" w:lineRule="exact"/>
              <w:rPr>
                <w:sz w:val="20"/>
                <w:szCs w:val="20"/>
                <w:color w:val="auto"/>
              </w:rPr>
            </w:pPr>
            <w:r>
              <w:rPr>
                <w:rFonts w:ascii="Arial" w:cs="Arial" w:eastAsia="Arial" w:hAnsi="Arial"/>
                <w:sz w:val="18"/>
                <w:szCs w:val="18"/>
                <w:color w:val="auto"/>
              </w:rPr>
              <w:t>$37,139</w:t>
            </w:r>
          </w:p>
        </w:tc>
        <w:tc>
          <w:tcPr>
            <w:tcW w:w="154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($3,706)</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($20,117)</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$13,316</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8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2,238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2,238</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8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7,043</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7,043</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9,318</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3,395</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2,107</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14,820</w:t>
            </w:r>
          </w:p>
        </w:tc>
        <w:tc>
          <w:tcPr>
            <w:tcW w:w="0" w:type="dxa"/>
            <w:vAlign w:val="bottom"/>
          </w:tcPr>
          <w:p>
            <w:pPr>
              <w:spacing w:after="0"/>
              <w:rPr>
                <w:sz w:val="1"/>
                <w:szCs w:val="1"/>
                <w:color w:val="auto"/>
              </w:rPr>
            </w:pPr>
          </w:p>
        </w:tc>
      </w:tr>
      <w:tr>
        <w:trPr>
          <w:trHeight w:val="173"/>
        </w:trPr>
        <w:tc>
          <w:tcPr>
            <w:tcW w:w="4800" w:type="dxa"/>
            <w:vAlign w:val="bottom"/>
          </w:tcPr>
          <w:p>
            <w:pPr>
              <w:spacing w:after="0" w:line="173" w:lineRule="exact"/>
              <w:rPr>
                <w:sz w:val="20"/>
                <w:szCs w:val="20"/>
                <w:color w:val="auto"/>
              </w:rPr>
            </w:pPr>
            <w:r>
              <w:rPr>
                <w:rFonts w:ascii="Arial" w:cs="Arial" w:eastAsia="Arial" w:hAnsi="Arial"/>
                <w:sz w:val="18"/>
                <w:szCs w:val="18"/>
                <w:color w:val="auto"/>
              </w:rPr>
              <w:t>EBITDA</w:t>
            </w:r>
          </w:p>
        </w:tc>
        <w:tc>
          <w:tcPr>
            <w:tcW w:w="1880" w:type="dxa"/>
            <w:vAlign w:val="bottom"/>
          </w:tcPr>
          <w:p>
            <w:pPr>
              <w:jc w:val="right"/>
              <w:ind w:right="390"/>
              <w:spacing w:after="0" w:line="173" w:lineRule="exact"/>
              <w:rPr>
                <w:sz w:val="20"/>
                <w:szCs w:val="20"/>
                <w:color w:val="auto"/>
              </w:rPr>
            </w:pPr>
            <w:r>
              <w:rPr>
                <w:rFonts w:ascii="Arial" w:cs="Arial" w:eastAsia="Arial" w:hAnsi="Arial"/>
                <w:sz w:val="18"/>
                <w:szCs w:val="18"/>
                <w:color w:val="auto"/>
              </w:rPr>
              <w:t>46,457</w:t>
            </w:r>
          </w:p>
        </w:tc>
        <w:tc>
          <w:tcPr>
            <w:tcW w:w="154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(311)</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(8,729)</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37,417</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18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698</w:t>
            </w:r>
          </w:p>
        </w:tc>
        <w:tc>
          <w:tcPr>
            <w:tcW w:w="1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679</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8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1,890</w:t>
            </w:r>
          </w:p>
        </w:tc>
        <w:tc>
          <w:tcPr>
            <w:tcW w:w="1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(477)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20"/>
                <w:szCs w:val="20"/>
                <w:color w:val="auto"/>
              </w:rPr>
            </w:pPr>
            <w:r>
              <w:rPr>
                <w:rFonts w:ascii="Arial" w:cs="Arial" w:eastAsia="Arial" w:hAnsi="Arial"/>
                <w:sz w:val="18"/>
                <w:szCs w:val="18"/>
                <w:color w:val="auto"/>
              </w:rPr>
              <w:t>Acquisition expenses</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1,596</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1,596</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Pretax loss attributable to the noncontrolling interest in</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ASC</w:t>
            </w:r>
          </w:p>
        </w:tc>
        <w:tc>
          <w:tcPr>
            <w:tcW w:w="18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187</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18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$49,045</w:t>
            </w:r>
          </w:p>
        </w:tc>
        <w:tc>
          <w:tcPr>
            <w:tcW w:w="15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$1,477</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($9,225)</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$41,297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2015</w:t>
            </w:r>
          </w:p>
        </w:tc>
        <w:tc>
          <w:tcPr>
            <w:tcW w:w="18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86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Machine</w:t>
            </w:r>
          </w:p>
        </w:tc>
        <w:tc>
          <w:tcPr>
            <w:tcW w:w="152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expenses and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Clothing</w:t>
            </w: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AEC</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173"/>
        </w:trPr>
        <w:tc>
          <w:tcPr>
            <w:tcW w:w="4840" w:type="dxa"/>
            <w:vAlign w:val="bottom"/>
          </w:tcPr>
          <w:p>
            <w:pPr>
              <w:spacing w:after="0" w:line="173" w:lineRule="exact"/>
              <w:rPr>
                <w:sz w:val="20"/>
                <w:szCs w:val="20"/>
                <w:color w:val="auto"/>
              </w:rPr>
            </w:pPr>
            <w:r>
              <w:rPr>
                <w:rFonts w:ascii="Arial" w:cs="Arial" w:eastAsia="Arial" w:hAnsi="Arial"/>
                <w:sz w:val="18"/>
                <w:szCs w:val="18"/>
                <w:color w:val="auto"/>
              </w:rPr>
              <w:t>Net income</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$35,689</w:t>
            </w:r>
          </w:p>
        </w:tc>
        <w:tc>
          <w:tcPr>
            <w:tcW w:w="152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($3,811)</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($19,639)</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$12,239</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2,676</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2,676</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8,519</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8,519</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10,205</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2,995</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2,154</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15,354</w:t>
            </w:r>
          </w:p>
        </w:tc>
        <w:tc>
          <w:tcPr>
            <w:tcW w:w="0" w:type="dxa"/>
            <w:vAlign w:val="bottom"/>
          </w:tcPr>
          <w:p>
            <w:pPr>
              <w:spacing w:after="0"/>
              <w:rPr>
                <w:sz w:val="1"/>
                <w:szCs w:val="1"/>
                <w:color w:val="auto"/>
              </w:rPr>
            </w:pPr>
          </w:p>
        </w:tc>
      </w:tr>
      <w:tr>
        <w:trPr>
          <w:trHeight w:val="173"/>
        </w:trPr>
        <w:tc>
          <w:tcPr>
            <w:tcW w:w="4840" w:type="dxa"/>
            <w:vAlign w:val="bottom"/>
          </w:tcPr>
          <w:p>
            <w:pPr>
              <w:spacing w:after="0" w:line="173" w:lineRule="exact"/>
              <w:rPr>
                <w:sz w:val="20"/>
                <w:szCs w:val="20"/>
                <w:color w:val="auto"/>
              </w:rPr>
            </w:pPr>
            <w:r>
              <w:rPr>
                <w:rFonts w:ascii="Arial" w:cs="Arial" w:eastAsia="Arial" w:hAnsi="Arial"/>
                <w:sz w:val="18"/>
                <w:szCs w:val="18"/>
                <w:color w:val="auto"/>
              </w:rPr>
              <w:t>EBITDA</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45,894</w:t>
            </w:r>
          </w:p>
        </w:tc>
        <w:tc>
          <w:tcPr>
            <w:tcW w:w="152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(816)</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(6,290)</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38,788</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9,001</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9,001</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8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(2,923)</w:t>
            </w:r>
          </w:p>
        </w:tc>
        <w:tc>
          <w:tcPr>
            <w:tcW w:w="15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(2,431)</w:t>
            </w: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(5,371)</w:t>
            </w:r>
          </w:p>
        </w:tc>
        <w:tc>
          <w:tcPr>
            <w:tcW w:w="0" w:type="dxa"/>
            <w:vAlign w:val="bottom"/>
          </w:tcPr>
          <w:p>
            <w:pPr>
              <w:spacing w:after="0"/>
              <w:rPr>
                <w:sz w:val="1"/>
                <w:szCs w:val="1"/>
                <w:color w:val="auto"/>
              </w:rPr>
            </w:pPr>
          </w:p>
        </w:tc>
      </w:tr>
      <w:tr>
        <w:trPr>
          <w:trHeight w:val="225"/>
        </w:trPr>
        <w:tc>
          <w:tcPr>
            <w:tcW w:w="4840" w:type="dxa"/>
            <w:vAlign w:val="bottom"/>
          </w:tcPr>
          <w:p>
            <w:pPr>
              <w:spacing w:after="0"/>
              <w:rPr>
                <w:sz w:val="20"/>
                <w:szCs w:val="20"/>
                <w:color w:val="auto"/>
              </w:rPr>
            </w:pPr>
            <w:r>
              <w:rPr>
                <w:rFonts w:ascii="Arial" w:cs="Arial" w:eastAsia="Arial" w:hAnsi="Arial"/>
                <w:sz w:val="18"/>
                <w:szCs w:val="18"/>
                <w:color w:val="auto"/>
              </w:rPr>
              <w:t>Gain on sale of investment</w:t>
            </w: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(872)</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Pretax income attributable to the noncontrolling interest</w:t>
            </w:r>
          </w:p>
        </w:tc>
        <w:tc>
          <w:tcPr>
            <w:tcW w:w="1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ASC</w:t>
            </w:r>
          </w:p>
        </w:tc>
        <w:tc>
          <w:tcPr>
            <w:tcW w:w="18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18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$51,972</w:t>
            </w:r>
          </w:p>
        </w:tc>
        <w:tc>
          <w:tcPr>
            <w:tcW w:w="15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($859)</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($9,593)</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$41,520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estimated effective annual tax rate and the weighted average number of shares outstanding for each period. The year-to-date earnings per-share effects are determined by adding the amounts calculated at each reporting period.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March 31, 2016</w:t>
            </w:r>
          </w:p>
        </w:tc>
        <w:tc>
          <w:tcPr>
            <w:tcW w:w="2240" w:type="dxa"/>
            <w:vAlign w:val="bottom"/>
            <w:tcBorders>
              <w:top w:val="single" w:sz="8" w:color="auto"/>
            </w:tcBorders>
          </w:tcPr>
          <w:p>
            <w:pPr>
              <w:jc w:val="right"/>
              <w:ind w:right="630"/>
              <w:spacing w:after="0" w:line="194" w:lineRule="exact"/>
              <w:rPr>
                <w:sz w:val="20"/>
                <w:szCs w:val="20"/>
                <w:color w:val="auto"/>
              </w:rPr>
            </w:pPr>
            <w:r>
              <w:rPr>
                <w:rFonts w:ascii="Arial" w:cs="Arial" w:eastAsia="Arial" w:hAnsi="Arial"/>
                <w:sz w:val="18"/>
                <w:szCs w:val="18"/>
                <w:b w:val="1"/>
                <w:bCs w:val="1"/>
                <w:color w:val="auto"/>
              </w:rPr>
              <w:t>Pre tax</w:t>
            </w:r>
          </w:p>
        </w:tc>
        <w:tc>
          <w:tcPr>
            <w:tcW w:w="1660" w:type="dxa"/>
            <w:vAlign w:val="bottom"/>
            <w:tcBorders>
              <w:top w:val="single" w:sz="8" w:color="auto"/>
            </w:tcBorders>
          </w:tcPr>
          <w:p>
            <w:pPr>
              <w:jc w:val="right"/>
              <w:ind w:right="710"/>
              <w:spacing w:after="0" w:line="194" w:lineRule="exact"/>
              <w:rPr>
                <w:sz w:val="20"/>
                <w:szCs w:val="20"/>
                <w:color w:val="auto"/>
              </w:rPr>
            </w:pPr>
            <w:r>
              <w:rPr>
                <w:rFonts w:ascii="Arial" w:cs="Arial" w:eastAsia="Arial" w:hAnsi="Arial"/>
                <w:sz w:val="18"/>
                <w:szCs w:val="18"/>
                <w:b w:val="1"/>
                <w:bCs w:val="1"/>
                <w:color w:val="auto"/>
              </w:rPr>
              <w:t>Tax</w:t>
            </w:r>
          </w:p>
        </w:tc>
        <w:tc>
          <w:tcPr>
            <w:tcW w:w="1680" w:type="dxa"/>
            <w:vAlign w:val="bottom"/>
            <w:tcBorders>
              <w:top w:val="single" w:sz="8" w:color="auto"/>
            </w:tcBorders>
          </w:tcPr>
          <w:p>
            <w:pPr>
              <w:jc w:val="right"/>
              <w:ind w:right="470"/>
              <w:spacing w:after="0" w:line="194" w:lineRule="exact"/>
              <w:rPr>
                <w:sz w:val="20"/>
                <w:szCs w:val="20"/>
                <w:color w:val="auto"/>
              </w:rPr>
            </w:pPr>
            <w:r>
              <w:rPr>
                <w:rFonts w:ascii="Arial" w:cs="Arial" w:eastAsia="Arial" w:hAnsi="Arial"/>
                <w:sz w:val="18"/>
                <w:szCs w:val="18"/>
                <w:b w:val="1"/>
                <w:bCs w:val="1"/>
                <w:color w:val="auto"/>
              </w:rPr>
              <w:t>After tax</w:t>
            </w:r>
          </w:p>
        </w:tc>
        <w:tc>
          <w:tcPr>
            <w:tcW w:w="1440" w:type="dxa"/>
            <w:vAlign w:val="bottom"/>
            <w:tcBorders>
              <w:top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Amounts</w:t>
            </w: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Effect</w:t>
            </w:r>
          </w:p>
        </w:tc>
        <w:tc>
          <w:tcPr>
            <w:tcW w:w="16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Effect</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40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2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$679</w:t>
            </w:r>
          </w:p>
        </w:tc>
        <w:tc>
          <w:tcPr>
            <w:tcW w:w="16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$270</w:t>
            </w:r>
          </w:p>
        </w:tc>
        <w:tc>
          <w:tcPr>
            <w:tcW w:w="16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$409</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$0.01</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1,418</w:t>
            </w:r>
          </w:p>
        </w:tc>
        <w:tc>
          <w:tcPr>
            <w:tcW w:w="16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563</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855</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2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1,596</w:t>
            </w:r>
          </w:p>
        </w:tc>
        <w:tc>
          <w:tcPr>
            <w:tcW w:w="16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575</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1,021</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44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benefit</w:t>
            </w:r>
          </w:p>
        </w:tc>
        <w:tc>
          <w:tcPr>
            <w:tcW w:w="22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1,033</w:t>
            </w:r>
          </w:p>
        </w:tc>
        <w:tc>
          <w:tcPr>
            <w:tcW w:w="16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1,033</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0.03</w:t>
            </w:r>
          </w:p>
        </w:tc>
      </w:tr>
    </w:tbl>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March 31, 2015</w:t>
            </w:r>
          </w:p>
        </w:tc>
        <w:tc>
          <w:tcPr>
            <w:tcW w:w="1360" w:type="dxa"/>
            <w:vAlign w:val="bottom"/>
            <w:tcBorders>
              <w:top w:val="single" w:sz="8" w:color="auto"/>
            </w:tcBorders>
          </w:tcPr>
          <w:p>
            <w:pPr>
              <w:jc w:val="center"/>
              <w:ind w:right="270"/>
              <w:spacing w:after="0" w:line="194" w:lineRule="exact"/>
              <w:rPr>
                <w:sz w:val="20"/>
                <w:szCs w:val="20"/>
                <w:color w:val="auto"/>
              </w:rPr>
            </w:pPr>
            <w:r>
              <w:rPr>
                <w:rFonts w:ascii="Arial" w:cs="Arial" w:eastAsia="Arial" w:hAnsi="Arial"/>
                <w:sz w:val="18"/>
                <w:szCs w:val="18"/>
                <w:b w:val="1"/>
                <w:bCs w:val="1"/>
                <w:color w:val="auto"/>
                <w:w w:val="99"/>
              </w:rPr>
              <w:t>Pre tax</w:t>
            </w:r>
          </w:p>
        </w:tc>
        <w:tc>
          <w:tcPr>
            <w:tcW w:w="1520" w:type="dxa"/>
            <w:vAlign w:val="bottom"/>
            <w:tcBorders>
              <w:top w:val="single" w:sz="8" w:color="auto"/>
            </w:tcBorders>
          </w:tcPr>
          <w:p>
            <w:pPr>
              <w:jc w:val="center"/>
              <w:ind w:left="130"/>
              <w:spacing w:after="0" w:line="194" w:lineRule="exact"/>
              <w:rPr>
                <w:sz w:val="20"/>
                <w:szCs w:val="20"/>
                <w:color w:val="auto"/>
              </w:rPr>
            </w:pPr>
            <w:r>
              <w:rPr>
                <w:rFonts w:ascii="Arial" w:cs="Arial" w:eastAsia="Arial" w:hAnsi="Arial"/>
                <w:sz w:val="18"/>
                <w:szCs w:val="18"/>
                <w:b w:val="1"/>
                <w:bCs w:val="1"/>
                <w:color w:val="auto"/>
                <w:w w:val="96"/>
              </w:rPr>
              <w:t>Tax</w:t>
            </w:r>
          </w:p>
        </w:tc>
        <w:tc>
          <w:tcPr>
            <w:tcW w:w="1900" w:type="dxa"/>
            <w:vAlign w:val="bottom"/>
            <w:tcBorders>
              <w:top w:val="single" w:sz="8" w:color="auto"/>
            </w:tcBorders>
          </w:tcPr>
          <w:p>
            <w:pPr>
              <w:jc w:val="center"/>
              <w:ind w:left="130"/>
              <w:spacing w:after="0" w:line="194" w:lineRule="exact"/>
              <w:rPr>
                <w:sz w:val="20"/>
                <w:szCs w:val="20"/>
                <w:color w:val="auto"/>
              </w:rPr>
            </w:pPr>
            <w:r>
              <w:rPr>
                <w:rFonts w:ascii="Arial" w:cs="Arial" w:eastAsia="Arial" w:hAnsi="Arial"/>
                <w:sz w:val="18"/>
                <w:szCs w:val="18"/>
                <w:b w:val="1"/>
                <w:bCs w:val="1"/>
                <w:color w:val="auto"/>
                <w:w w:val="98"/>
              </w:rPr>
              <w:t>After tax</w:t>
            </w:r>
          </w:p>
        </w:tc>
        <w:tc>
          <w:tcPr>
            <w:tcW w:w="1520" w:type="dxa"/>
            <w:vAlign w:val="bottom"/>
            <w:tcBorders>
              <w:top w:val="single" w:sz="8" w:color="auto"/>
            </w:tcBorders>
          </w:tcPr>
          <w:p>
            <w:pPr>
              <w:jc w:val="center"/>
              <w:ind w:left="70"/>
              <w:spacing w:after="0" w:line="194" w:lineRule="exact"/>
              <w:rPr>
                <w:sz w:val="20"/>
                <w:szCs w:val="20"/>
                <w:color w:val="auto"/>
              </w:rPr>
            </w:pPr>
            <w:r>
              <w:rPr>
                <w:rFonts w:ascii="Arial" w:cs="Arial" w:eastAsia="Arial" w:hAnsi="Arial"/>
                <w:sz w:val="18"/>
                <w:szCs w:val="18"/>
                <w:b w:val="1"/>
                <w:bCs w:val="1"/>
                <w:color w:val="auto"/>
                <w:w w:val="99"/>
              </w:rPr>
              <w:t>Per Share</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3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Amounts</w:t>
            </w:r>
          </w:p>
        </w:tc>
        <w:tc>
          <w:tcPr>
            <w:tcW w:w="15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Effect</w:t>
            </w:r>
          </w:p>
        </w:tc>
        <w:tc>
          <w:tcPr>
            <w:tcW w:w="19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Effect</w:t>
            </w:r>
          </w:p>
        </w:tc>
        <w:tc>
          <w:tcPr>
            <w:tcW w:w="15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Effect</w:t>
            </w:r>
          </w:p>
        </w:tc>
        <w:tc>
          <w:tcPr>
            <w:tcW w:w="0" w:type="dxa"/>
            <w:vAlign w:val="bottom"/>
          </w:tcPr>
          <w:p>
            <w:pPr>
              <w:spacing w:after="0"/>
              <w:rPr>
                <w:sz w:val="1"/>
                <w:szCs w:val="1"/>
                <w:color w:val="auto"/>
              </w:rPr>
            </w:pP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13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$9,001</w:t>
            </w: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$3,420</w:t>
            </w:r>
          </w:p>
        </w:tc>
        <w:tc>
          <w:tcPr>
            <w:tcW w:w="19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$5,581</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5,371</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2,041</w:t>
            </w:r>
          </w:p>
        </w:tc>
        <w:tc>
          <w:tcPr>
            <w:tcW w:w="19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3,330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872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19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541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w:t>
            </w:r>
          </w:p>
        </w:tc>
        <w:tc>
          <w:tcPr>
            <w:tcW w:w="13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w:t>
            </w:r>
          </w:p>
        </w:tc>
        <w:tc>
          <w:tcPr>
            <w:tcW w:w="19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219</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426"/>
        </w:trPr>
        <w:tc>
          <w:tcPr>
            <w:tcW w:w="11420" w:type="dxa"/>
            <w:vAlign w:val="bottom"/>
            <w:gridSpan w:val="5"/>
          </w:tcPr>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20" w:type="dxa"/>
            <w:vAlign w:val="bottom"/>
            <w:gridSpan w:val="2"/>
          </w:tcPr>
          <w:p>
            <w:pPr>
              <w:jc w:val="right"/>
              <w:ind w:right="630"/>
              <w:spacing w:after="0" w:line="173" w:lineRule="exact"/>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1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2"/>
          </w:tcPr>
          <w:p>
            <w:pPr>
              <w:jc w:val="right"/>
              <w:ind w:right="1470"/>
              <w:spacing w:after="0"/>
              <w:rPr>
                <w:sz w:val="20"/>
                <w:szCs w:val="20"/>
                <w:color w:val="auto"/>
              </w:rPr>
            </w:pPr>
            <w:r>
              <w:rPr>
                <w:rFonts w:ascii="Arial" w:cs="Arial" w:eastAsia="Arial" w:hAnsi="Arial"/>
                <w:sz w:val="18"/>
                <w:szCs w:val="18"/>
                <w:b w:val="1"/>
                <w:bCs w:val="1"/>
                <w:color w:val="auto"/>
              </w:rPr>
              <w:t>2016</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00" w:type="dxa"/>
            <w:vAlign w:val="bottom"/>
          </w:tcPr>
          <w:p>
            <w:pPr>
              <w:jc w:val="right"/>
              <w:ind w:right="990"/>
              <w:spacing w:after="0" w:line="195" w:lineRule="exact"/>
              <w:rPr>
                <w:sz w:val="20"/>
                <w:szCs w:val="20"/>
                <w:color w:val="auto"/>
              </w:rPr>
            </w:pPr>
            <w:r>
              <w:rPr>
                <w:rFonts w:ascii="Arial" w:cs="Arial" w:eastAsia="Arial" w:hAnsi="Arial"/>
                <w:sz w:val="18"/>
                <w:szCs w:val="18"/>
                <w:b w:val="1"/>
                <w:bCs w:val="1"/>
                <w:color w:val="auto"/>
              </w:rPr>
              <w:t>$0.42</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vMerge w:val="restart"/>
          </w:tcPr>
          <w:p>
            <w:pPr>
              <w:jc w:val="right"/>
              <w:ind w:right="990"/>
              <w:spacing w:after="0"/>
              <w:rPr>
                <w:sz w:val="20"/>
                <w:szCs w:val="20"/>
                <w:color w:val="auto"/>
              </w:rPr>
            </w:pPr>
            <w:r>
              <w:rPr>
                <w:rFonts w:ascii="Arial" w:cs="Arial" w:eastAsia="Arial" w:hAnsi="Arial"/>
                <w:sz w:val="18"/>
                <w:szCs w:val="18"/>
                <w:b w:val="1"/>
                <w:bCs w:val="1"/>
                <w:color w:val="auto"/>
              </w:rPr>
              <w:t>0.01</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20" w:type="dxa"/>
            <w:vAlign w:val="bottom"/>
          </w:tcPr>
          <w:p>
            <w:pPr>
              <w:spacing w:after="0" w:line="181" w:lineRule="exact"/>
              <w:rPr>
                <w:sz w:val="20"/>
                <w:szCs w:val="20"/>
                <w:color w:val="auto"/>
              </w:rPr>
            </w:pPr>
            <w:r>
              <w:rPr>
                <w:rFonts w:ascii="Arial" w:cs="Arial" w:eastAsia="Arial" w:hAnsi="Arial"/>
                <w:sz w:val="18"/>
                <w:szCs w:val="18"/>
                <w:color w:val="auto"/>
              </w:rPr>
              <w:t>Restructuring expenses, net</w:t>
            </w: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Discrete tax charges/(benefit)</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(0.03)</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jc w:val="right"/>
              <w:ind w:right="990"/>
              <w:spacing w:after="0" w:line="202" w:lineRule="exact"/>
              <w:rPr>
                <w:sz w:val="20"/>
                <w:szCs w:val="20"/>
                <w:color w:val="auto"/>
              </w:rPr>
            </w:pPr>
            <w:r>
              <w:rPr>
                <w:rFonts w:ascii="Arial" w:cs="Arial" w:eastAsia="Arial" w:hAnsi="Arial"/>
                <w:sz w:val="18"/>
                <w:szCs w:val="18"/>
                <w:b w:val="1"/>
                <w:bCs w:val="1"/>
                <w:color w:val="auto"/>
              </w:rPr>
              <w:t>0.03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jc w:val="right"/>
              <w:ind w:right="990"/>
              <w:spacing w:after="0" w:line="202" w:lineRule="exact"/>
              <w:rPr>
                <w:sz w:val="20"/>
                <w:szCs w:val="20"/>
                <w:color w:val="auto"/>
              </w:rPr>
            </w:pPr>
            <w:r>
              <w:rPr>
                <w:rFonts w:ascii="Arial" w:cs="Arial" w:eastAsia="Arial" w:hAnsi="Arial"/>
                <w:sz w:val="18"/>
                <w:szCs w:val="18"/>
                <w:b w:val="1"/>
                <w:bCs w:val="1"/>
                <w:color w:val="auto"/>
              </w:rPr>
              <w:t>0.03</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investment</w:t>
            </w:r>
          </w:p>
        </w:tc>
        <w:tc>
          <w:tcPr>
            <w:tcW w:w="1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 excluding adjustments</w:t>
            </w:r>
          </w:p>
        </w:tc>
        <w:tc>
          <w:tcPr>
            <w:tcW w:w="1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990"/>
              <w:spacing w:after="0" w:line="196" w:lineRule="exact"/>
              <w:rPr>
                <w:sz w:val="20"/>
                <w:szCs w:val="20"/>
                <w:color w:val="auto"/>
              </w:rPr>
            </w:pPr>
            <w:r>
              <w:rPr>
                <w:rFonts w:ascii="Arial" w:cs="Arial" w:eastAsia="Arial" w:hAnsi="Arial"/>
                <w:sz w:val="18"/>
                <w:szCs w:val="18"/>
                <w:b w:val="1"/>
                <w:bCs w:val="1"/>
                <w:color w:val="auto"/>
              </w:rPr>
              <w:t>$0.46</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412"/>
        </w:trPr>
        <w:tc>
          <w:tcPr>
            <w:tcW w:w="5120" w:type="dxa"/>
            <w:vAlign w:val="bottom"/>
          </w:tcPr>
          <w:p>
            <w:pPr>
              <w:ind w:left="660"/>
              <w:spacing w:after="0"/>
              <w:rPr>
                <w:sz w:val="20"/>
                <w:szCs w:val="20"/>
                <w:color w:val="auto"/>
              </w:rPr>
            </w:pPr>
            <w:r>
              <w:rPr>
                <w:rFonts w:ascii="Arial" w:cs="Arial" w:eastAsia="Arial" w:hAnsi="Arial"/>
                <w:sz w:val="18"/>
                <w:szCs w:val="18"/>
                <w:color w:val="auto"/>
              </w:rPr>
              <w:t>The following table contains the calculation of net debt:</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360" w:type="dxa"/>
            <w:vAlign w:val="bottom"/>
          </w:tcPr>
          <w:p>
            <w:pPr>
              <w:jc w:val="center"/>
              <w:ind w:right="250"/>
              <w:spacing w:after="0" w:line="173" w:lineRule="exact"/>
              <w:rPr>
                <w:sz w:val="20"/>
                <w:szCs w:val="20"/>
                <w:color w:val="auto"/>
              </w:rPr>
            </w:pPr>
            <w:r>
              <w:rPr>
                <w:rFonts w:ascii="Arial" w:cs="Arial" w:eastAsia="Arial" w:hAnsi="Arial"/>
                <w:sz w:val="18"/>
                <w:szCs w:val="18"/>
                <w:b w:val="1"/>
                <w:bCs w:val="1"/>
                <w:color w:val="auto"/>
                <w:w w:val="98"/>
              </w:rPr>
              <w:t>March 31,</w:t>
            </w:r>
          </w:p>
        </w:tc>
        <w:tc>
          <w:tcPr>
            <w:tcW w:w="1520" w:type="dxa"/>
            <w:vAlign w:val="bottom"/>
          </w:tcPr>
          <w:p>
            <w:pPr>
              <w:jc w:val="center"/>
              <w:ind w:left="130"/>
              <w:spacing w:after="0" w:line="173" w:lineRule="exact"/>
              <w:rPr>
                <w:sz w:val="20"/>
                <w:szCs w:val="20"/>
                <w:color w:val="auto"/>
              </w:rPr>
            </w:pPr>
            <w:r>
              <w:rPr>
                <w:rFonts w:ascii="Arial" w:cs="Arial" w:eastAsia="Arial" w:hAnsi="Arial"/>
                <w:sz w:val="18"/>
                <w:szCs w:val="18"/>
                <w:b w:val="1"/>
                <w:bCs w:val="1"/>
                <w:color w:val="auto"/>
              </w:rPr>
              <w:t>December 31,</w:t>
            </w:r>
          </w:p>
        </w:tc>
        <w:tc>
          <w:tcPr>
            <w:tcW w:w="1900" w:type="dxa"/>
            <w:vAlign w:val="bottom"/>
          </w:tcPr>
          <w:p>
            <w:pPr>
              <w:jc w:val="center"/>
              <w:ind w:left="130"/>
              <w:spacing w:after="0" w:line="173" w:lineRule="exact"/>
              <w:rPr>
                <w:sz w:val="20"/>
                <w:szCs w:val="20"/>
                <w:color w:val="auto"/>
              </w:rPr>
            </w:pPr>
            <w:r>
              <w:rPr>
                <w:rFonts w:ascii="Arial" w:cs="Arial" w:eastAsia="Arial" w:hAnsi="Arial"/>
                <w:sz w:val="18"/>
                <w:szCs w:val="18"/>
                <w:b w:val="1"/>
                <w:bCs w:val="1"/>
                <w:color w:val="auto"/>
              </w:rPr>
              <w:t>March 31,</w:t>
            </w:r>
          </w:p>
        </w:tc>
        <w:tc>
          <w:tcPr>
            <w:tcW w:w="1520" w:type="dxa"/>
            <w:vAlign w:val="bottom"/>
          </w:tcPr>
          <w:p>
            <w:pPr>
              <w:jc w:val="center"/>
              <w:ind w:left="90"/>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2016</w:t>
            </w:r>
          </w:p>
        </w:tc>
        <w:tc>
          <w:tcPr>
            <w:tcW w:w="15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2015</w:t>
            </w:r>
          </w:p>
        </w:tc>
        <w:tc>
          <w:tcPr>
            <w:tcW w:w="19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2015</w:t>
            </w:r>
          </w:p>
        </w:tc>
        <w:tc>
          <w:tcPr>
            <w:tcW w:w="1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color w:val="auto"/>
              </w:rPr>
              <w:t>Notes and loans payable</w:t>
            </w:r>
          </w:p>
        </w:tc>
        <w:tc>
          <w:tcPr>
            <w:tcW w:w="13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$590</w:t>
            </w: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$587</w:t>
            </w:r>
          </w:p>
        </w:tc>
        <w:tc>
          <w:tcPr>
            <w:tcW w:w="19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$496</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9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50,015</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50,015</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Long-term debt</w:t>
            </w:r>
          </w:p>
        </w:tc>
        <w:tc>
          <w:tcPr>
            <w:tcW w:w="13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255,076</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265,080</w:t>
            </w:r>
          </w:p>
        </w:tc>
        <w:tc>
          <w:tcPr>
            <w:tcW w:w="19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232,092</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222,096</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13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255,682</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265,683</w:t>
            </w:r>
          </w:p>
        </w:tc>
        <w:tc>
          <w:tcPr>
            <w:tcW w:w="1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282,603</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272,772</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169,615</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185,113</w:t>
            </w:r>
          </w:p>
        </w:tc>
        <w:tc>
          <w:tcPr>
            <w:tcW w:w="1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170,838</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179,802</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13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$86,067</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$80,570</w:t>
            </w:r>
          </w:p>
        </w:tc>
        <w:tc>
          <w:tcPr>
            <w:tcW w:w="1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$111,765</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$92,970</w:t>
            </w:r>
          </w:p>
        </w:tc>
        <w:tc>
          <w:tcPr>
            <w:tcW w:w="0" w:type="dxa"/>
            <w:vAlign w:val="bottom"/>
          </w:tcPr>
          <w:p>
            <w:pPr>
              <w:spacing w:after="0"/>
              <w:rPr>
                <w:sz w:val="1"/>
                <w:szCs w:val="1"/>
                <w:color w:val="auto"/>
              </w:rPr>
            </w:pPr>
          </w:p>
        </w:tc>
      </w:tr>
      <w:tr>
        <w:trPr>
          <w:trHeight w:val="520"/>
        </w:trPr>
        <w:tc>
          <w:tcPr>
            <w:tcW w:w="5120" w:type="dxa"/>
            <w:vAlign w:val="bottom"/>
          </w:tcPr>
          <w:p>
            <w:pPr>
              <w:spacing w:after="0"/>
              <w:rPr>
                <w:sz w:val="24"/>
                <w:szCs w:val="24"/>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40</w:t>
            </w: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 -15(e))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30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04"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670" w:right="339" w:bottom="1440" w:gutter="0" w:footer="0" w:header="0"/>
        </w:sectPr>
      </w:pPr>
    </w:p>
    <w:bookmarkStart w:id="41" w:name="page42"/>
    <w:bookmarkEnd w:id="41"/>
    <w:p>
      <w:pPr>
        <w:ind w:left="46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The information set forth above under Note 16 in Item 1, “Notes to Consolidated Financial Statements” is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There have been no material changes in risks since December 31, 2015. For discussion of risk factors, refer to Item 1A of our Annual Report on Form 10-K for the year ended December 31,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made no share purchases during the first quarter of 2016. We remain authorized by the Board of Directors to purchase up to 2 million shares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20" w:type="dxa"/>
            <w:vAlign w:val="bottom"/>
          </w:tcPr>
          <w:p>
            <w:pPr>
              <w:ind w:left="660"/>
              <w:spacing w:after="0"/>
              <w:rPr>
                <w:sz w:val="20"/>
                <w:szCs w:val="20"/>
                <w:color w:val="auto"/>
              </w:rPr>
            </w:pPr>
            <w:r>
              <w:rPr>
                <w:rFonts w:ascii="Arial" w:cs="Arial" w:eastAsia="Arial" w:hAnsi="Arial"/>
                <w:sz w:val="18"/>
                <w:szCs w:val="18"/>
                <w:color w:val="auto"/>
              </w:rPr>
              <w:t>None.</w:t>
            </w:r>
          </w:p>
        </w:tc>
        <w:tc>
          <w:tcPr>
            <w:tcW w:w="10000" w:type="dxa"/>
            <w:vAlign w:val="bottom"/>
          </w:tcPr>
          <w:p>
            <w:pPr>
              <w:spacing w:after="0"/>
              <w:rPr>
                <w:sz w:val="18"/>
                <w:szCs w:val="18"/>
                <w:color w:val="auto"/>
              </w:rPr>
            </w:pPr>
          </w:p>
        </w:tc>
      </w:tr>
      <w:tr>
        <w:trPr>
          <w:trHeight w:val="419"/>
        </w:trPr>
        <w:tc>
          <w:tcPr>
            <w:tcW w:w="14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0000" w:type="dxa"/>
            <w:vAlign w:val="bottom"/>
          </w:tcPr>
          <w:p>
            <w:pPr>
              <w:spacing w:after="0"/>
              <w:rPr>
                <w:sz w:val="24"/>
                <w:szCs w:val="24"/>
                <w:color w:val="auto"/>
              </w:rPr>
            </w:pPr>
          </w:p>
        </w:tc>
      </w:tr>
      <w:tr>
        <w:trPr>
          <w:trHeight w:val="446"/>
        </w:trPr>
        <w:tc>
          <w:tcPr>
            <w:tcW w:w="1420" w:type="dxa"/>
            <w:vAlign w:val="bottom"/>
          </w:tcPr>
          <w:p>
            <w:pPr>
              <w:spacing w:after="0"/>
              <w:rPr>
                <w:sz w:val="20"/>
                <w:szCs w:val="20"/>
                <w:color w:val="auto"/>
              </w:rPr>
            </w:pPr>
            <w:r>
              <w:rPr>
                <w:rFonts w:ascii="Arial" w:cs="Arial" w:eastAsia="Arial" w:hAnsi="Arial"/>
                <w:sz w:val="18"/>
                <w:szCs w:val="18"/>
                <w:color w:val="auto"/>
              </w:rPr>
              <w:t>Exhibit No.</w:t>
            </w:r>
          </w:p>
        </w:tc>
        <w:tc>
          <w:tcPr>
            <w:tcW w:w="10000" w:type="dxa"/>
            <w:vAlign w:val="bottom"/>
          </w:tcPr>
          <w:p>
            <w:pPr>
              <w:ind w:left="80"/>
              <w:spacing w:after="0"/>
              <w:rPr>
                <w:sz w:val="20"/>
                <w:szCs w:val="20"/>
                <w:color w:val="auto"/>
              </w:rPr>
            </w:pPr>
            <w:r>
              <w:rPr>
                <w:rFonts w:ascii="Arial" w:cs="Arial" w:eastAsia="Arial" w:hAnsi="Arial"/>
                <w:sz w:val="18"/>
                <w:szCs w:val="18"/>
                <w:color w:val="auto"/>
              </w:rPr>
              <w:t>Description</w:t>
            </w:r>
          </w:p>
        </w:tc>
      </w:tr>
      <w:tr>
        <w:trPr>
          <w:trHeight w:val="431"/>
        </w:trPr>
        <w:tc>
          <w:tcPr>
            <w:tcW w:w="142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tcPr>
          <w:p>
            <w:pPr>
              <w:ind w:left="80"/>
              <w:spacing w:after="0"/>
              <w:rPr>
                <w:sz w:val="20"/>
                <w:szCs w:val="20"/>
                <w:color w:val="auto"/>
              </w:rPr>
            </w:pPr>
            <w:r>
              <w:rPr>
                <w:rFonts w:ascii="Arial" w:cs="Arial" w:eastAsia="Arial" w:hAnsi="Arial"/>
                <w:sz w:val="18"/>
                <w:szCs w:val="18"/>
                <w:color w:val="auto"/>
              </w:rPr>
              <w:t>Certification of the Chief Executive Officer pursuant to Rule 13a-14(a)/15d-14(a) of the Exchange</w:t>
            </w:r>
          </w:p>
        </w:tc>
      </w:tr>
      <w:tr>
        <w:trPr>
          <w:trHeight w:val="217"/>
        </w:trPr>
        <w:tc>
          <w:tcPr>
            <w:tcW w:w="142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Act.</w:t>
            </w:r>
          </w:p>
        </w:tc>
      </w:tr>
      <w:tr>
        <w:trPr>
          <w:trHeight w:val="431"/>
        </w:trPr>
        <w:tc>
          <w:tcPr>
            <w:tcW w:w="142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tcPr>
          <w:p>
            <w:pPr>
              <w:ind w:left="80"/>
              <w:spacing w:after="0"/>
              <w:rPr>
                <w:sz w:val="20"/>
                <w:szCs w:val="20"/>
                <w:color w:val="auto"/>
              </w:rPr>
            </w:pPr>
            <w:r>
              <w:rPr>
                <w:rFonts w:ascii="Arial" w:cs="Arial" w:eastAsia="Arial" w:hAnsi="Arial"/>
                <w:sz w:val="18"/>
                <w:szCs w:val="18"/>
                <w:color w:val="auto"/>
              </w:rPr>
              <w:t>Certification of the Chief Financial Officer pursuant to Rule 13a-14(a)/15d-14(a) of the Exchange</w:t>
            </w:r>
          </w:p>
        </w:tc>
      </w:tr>
      <w:tr>
        <w:trPr>
          <w:trHeight w:val="217"/>
        </w:trPr>
        <w:tc>
          <w:tcPr>
            <w:tcW w:w="142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Act.</w:t>
            </w:r>
          </w:p>
        </w:tc>
      </w:tr>
      <w:tr>
        <w:trPr>
          <w:trHeight w:val="431"/>
        </w:trPr>
        <w:tc>
          <w:tcPr>
            <w:tcW w:w="142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tcPr>
          <w:p>
            <w:pPr>
              <w:ind w:left="80"/>
              <w:spacing w:after="0"/>
              <w:rPr>
                <w:sz w:val="20"/>
                <w:szCs w:val="20"/>
                <w:color w:val="auto"/>
              </w:rPr>
            </w:pPr>
            <w:r>
              <w:rPr>
                <w:rFonts w:ascii="Arial" w:cs="Arial" w:eastAsia="Arial" w:hAnsi="Arial"/>
                <w:sz w:val="18"/>
                <w:szCs w:val="18"/>
                <w:color w:val="auto"/>
              </w:rPr>
              <w:t>Certification pursuant to Section 906 of the Sarbanes-Oxley Act of 2002 (Subsections (a) and (b) of</w:t>
            </w:r>
          </w:p>
        </w:tc>
      </w:tr>
      <w:tr>
        <w:trPr>
          <w:trHeight w:val="217"/>
        </w:trPr>
        <w:tc>
          <w:tcPr>
            <w:tcW w:w="142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Section 1350, Chapter 63 of Title 18, United States Code).</w:t>
            </w:r>
          </w:p>
        </w:tc>
      </w:tr>
      <w:tr>
        <w:trPr>
          <w:trHeight w:val="446"/>
        </w:trPr>
        <w:tc>
          <w:tcPr>
            <w:tcW w:w="1420" w:type="dxa"/>
            <w:vAlign w:val="bottom"/>
          </w:tcPr>
          <w:p>
            <w:pPr>
              <w:spacing w:after="0"/>
              <w:rPr>
                <w:sz w:val="20"/>
                <w:szCs w:val="20"/>
                <w:color w:val="auto"/>
              </w:rPr>
            </w:pPr>
            <w:r>
              <w:rPr>
                <w:rFonts w:ascii="Arial" w:cs="Arial" w:eastAsia="Arial" w:hAnsi="Arial"/>
                <w:sz w:val="18"/>
                <w:szCs w:val="18"/>
                <w:color w:val="auto"/>
              </w:rPr>
              <w:t>99.1</w:t>
            </w:r>
          </w:p>
        </w:tc>
        <w:tc>
          <w:tcPr>
            <w:tcW w:w="1000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risks as reported at March 31, 2016.</w:t>
            </w:r>
          </w:p>
        </w:tc>
      </w:tr>
      <w:tr>
        <w:trPr>
          <w:trHeight w:val="594"/>
        </w:trPr>
        <w:tc>
          <w:tcPr>
            <w:tcW w:w="1420" w:type="dxa"/>
            <w:vAlign w:val="bottom"/>
          </w:tcPr>
          <w:p>
            <w:pPr>
              <w:spacing w:after="0"/>
              <w:rPr>
                <w:sz w:val="24"/>
                <w:szCs w:val="24"/>
                <w:color w:val="auto"/>
              </w:rPr>
            </w:pPr>
          </w:p>
        </w:tc>
        <w:tc>
          <w:tcPr>
            <w:tcW w:w="10000" w:type="dxa"/>
            <w:vAlign w:val="bottom"/>
          </w:tcPr>
          <w:p>
            <w:pPr>
              <w:ind w:left="4200"/>
              <w:spacing w:after="0"/>
              <w:rPr>
                <w:sz w:val="20"/>
                <w:szCs w:val="20"/>
                <w:color w:val="auto"/>
              </w:rPr>
            </w:pPr>
            <w:r>
              <w:rPr>
                <w:rFonts w:ascii="Arial" w:cs="Arial" w:eastAsia="Arial" w:hAnsi="Arial"/>
                <w:sz w:val="18"/>
                <w:szCs w:val="18"/>
                <w:color w:val="auto"/>
              </w:rPr>
              <w:t>42</w:t>
            </w:r>
          </w:p>
        </w:tc>
      </w:tr>
      <w:tr>
        <w:trPr>
          <w:trHeight w:val="142"/>
        </w:trPr>
        <w:tc>
          <w:tcPr>
            <w:tcW w:w="1420" w:type="dxa"/>
            <w:vAlign w:val="bottom"/>
            <w:tcBorders>
              <w:bottom w:val="single" w:sz="8" w:color="auto"/>
            </w:tcBorders>
          </w:tcPr>
          <w:p>
            <w:pPr>
              <w:spacing w:after="0"/>
              <w:rPr>
                <w:sz w:val="12"/>
                <w:szCs w:val="12"/>
                <w:color w:val="auto"/>
              </w:rPr>
            </w:pPr>
          </w:p>
        </w:tc>
        <w:tc>
          <w:tcPr>
            <w:tcW w:w="100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70" w:right="239" w:bottom="1440" w:gutter="0" w:footer="0" w:header="0"/>
        </w:sectPr>
      </w:pPr>
    </w:p>
    <w:bookmarkStart w:id="42" w:name="page43"/>
    <w:bookmarkEnd w:id="42"/>
    <w:p>
      <w:pPr>
        <w:ind w:left="1492" w:right="1860" w:hanging="1492"/>
        <w:spacing w:after="0"/>
        <w:tabs>
          <w:tab w:leader="none" w:pos="14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March 31, 2016, formatted in eXtensible Business Reporting Language (XBRL), filed herewith:</w:t>
      </w:r>
    </w:p>
    <w:p>
      <w:pPr>
        <w:spacing w:after="0" w:line="162" w:lineRule="exact"/>
        <w:rPr>
          <w:rFonts w:ascii="Arial" w:cs="Arial" w:eastAsia="Arial" w:hAnsi="Arial"/>
          <w:sz w:val="18"/>
          <w:szCs w:val="18"/>
          <w:color w:val="auto"/>
        </w:rPr>
      </w:pPr>
    </w:p>
    <w:p>
      <w:pPr>
        <w:ind w:left="2032" w:hanging="560"/>
        <w:spacing w:after="0"/>
        <w:tabs>
          <w:tab w:leader="none" w:pos="20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Consolidated Statements of Income for the three months ended March 31, 2016 and 2015.</w:t>
      </w:r>
    </w:p>
    <w:p>
      <w:pPr>
        <w:spacing w:after="0" w:line="319" w:lineRule="exact"/>
        <w:rPr>
          <w:rFonts w:ascii="Arial" w:cs="Arial" w:eastAsia="Arial" w:hAnsi="Arial"/>
          <w:sz w:val="18"/>
          <w:szCs w:val="18"/>
          <w:color w:val="auto"/>
        </w:rPr>
      </w:pPr>
    </w:p>
    <w:p>
      <w:pPr>
        <w:ind w:left="2032" w:hanging="560"/>
        <w:spacing w:after="0"/>
        <w:tabs>
          <w:tab w:leader="none" w:pos="20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Consolidated Statements of Comprehensive Income/(Loss) for the three months ended March 31, 2016 and 2015.</w:t>
      </w:r>
    </w:p>
    <w:p>
      <w:pPr>
        <w:spacing w:after="0" w:line="319" w:lineRule="exact"/>
        <w:rPr>
          <w:rFonts w:ascii="Arial" w:cs="Arial" w:eastAsia="Arial" w:hAnsi="Arial"/>
          <w:sz w:val="18"/>
          <w:szCs w:val="18"/>
          <w:color w:val="auto"/>
        </w:rPr>
      </w:pPr>
    </w:p>
    <w:p>
      <w:pPr>
        <w:ind w:left="2032" w:hanging="560"/>
        <w:spacing w:after="0"/>
        <w:tabs>
          <w:tab w:leader="none" w:pos="20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Consolidated Balance Sheets at March 31, 2016 and December 31, 2015.</w:t>
      </w:r>
    </w:p>
    <w:p>
      <w:pPr>
        <w:spacing w:after="0" w:line="319" w:lineRule="exact"/>
        <w:rPr>
          <w:rFonts w:ascii="Arial" w:cs="Arial" w:eastAsia="Arial" w:hAnsi="Arial"/>
          <w:sz w:val="18"/>
          <w:szCs w:val="18"/>
          <w:color w:val="auto"/>
        </w:rPr>
      </w:pPr>
    </w:p>
    <w:p>
      <w:pPr>
        <w:ind w:left="2032" w:hanging="560"/>
        <w:spacing w:after="0"/>
        <w:tabs>
          <w:tab w:leader="none" w:pos="20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months ended March 31, 2016 and 2015.</w:t>
      </w:r>
    </w:p>
    <w:p>
      <w:pPr>
        <w:spacing w:after="0" w:line="319" w:lineRule="exact"/>
        <w:rPr>
          <w:rFonts w:ascii="Arial" w:cs="Arial" w:eastAsia="Arial" w:hAnsi="Arial"/>
          <w:sz w:val="18"/>
          <w:szCs w:val="18"/>
          <w:color w:val="auto"/>
        </w:rPr>
      </w:pPr>
    </w:p>
    <w:p>
      <w:pPr>
        <w:ind w:left="2032" w:hanging="560"/>
        <w:spacing w:after="0"/>
        <w:tabs>
          <w:tab w:leader="none" w:pos="20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1252"/>
        <w:spacing w:after="0" w:line="24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75"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32"/>
          </w:cols>
          <w:pgMar w:left="248" w:top="490" w:right="419" w:bottom="1440" w:gutter="0" w:footer="0" w:header="0"/>
        </w:sectPr>
      </w:pPr>
    </w:p>
    <w:bookmarkStart w:id="43" w:name="page44"/>
    <w:bookmarkEnd w:id="4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ALBANY INTERNATIONAL CORP.</w:t>
      </w:r>
    </w:p>
    <w:p>
      <w:pPr>
        <w:ind w:left="6480"/>
        <w:spacing w:after="0" w:line="234" w:lineRule="auto"/>
        <w:rPr>
          <w:sz w:val="20"/>
          <w:szCs w:val="20"/>
          <w:color w:val="auto"/>
        </w:rPr>
      </w:pPr>
      <w:r>
        <w:rPr>
          <w:rFonts w:ascii="Arial" w:cs="Arial" w:eastAsia="Arial" w:hAnsi="Arial"/>
          <w:sz w:val="18"/>
          <w:szCs w:val="18"/>
          <w:color w:val="auto"/>
        </w:rPr>
        <w:t>(Registrant)</w:t>
      </w:r>
    </w:p>
    <w:p>
      <w:pPr>
        <w:spacing w:after="0" w:line="235" w:lineRule="auto"/>
        <w:rPr>
          <w:sz w:val="20"/>
          <w:szCs w:val="20"/>
          <w:color w:val="auto"/>
        </w:rPr>
      </w:pPr>
      <w:r>
        <w:rPr>
          <w:rFonts w:ascii="Arial" w:cs="Arial" w:eastAsia="Arial" w:hAnsi="Arial"/>
          <w:sz w:val="18"/>
          <w:szCs w:val="18"/>
          <w:color w:val="auto"/>
        </w:rPr>
        <w:t>Date: May 3, 2016</w:t>
      </w:r>
    </w:p>
    <w:p>
      <w:pPr>
        <w:ind w:left="5720"/>
        <w:spacing w:after="0" w:line="235"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6060"/>
        <w:spacing w:after="0" w:line="235" w:lineRule="auto"/>
        <w:rPr>
          <w:sz w:val="20"/>
          <w:szCs w:val="20"/>
          <w:color w:val="auto"/>
        </w:rPr>
      </w:pPr>
      <w:r>
        <w:rPr>
          <w:rFonts w:ascii="Arial" w:cs="Arial" w:eastAsia="Arial" w:hAnsi="Arial"/>
          <w:sz w:val="18"/>
          <w:szCs w:val="18"/>
          <w:color w:val="auto"/>
        </w:rPr>
        <w:t>John B. Cozzolino</w:t>
      </w:r>
    </w:p>
    <w:p>
      <w:pPr>
        <w:ind w:left="6060"/>
        <w:spacing w:after="0" w:line="235" w:lineRule="auto"/>
        <w:rPr>
          <w:sz w:val="20"/>
          <w:szCs w:val="20"/>
          <w:color w:val="auto"/>
        </w:rPr>
      </w:pPr>
      <w:r>
        <w:rPr>
          <w:rFonts w:ascii="Arial" w:cs="Arial" w:eastAsia="Arial" w:hAnsi="Arial"/>
          <w:sz w:val="18"/>
          <w:szCs w:val="18"/>
          <w:color w:val="auto"/>
        </w:rPr>
        <w:t>Chief Financial Officer and Treasurer</w:t>
      </w:r>
    </w:p>
    <w:p>
      <w:pPr>
        <w:ind w:left="606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684" w:right="65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ind w:right="-39"/>
        <w:spacing w:after="0" w:line="235" w:lineRule="auto"/>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7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280" w:hanging="324"/>
        <w:spacing w:after="0" w:line="23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980" w:right="80" w:hanging="324"/>
        <w:spacing w:after="0" w:line="23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1300" w:right="16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4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300" w:right="22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2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1300" w:right="8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3, 2016</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6060"/>
        <w:spacing w:after="0" w:line="234" w:lineRule="auto"/>
        <w:rPr>
          <w:sz w:val="20"/>
          <w:szCs w:val="20"/>
          <w:color w:val="auto"/>
        </w:rPr>
      </w:pPr>
      <w:r>
        <w:rPr>
          <w:rFonts w:ascii="Arial" w:cs="Arial" w:eastAsia="Arial" w:hAnsi="Arial"/>
          <w:sz w:val="18"/>
          <w:szCs w:val="18"/>
          <w:color w:val="auto"/>
        </w:rPr>
        <w:t>Joseph G. Morone</w:t>
      </w:r>
    </w:p>
    <w:p>
      <w:pPr>
        <w:ind w:left="606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ind w:right="-39"/>
        <w:spacing w:after="0" w:line="235" w:lineRule="auto"/>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280" w:hanging="324"/>
        <w:spacing w:after="0" w:line="23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980" w:right="80" w:hanging="324"/>
        <w:spacing w:after="0" w:line="23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1300" w:right="16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4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300" w:right="22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2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1300" w:right="8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3, 2016</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6060"/>
        <w:spacing w:after="0" w:line="234" w:lineRule="auto"/>
        <w:rPr>
          <w:sz w:val="20"/>
          <w:szCs w:val="20"/>
          <w:color w:val="auto"/>
        </w:rPr>
      </w:pPr>
      <w:r>
        <w:rPr>
          <w:rFonts w:ascii="Arial" w:cs="Arial" w:eastAsia="Arial" w:hAnsi="Arial"/>
          <w:sz w:val="18"/>
          <w:szCs w:val="18"/>
          <w:color w:val="auto"/>
        </w:rPr>
        <w:t>John B. Cozzolino</w:t>
      </w:r>
    </w:p>
    <w:p>
      <w:pPr>
        <w:ind w:left="606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6" w:name="page47"/>
    <w:bookmarkEnd w:id="46"/>
    <w:p>
      <w:pPr>
        <w:jc w:val="center"/>
        <w:ind w:right="-17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PURSUANT TO</w:t>
      </w:r>
    </w:p>
    <w:p>
      <w:pPr>
        <w:jc w:val="center"/>
        <w:ind w:right="-17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7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2016,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202"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May 3, 2016</w:t>
      </w:r>
    </w:p>
    <w:p>
      <w:pPr>
        <w:ind w:left="8000"/>
        <w:spacing w:after="0" w:line="234" w:lineRule="auto"/>
        <w:rPr>
          <w:sz w:val="20"/>
          <w:szCs w:val="20"/>
          <w:color w:val="auto"/>
        </w:rPr>
      </w:pPr>
      <w:r>
        <w:rPr>
          <w:rFonts w:ascii="Arial" w:cs="Arial" w:eastAsia="Arial" w:hAnsi="Arial"/>
          <w:sz w:val="18"/>
          <w:szCs w:val="18"/>
          <w:u w:val="single" w:color="auto"/>
          <w:color w:val="auto"/>
        </w:rPr>
        <w:t>/s/ Joseph G. Morone</w:t>
      </w:r>
    </w:p>
    <w:p>
      <w:pPr>
        <w:ind w:left="8000"/>
        <w:spacing w:after="0" w:line="235" w:lineRule="auto"/>
        <w:rPr>
          <w:sz w:val="20"/>
          <w:szCs w:val="20"/>
          <w:color w:val="auto"/>
        </w:rPr>
      </w:pPr>
      <w:r>
        <w:rPr>
          <w:rFonts w:ascii="Arial" w:cs="Arial" w:eastAsia="Arial" w:hAnsi="Arial"/>
          <w:sz w:val="18"/>
          <w:szCs w:val="18"/>
          <w:color w:val="auto"/>
        </w:rPr>
        <w:t>Joseph G. Morone</w:t>
      </w:r>
    </w:p>
    <w:p>
      <w:pPr>
        <w:ind w:left="80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8000"/>
        <w:spacing w:after="0"/>
        <w:rPr>
          <w:sz w:val="20"/>
          <w:szCs w:val="20"/>
          <w:color w:val="auto"/>
        </w:rPr>
      </w:pPr>
      <w:r>
        <w:rPr>
          <w:rFonts w:ascii="Arial" w:cs="Arial" w:eastAsia="Arial" w:hAnsi="Arial"/>
          <w:sz w:val="18"/>
          <w:szCs w:val="18"/>
          <w:u w:val="single" w:color="auto"/>
          <w:color w:val="auto"/>
        </w:rPr>
        <w:t>/s/ John B. Cozzolino</w:t>
      </w:r>
    </w:p>
    <w:p>
      <w:pPr>
        <w:ind w:left="8000"/>
        <w:spacing w:after="0" w:line="234" w:lineRule="auto"/>
        <w:rPr>
          <w:sz w:val="20"/>
          <w:szCs w:val="20"/>
          <w:color w:val="auto"/>
        </w:rPr>
      </w:pPr>
      <w:r>
        <w:rPr>
          <w:rFonts w:ascii="Arial" w:cs="Arial" w:eastAsia="Arial" w:hAnsi="Arial"/>
          <w:sz w:val="18"/>
          <w:szCs w:val="18"/>
          <w:color w:val="auto"/>
        </w:rPr>
        <w:t>John B. Cozzolino</w:t>
      </w:r>
    </w:p>
    <w:p>
      <w:pPr>
        <w:ind w:left="80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EXHIBIT (99.1)</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RISK SENSITIVITY – AS OF March 31, 2016</w:t>
      </w:r>
    </w:p>
    <w:p>
      <w:pPr>
        <w:ind w:right="32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$507.7 million. The potential loss in fair value resulting from a hypothetical 10% adverse change in quoted foreign currency exchange rates amounts to $ 50.8 million. Furthermore, related to foreign currency transactions, we have exposure to various nonfunctional currency balances totaling $82.0 million. This amount includes, on an absolute basis, exposures to assets and liabilities held in currencies other than our local entity’s functional currency. On a net basis, we had $48.9 million of foreign currency liabilities as of March 31, 2016. As currency rates change, these nonfunctional currency balances are revalued, and the corresponding adjustment is recorded in the income statement. A hypothetical change of 10% in currency rates could result in an adjustment to the income statement of approximately $4.9 million. Actual results may differ.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31, 2016,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109220</wp:posOffset>
            </wp:positionV>
            <wp:extent cx="57975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Short-term debt</w:t>
            </w:r>
          </w:p>
        </w:tc>
        <w:tc>
          <w:tcPr>
            <w:tcW w:w="1280" w:type="dxa"/>
            <w:vAlign w:val="bottom"/>
            <w:tcBorders>
              <w:top w:val="single" w:sz="8" w:color="auto"/>
            </w:tcBorders>
          </w:tcPr>
          <w:p>
            <w:pPr>
              <w:spacing w:after="0"/>
              <w:rPr>
                <w:sz w:val="16"/>
                <w:szCs w:val="16"/>
                <w:color w:val="auto"/>
              </w:rPr>
            </w:pPr>
          </w:p>
        </w:tc>
      </w:tr>
      <w:tr>
        <w:trPr>
          <w:trHeight w:val="181"/>
        </w:trPr>
        <w:tc>
          <w:tcPr>
            <w:tcW w:w="7840" w:type="dxa"/>
            <w:vAlign w:val="bottom"/>
          </w:tcPr>
          <w:p>
            <w:pPr>
              <w:spacing w:after="0" w:line="181" w:lineRule="exact"/>
              <w:rPr>
                <w:sz w:val="20"/>
                <w:szCs w:val="20"/>
                <w:color w:val="auto"/>
              </w:rPr>
            </w:pPr>
            <w:r>
              <w:rPr>
                <w:rFonts w:ascii="Arial" w:cs="Arial" w:eastAsia="Arial" w:hAnsi="Arial"/>
                <w:sz w:val="18"/>
                <w:szCs w:val="18"/>
                <w:color w:val="auto"/>
              </w:rPr>
              <w:t>Notes payable, end of period interest rate of 1.58%</w:t>
            </w:r>
          </w:p>
        </w:tc>
        <w:tc>
          <w:tcPr>
            <w:tcW w:w="1280" w:type="dxa"/>
            <w:vAlign w:val="bottom"/>
          </w:tcPr>
          <w:p>
            <w:pPr>
              <w:jc w:val="right"/>
              <w:spacing w:after="0" w:line="181" w:lineRule="exact"/>
              <w:rPr>
                <w:sz w:val="20"/>
                <w:szCs w:val="20"/>
                <w:color w:val="auto"/>
              </w:rPr>
            </w:pPr>
            <w:r>
              <w:rPr>
                <w:rFonts w:ascii="Arial" w:cs="Arial" w:eastAsia="Arial" w:hAnsi="Arial"/>
                <w:sz w:val="18"/>
                <w:szCs w:val="18"/>
                <w:color w:val="auto"/>
              </w:rPr>
              <w:t>$590</w:t>
            </w:r>
          </w:p>
        </w:tc>
      </w:tr>
      <w:tr>
        <w:trPr>
          <w:trHeight w:val="225"/>
        </w:trPr>
        <w:tc>
          <w:tcPr>
            <w:tcW w:w="78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280" w:type="dxa"/>
            <w:vAlign w:val="bottom"/>
          </w:tcPr>
          <w:p>
            <w:pPr>
              <w:spacing w:after="0"/>
              <w:rPr>
                <w:sz w:val="19"/>
                <w:szCs w:val="19"/>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 of period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95,000</w:t>
            </w:r>
          </w:p>
        </w:tc>
      </w:tr>
      <w:tr>
        <w:trPr>
          <w:trHeight w:val="217"/>
        </w:trPr>
        <w:tc>
          <w:tcPr>
            <w:tcW w:w="7840" w:type="dxa"/>
            <w:vAlign w:val="bottom"/>
          </w:tcPr>
          <w:p>
            <w:pPr>
              <w:spacing w:after="0"/>
              <w:rPr>
                <w:sz w:val="20"/>
                <w:szCs w:val="20"/>
                <w:color w:val="auto"/>
              </w:rPr>
            </w:pPr>
            <w:r>
              <w:rPr>
                <w:rFonts w:ascii="Arial" w:cs="Arial" w:eastAsia="Arial" w:hAnsi="Arial"/>
                <w:sz w:val="18"/>
                <w:szCs w:val="18"/>
                <w:color w:val="auto"/>
              </w:rPr>
              <w:t>interest rate of 1.83% in 2016</w:t>
            </w:r>
          </w:p>
        </w:tc>
        <w:tc>
          <w:tcPr>
            <w:tcW w:w="1280" w:type="dxa"/>
            <w:vAlign w:val="bottom"/>
          </w:tcPr>
          <w:p>
            <w:pPr>
              <w:spacing w:after="0"/>
              <w:rPr>
                <w:sz w:val="18"/>
                <w:szCs w:val="18"/>
                <w:color w:val="auto"/>
              </w:rPr>
            </w:pPr>
          </w:p>
        </w:tc>
      </w:tr>
      <w:tr>
        <w:trPr>
          <w:trHeight w:val="189"/>
        </w:trPr>
        <w:tc>
          <w:tcPr>
            <w:tcW w:w="7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399"/>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$95,590</w:t>
            </w:r>
          </w:p>
        </w:tc>
      </w:tr>
    </w:tbl>
    <w:p>
      <w:pPr>
        <w:spacing w:after="0" w:line="17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$1.0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lvl w:ilvl="1">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decimal"/>
      <w:start w:val="101"/>
    </w:lvl>
    <w:lvl w:ilvl="1">
      <w:lvlJc w:val="left"/>
      <w:lvlText w:val="(%2)"/>
      <w:numFmt w:val="lowerRoman"/>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2019-12-29T12:23:02Z</dcterms:created>
  <dcterms:modified xsi:type="dcterms:W3CDTF">2019-12-29T12:23:02Z</dcterms:modified>
</cp:coreProperties>
</file>