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spacing w:lineRule="auto" w:line="288" w:before="240" w:after="283"/>
        <w:jc w:val="center"/>
        <w:rPr>
          <w:rFonts w:ascii="Arial;sans-serif" w:hAnsi="Arial;sans-serif"/>
          <w:b/>
          <w:color w:val="000000"/>
          <w:sz w:val="36"/>
        </w:rPr>
      </w:pPr>
      <w:r>
        <w:rPr>
          <w:rFonts w:ascii="Arial;sans-serif" w:hAnsi="Arial;sans-serif"/>
          <w:b/>
          <w:color w:val="000000"/>
          <w:sz w:val="36"/>
        </w:rPr>
        <w:t xml:space="preserve">Form 10-Q </w:t>
      </w:r>
    </w:p>
    <w:tbl>
      <w:tblPr>
        <w:tblW w:w="8996" w:type="dxa"/>
        <w:jc w:val="left"/>
        <w:tblInd w:w="0" w:type="dxa"/>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5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31, 2023</w:t>
            </w:r>
          </w:p>
        </w:tc>
      </w:tr>
    </w:tbl>
    <w:p>
      <w:pPr>
        <w:pStyle w:val="TextBody"/>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CellMar>
          <w:top w:w="28" w:type="dxa"/>
          <w:left w:w="28" w:type="dxa"/>
          <w:bottom w:w="28" w:type="dxa"/>
          <w:right w:w="28" w:type="dxa"/>
        </w:tblCellMar>
      </w:tblPr>
      <w:tblGrid>
        <w:gridCol w:w="124"/>
        <w:gridCol w:w="109"/>
        <w:gridCol w:w="109"/>
        <w:gridCol w:w="2529"/>
        <w:gridCol w:w="2529"/>
        <w:gridCol w:w="358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358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spacing w:before="0" w:after="0"/>
        <w:rPr/>
      </w:pPr>
      <w:r>
        <w:rPr/>
      </w:r>
    </w:p>
    <w:p>
      <w:pPr>
        <w:pStyle w:val="TextBody"/>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CellMar>
          <w:top w:w="28" w:type="dxa"/>
          <w:left w:w="28" w:type="dxa"/>
          <w:bottom w:w="28" w:type="dxa"/>
          <w:right w:w="28" w:type="dxa"/>
        </w:tblCellMar>
      </w:tblPr>
      <w:tblGrid>
        <w:gridCol w:w="2109"/>
        <w:gridCol w:w="1853"/>
        <w:gridCol w:w="2622"/>
      </w:tblGrid>
      <w:tr>
        <w:trPr/>
        <w:tc>
          <w:tcPr>
            <w:tcW w:w="2109"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CellMar>
          <w:top w:w="28" w:type="dxa"/>
          <w:left w:w="28" w:type="dxa"/>
          <w:bottom w:w="28" w:type="dxa"/>
          <w:right w:w="28" w:type="dxa"/>
        </w:tblCellMar>
      </w:tblPr>
      <w:tblGrid>
        <w:gridCol w:w="1659"/>
        <w:gridCol w:w="1460"/>
        <w:gridCol w:w="2070"/>
      </w:tblGrid>
      <w:tr>
        <w:trPr/>
        <w:tc>
          <w:tcPr>
            <w:tcW w:w="1659"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216 Airport Drive, Rochester, New Hampshire </w:t>
      </w:r>
    </w:p>
    <w:tbl>
      <w:tblPr>
        <w:tblW w:w="3555" w:type="dxa"/>
        <w:jc w:val="center"/>
        <w:tblInd w:w="0" w:type="dxa"/>
        <w:tblCellMar>
          <w:top w:w="28" w:type="dxa"/>
          <w:left w:w="28" w:type="dxa"/>
          <w:bottom w:w="28" w:type="dxa"/>
          <w:right w:w="28" w:type="dxa"/>
        </w:tblCellMar>
      </w:tblPr>
      <w:tblGrid>
        <w:gridCol w:w="1138"/>
        <w:gridCol w:w="1000"/>
        <w:gridCol w:w="1417"/>
      </w:tblGrid>
      <w:tr>
        <w:trPr/>
        <w:tc>
          <w:tcPr>
            <w:tcW w:w="1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CellMar>
          <w:top w:w="28" w:type="dxa"/>
          <w:left w:w="28" w:type="dxa"/>
          <w:bottom w:w="28" w:type="dxa"/>
          <w:right w:w="28" w:type="dxa"/>
        </w:tblCellMar>
      </w:tblPr>
      <w:tblGrid>
        <w:gridCol w:w="969"/>
        <w:gridCol w:w="852"/>
        <w:gridCol w:w="1209"/>
      </w:tblGrid>
      <w:tr>
        <w:trPr/>
        <w:tc>
          <w:tcPr>
            <w:tcW w:w="96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03867 </w:t>
      </w:r>
    </w:p>
    <w:tbl>
      <w:tblPr>
        <w:tblW w:w="1064" w:type="dxa"/>
        <w:jc w:val="center"/>
        <w:tblInd w:w="0" w:type="dxa"/>
        <w:tblCellMar>
          <w:top w:w="28" w:type="dxa"/>
          <w:left w:w="28" w:type="dxa"/>
          <w:bottom w:w="28" w:type="dxa"/>
          <w:right w:w="28" w:type="dxa"/>
        </w:tblCellMar>
      </w:tblPr>
      <w:tblGrid>
        <w:gridCol w:w="340"/>
        <w:gridCol w:w="299"/>
        <w:gridCol w:w="425"/>
      </w:tblGrid>
      <w:tr>
        <w:trPr/>
        <w:tc>
          <w:tcPr>
            <w:tcW w:w="34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603-330-5850 </w:t>
      </w:r>
    </w:p>
    <w:tbl>
      <w:tblPr>
        <w:tblW w:w="4725" w:type="dxa"/>
        <w:jc w:val="center"/>
        <w:tblInd w:w="0" w:type="dxa"/>
        <w:tblCellMar>
          <w:top w:w="28" w:type="dxa"/>
          <w:left w:w="28" w:type="dxa"/>
          <w:bottom w:w="28" w:type="dxa"/>
          <w:right w:w="28" w:type="dxa"/>
        </w:tblCellMar>
      </w:tblPr>
      <w:tblGrid>
        <w:gridCol w:w="1514"/>
        <w:gridCol w:w="1330"/>
        <w:gridCol w:w="1881"/>
      </w:tblGrid>
      <w:tr>
        <w:trPr/>
        <w:tc>
          <w:tcPr>
            <w:tcW w:w="1514"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B Common Stock, $0.001 par value per share</w:t>
            </w:r>
          </w:p>
        </w:tc>
        <w:tc>
          <w:tcPr>
            <w:tcW w:w="16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bl>
    <w:p>
      <w:pPr>
        <w:pStyle w:val="TextBody"/>
        <w:spacing w:lineRule="auto" w:line="288" w:before="20" w:after="283"/>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20"/>
        </w:rPr>
        <w:t xml:space="preserve">No </w:t>
      </w:r>
      <w:r>
        <w:rPr>
          <w:color w:val="000000"/>
        </w:rPr>
        <w:t>☐</w:t>
      </w:r>
    </w:p>
    <w:p>
      <w:pPr>
        <w:pStyle w:val="TextBody"/>
        <w:spacing w:lineRule="auto" w:line="288" w:before="120" w:after="283"/>
        <w:jc w:val="both"/>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20"/>
        </w:rPr>
        <w:t xml:space="preserve">No </w:t>
      </w:r>
      <w:r>
        <w:rPr>
          <w:color w:val="000000"/>
        </w:rPr>
        <w:t>☐</w:t>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color w:val="000000"/>
              </w:rPr>
            </w:pPr>
            <w:r>
              <w:rPr>
                <w:color w:val="000000"/>
              </w:rPr>
              <w:t>☐</w:t>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color w:val="000000"/>
              </w:rPr>
            </w:pPr>
            <w:r>
              <w:rPr>
                <w:color w:val="000000"/>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color w:val="000000"/>
              </w:rPr>
            </w:pPr>
            <w:r>
              <w:rPr>
                <w:color w:val="000000"/>
              </w:rPr>
              <w:t>☐</w:t>
            </w:r>
          </w:p>
        </w:tc>
      </w:tr>
    </w:tbl>
    <w:p>
      <w:pPr>
        <w:pStyle w:val="TextBody"/>
        <w:spacing w:lineRule="auto" w:line="288" w:before="2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jc w:val="both"/>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 xml:space="preserve">No </w:t>
      </w:r>
      <w:r>
        <w:rPr>
          <w:color w:val="000000"/>
        </w:rPr>
        <w:t>☒</w:t>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registrant had 31.2 million shares of Class A Common Stock and no shares of Class B Common Stock outstanding as of April 15, 2023.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423"/>
        <w:gridCol w:w="371"/>
        <w:gridCol w:w="371"/>
        <w:gridCol w:w="2729"/>
        <w:gridCol w:w="2693"/>
        <w:gridCol w:w="2729"/>
        <w:gridCol w:w="258"/>
        <w:gridCol w:w="258"/>
        <w:gridCol w:w="373"/>
      </w:tblGrid>
      <w:tr>
        <w:trPr/>
        <w:tc>
          <w:tcPr>
            <w:tcW w:w="423"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72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7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1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16" w:type="dxa"/>
            <w:gridSpan w:val="6"/>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0">
              <w:r>
                <w:rPr>
                  <w:rStyle w:val="InternetLink"/>
                  <w:rFonts w:ascii="Arial;sans-serif" w:hAnsi="Arial;sans-serif"/>
                  <w:b/>
                  <w:strike w:val="false"/>
                  <w:dstrike w:val="false"/>
                  <w:color w:val="0000FF"/>
                  <w:sz w:val="18"/>
                  <w:u w:val="none"/>
                  <w:effect w:val="none"/>
                </w:rPr>
                <w:t>Part I Financial information</w:t>
              </w:r>
            </w:hyperlink>
          </w:p>
        </w:tc>
        <w:tc>
          <w:tcPr>
            <w:tcW w:w="889" w:type="dxa"/>
            <w:gridSpan w:val="3"/>
            <w:tcBorders>
              <w:top w:val="single" w:sz="8" w:space="0" w:color="000000"/>
            </w:tcBorders>
            <w:shd w:fill="B2B2B2"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
              <w:r>
                <w:rPr>
                  <w:rStyle w:val="InternetLink"/>
                  <w:rFonts w:ascii="Arial;sans-serif" w:hAnsi="Arial;sans-serif"/>
                  <w:b w:val="false"/>
                  <w:color w:val="0000FF"/>
                  <w:sz w:val="18"/>
                  <w:u w:val="single"/>
                </w:rPr>
                <w:t>Item 1.</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
              <w:r>
                <w:rPr>
                  <w:rStyle w:val="InternetLink"/>
                  <w:rFonts w:ascii="Arial;sans-serif" w:hAnsi="Arial;sans-serif"/>
                  <w:b w:val="false"/>
                  <w:color w:val="0000FF"/>
                  <w:sz w:val="18"/>
                  <w:u w:val="single"/>
                </w:rPr>
                <w:t>Financial Statements</w:t>
              </w:r>
            </w:hyperlink>
          </w:p>
        </w:tc>
        <w:tc>
          <w:tcPr>
            <w:tcW w:w="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6">
              <w:r>
                <w:rPr>
                  <w:rStyle w:val="InternetLink"/>
                  <w:rFonts w:ascii="Arial;sans-serif" w:hAnsi="Arial;sans-serif"/>
                  <w:b w:val="false"/>
                  <w:color w:val="0000FF"/>
                  <w:sz w:val="18"/>
                  <w:u w:val="single"/>
                </w:rPr>
                <w:t xml:space="preserve">Consolidated statements of income – </w:t>
              </w:r>
            </w:hyperlink>
            <w:r>
              <w:rPr>
                <w:rFonts w:ascii="Arial;sans-serif" w:hAnsi="Arial;sans-serif"/>
                <w:b w:val="false"/>
                <w:color w:val="000000"/>
                <w:sz w:val="18"/>
              </w:rPr>
              <w:t>three</w:t>
            </w:r>
            <w:hyperlink w:anchor="i4eb4783588fd414ebe242b2a6dd661c9_16">
              <w:r>
                <w:rPr>
                  <w:rStyle w:val="InternetLink"/>
                  <w:color w:val="0000FF"/>
                  <w:u w:val="single"/>
                </w:rPr>
                <w:t xml:space="preserve"> </w:t>
              </w:r>
            </w:hyperlink>
            <w:hyperlink w:anchor="i4eb4783588fd414ebe242b2a6dd661c9_16">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2023</w:t>
            </w:r>
            <w:hyperlink w:anchor="i4eb4783588fd414ebe242b2a6dd661c9_16">
              <w:r>
                <w:rPr>
                  <w:rStyle w:val="InternetLink"/>
                  <w:color w:val="0000FF"/>
                  <w:u w:val="single"/>
                </w:rPr>
                <w:t xml:space="preserve"> </w:t>
              </w:r>
            </w:hyperlink>
            <w:hyperlink w:anchor="i4eb4783588fd414ebe242b2a6dd661c9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2022</w:t>
            </w:r>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6">
              <w:r>
                <w:rPr>
                  <w:rStyle w:val="InternetLink"/>
                  <w:rFonts w:ascii="Arial;sans-serif" w:hAnsi="Arial;sans-serif"/>
                  <w:b w:val="false"/>
                  <w:color w:val="0000FF"/>
                  <w:sz w:val="18"/>
                  <w:u w:val="single"/>
                </w:rPr>
                <w:t>1</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9">
              <w:r>
                <w:rPr>
                  <w:rStyle w:val="InternetLink"/>
                  <w:rFonts w:ascii="Arial;sans-serif" w:hAnsi="Arial;sans-serif"/>
                  <w:b w:val="false"/>
                  <w:color w:val="0000FF"/>
                  <w:sz w:val="18"/>
                  <w:u w:val="single"/>
                </w:rPr>
                <w:t xml:space="preserve">Consolidated statements of comprehensive income/(loss) – </w:t>
              </w:r>
            </w:hyperlink>
            <w:r>
              <w:rPr>
                <w:rFonts w:ascii="Arial;sans-serif" w:hAnsi="Arial;sans-serif"/>
                <w:b w:val="false"/>
                <w:color w:val="000000"/>
                <w:sz w:val="18"/>
              </w:rPr>
              <w:t>three</w:t>
            </w:r>
            <w:hyperlink w:anchor="i4eb4783588fd414ebe242b2a6dd661c9_19">
              <w:r>
                <w:rPr>
                  <w:rStyle w:val="InternetLink"/>
                  <w:color w:val="0000FF"/>
                  <w:u w:val="single"/>
                </w:rPr>
                <w:t xml:space="preserve"> </w:t>
              </w:r>
            </w:hyperlink>
            <w:hyperlink w:anchor="i4eb4783588fd414ebe242b2a6dd661c9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2023</w:t>
            </w:r>
            <w:hyperlink w:anchor="i4eb4783588fd414ebe242b2a6dd661c9_16">
              <w:r>
                <w:rPr>
                  <w:rStyle w:val="InternetLink"/>
                  <w:color w:val="0000FF"/>
                  <w:u w:val="single"/>
                </w:rPr>
                <w:t xml:space="preserve"> </w:t>
              </w:r>
            </w:hyperlink>
            <w:hyperlink w:anchor="i4eb4783588fd414ebe242b2a6dd661c9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2022</w:t>
            </w:r>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9">
              <w:r>
                <w:rPr>
                  <w:rStyle w:val="InternetLink"/>
                  <w:rFonts w:ascii="Arial;sans-serif" w:hAnsi="Arial;sans-serif"/>
                  <w:b w:val="false"/>
                  <w:color w:val="0000FF"/>
                  <w:sz w:val="18"/>
                  <w:u w:val="single"/>
                </w:rPr>
                <w:t>2</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March 31, 2023</w:t>
            </w:r>
            <w:hyperlink w:anchor="i4eb4783588fd414ebe242b2a6dd661c9_22">
              <w:r>
                <w:rPr>
                  <w:rStyle w:val="InternetLink"/>
                  <w:color w:val="0000FF"/>
                  <w:u w:val="single"/>
                </w:rPr>
                <w:t xml:space="preserve"> </w:t>
              </w:r>
            </w:hyperlink>
            <w:hyperlink w:anchor="i4eb4783588fd414ebe242b2a6dd661c9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2022</w:t>
            </w:r>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22">
              <w:r>
                <w:rPr>
                  <w:rStyle w:val="InternetLink"/>
                  <w:rFonts w:ascii="Arial;sans-serif" w:hAnsi="Arial;sans-serif"/>
                  <w:b w:val="false"/>
                  <w:color w:val="0000FF"/>
                  <w:sz w:val="18"/>
                  <w:u w:val="single"/>
                </w:rPr>
                <w:t>3</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three</w:t>
            </w:r>
            <w:hyperlink w:anchor="i4eb4783588fd414ebe242b2a6dd661c9_25">
              <w:r>
                <w:rPr>
                  <w:rStyle w:val="InternetLink"/>
                  <w:color w:val="0000FF"/>
                  <w:u w:val="single"/>
                </w:rPr>
                <w:t xml:space="preserve"> </w:t>
              </w:r>
            </w:hyperlink>
            <w:hyperlink w:anchor="i4eb4783588fd414ebe242b2a6dd661c9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2023</w:t>
            </w:r>
            <w:hyperlink w:anchor="i4eb4783588fd414ebe242b2a6dd661c9_16">
              <w:r>
                <w:rPr>
                  <w:rStyle w:val="InternetLink"/>
                  <w:color w:val="0000FF"/>
                  <w:u w:val="single"/>
                </w:rPr>
                <w:t xml:space="preserve"> </w:t>
              </w:r>
            </w:hyperlink>
            <w:hyperlink w:anchor="i4eb4783588fd414ebe242b2a6dd661c9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2022</w:t>
            </w:r>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25">
              <w:r>
                <w:rPr>
                  <w:rStyle w:val="InternetLink"/>
                  <w:rFonts w:ascii="Arial;sans-serif" w:hAnsi="Arial;sans-serif"/>
                  <w:b w:val="false"/>
                  <w:color w:val="0000FF"/>
                  <w:sz w:val="18"/>
                  <w:u w:val="single"/>
                </w:rPr>
                <w:t>4</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28">
              <w:r>
                <w:rPr>
                  <w:rStyle w:val="InternetLink"/>
                  <w:rFonts w:ascii="Arial;sans-serif" w:hAnsi="Arial;sans-serif"/>
                  <w:b w:val="false"/>
                  <w:color w:val="0000FF"/>
                  <w:sz w:val="18"/>
                  <w:u w:val="single"/>
                </w:rPr>
                <w:t>Notes to consolidated financial statements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28">
              <w:r>
                <w:rPr>
                  <w:rStyle w:val="InternetLink"/>
                  <w:rFonts w:ascii="Arial;sans-serif" w:hAnsi="Arial;sans-serif"/>
                  <w:b w:val="false"/>
                  <w:color w:val="0000FF"/>
                  <w:sz w:val="18"/>
                  <w:u w:val="single"/>
                </w:rPr>
                <w:t>5</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85">
              <w:r>
                <w:rPr>
                  <w:rStyle w:val="InternetLink"/>
                  <w:rFonts w:ascii="Arial;sans-serif" w:hAnsi="Arial;sans-serif"/>
                  <w:b w:val="false"/>
                  <w:color w:val="0000FF"/>
                  <w:sz w:val="18"/>
                  <w:u w:val="single"/>
                </w:rPr>
                <w:t>Item 2.</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85">
              <w:r>
                <w:rPr>
                  <w:rStyle w:val="InternetLink"/>
                  <w:rFonts w:ascii="Arial;sans-serif" w:hAnsi="Arial;sans-serif"/>
                  <w:b w:val="false"/>
                  <w:color w:val="0000FF"/>
                  <w:sz w:val="18"/>
                  <w:u w:val="single"/>
                </w:rPr>
                <w:t>Management’s Discussion and Analysis of Financial Condition and Results of Operations</w:t>
              </w:r>
            </w:hyperlink>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85">
              <w:r>
                <w:rPr>
                  <w:rStyle w:val="InternetLink"/>
                  <w:rFonts w:ascii="Arial;sans-serif" w:hAnsi="Arial;sans-serif"/>
                  <w:b w:val="false"/>
                  <w:color w:val="0000FF"/>
                  <w:sz w:val="18"/>
                  <w:u w:val="single"/>
                </w:rPr>
                <w:t>18</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88">
              <w:r>
                <w:rPr>
                  <w:rStyle w:val="InternetLink"/>
                  <w:rFonts w:ascii="Arial;sans-serif" w:hAnsi="Arial;sans-serif"/>
                  <w:b w:val="false"/>
                  <w:color w:val="0000FF"/>
                  <w:sz w:val="18"/>
                  <w:u w:val="single"/>
                </w:rPr>
                <w:t>Forward-looking statements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88">
              <w:r>
                <w:rPr>
                  <w:rStyle w:val="InternetLink"/>
                  <w:rFonts w:ascii="Arial;sans-serif" w:hAnsi="Arial;sans-serif"/>
                  <w:b w:val="false"/>
                  <w:color w:val="0000FF"/>
                  <w:sz w:val="18"/>
                  <w:u w:val="single"/>
                </w:rPr>
                <w:t>18</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06">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06">
              <w:r>
                <w:rPr>
                  <w:rStyle w:val="InternetLink"/>
                  <w:rFonts w:ascii="Arial;sans-serif" w:hAnsi="Arial;sans-serif"/>
                  <w:b w:val="false"/>
                  <w:color w:val="0000FF"/>
                  <w:sz w:val="18"/>
                  <w:u w:val="single"/>
                </w:rPr>
                <w:t>Quantitative and Qualitative Disclosures about Market Risk</w:t>
              </w:r>
            </w:hyperlink>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06">
              <w:r>
                <w:rPr>
                  <w:rStyle w:val="InternetLink"/>
                  <w:rFonts w:ascii="Arial;sans-serif" w:hAnsi="Arial;sans-serif"/>
                  <w:b w:val="false"/>
                  <w:color w:val="0000FF"/>
                  <w:sz w:val="18"/>
                  <w:u w:val="single"/>
                </w:rPr>
                <w:t>29</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09">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09">
              <w:r>
                <w:rPr>
                  <w:rStyle w:val="InternetLink"/>
                  <w:rFonts w:ascii="Arial;sans-serif" w:hAnsi="Arial;sans-serif"/>
                  <w:b w:val="false"/>
                  <w:color w:val="0000FF"/>
                  <w:sz w:val="18"/>
                  <w:u w:val="single"/>
                </w:rPr>
                <w:t>Controls and Procedures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09">
              <w:r>
                <w:rPr>
                  <w:rStyle w:val="InternetLink"/>
                  <w:rFonts w:ascii="Arial;sans-serif" w:hAnsi="Arial;sans-serif"/>
                  <w:b w:val="false"/>
                  <w:color w:val="0000FF"/>
                  <w:sz w:val="18"/>
                  <w:u w:val="single"/>
                </w:rPr>
                <w:t>29</w:t>
              </w:r>
            </w:hyperlink>
          </w:p>
        </w:tc>
      </w:tr>
      <w:tr>
        <w:trPr/>
        <w:tc>
          <w:tcPr>
            <w:tcW w:w="931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12">
              <w:r>
                <w:rPr>
                  <w:rStyle w:val="InternetLink"/>
                  <w:rFonts w:ascii="Arial;sans-serif" w:hAnsi="Arial;sans-serif"/>
                  <w:b/>
                  <w:strike w:val="false"/>
                  <w:dstrike w:val="false"/>
                  <w:color w:val="0000FF"/>
                  <w:sz w:val="18"/>
                  <w:u w:val="none"/>
                  <w:effect w:val="none"/>
                </w:rPr>
                <w:t>Part II Other Information</w:t>
              </w:r>
            </w:hyperlink>
          </w:p>
        </w:tc>
        <w:tc>
          <w:tcPr>
            <w:tcW w:w="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15">
              <w:r>
                <w:rPr>
                  <w:rStyle w:val="InternetLink"/>
                  <w:rFonts w:ascii="Arial;sans-serif" w:hAnsi="Arial;sans-serif"/>
                  <w:b w:val="false"/>
                  <w:color w:val="0000FF"/>
                  <w:sz w:val="18"/>
                  <w:u w:val="single"/>
                </w:rPr>
                <w:t>Item 1.</w:t>
              </w:r>
            </w:hyperlink>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15">
              <w:r>
                <w:rPr>
                  <w:rStyle w:val="InternetLink"/>
                  <w:rFonts w:ascii="Arial;sans-serif" w:hAnsi="Arial;sans-serif"/>
                  <w:b w:val="false"/>
                  <w:color w:val="0000FF"/>
                  <w:sz w:val="18"/>
                  <w:u w:val="single"/>
                </w:rPr>
                <w:t>Legal Proceedings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15">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18">
              <w:r>
                <w:rPr>
                  <w:rStyle w:val="InternetLink"/>
                  <w:rFonts w:ascii="Arial;sans-serif" w:hAnsi="Arial;sans-serif"/>
                  <w:b w:val="false"/>
                  <w:color w:val="0000FF"/>
                  <w:sz w:val="18"/>
                  <w:u w:val="single"/>
                </w:rPr>
                <w:t>Item 1A.</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18">
              <w:r>
                <w:rPr>
                  <w:rStyle w:val="InternetLink"/>
                  <w:rFonts w:ascii="Arial;sans-serif" w:hAnsi="Arial;sans-serif"/>
                  <w:b w:val="false"/>
                  <w:color w:val="0000FF"/>
                  <w:sz w:val="18"/>
                  <w:u w:val="single"/>
                </w:rPr>
                <w:t>Risk Factors</w:t>
              </w:r>
            </w:hyperlink>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18">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1">
              <w:r>
                <w:rPr>
                  <w:rStyle w:val="InternetLink"/>
                  <w:rFonts w:ascii="Arial;sans-serif" w:hAnsi="Arial;sans-serif"/>
                  <w:b w:val="false"/>
                  <w:color w:val="0000FF"/>
                  <w:sz w:val="18"/>
                  <w:u w:val="single"/>
                </w:rPr>
                <w:t>Item 2.</w:t>
              </w:r>
            </w:hyperlink>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1">
              <w:r>
                <w:rPr>
                  <w:rStyle w:val="InternetLink"/>
                  <w:rFonts w:ascii="Arial;sans-serif" w:hAnsi="Arial;sans-serif"/>
                  <w:b w:val="false"/>
                  <w:color w:val="0000FF"/>
                  <w:sz w:val="18"/>
                  <w:u w:val="single"/>
                </w:rPr>
                <w:t>Unregistered Sales of Equity Securities and Use of Proceeds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21">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4">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4">
              <w:r>
                <w:rPr>
                  <w:rStyle w:val="InternetLink"/>
                  <w:rFonts w:ascii="Arial;sans-serif" w:hAnsi="Arial;sans-serif"/>
                  <w:b w:val="false"/>
                  <w:color w:val="0000FF"/>
                  <w:sz w:val="18"/>
                  <w:u w:val="single"/>
                </w:rPr>
                <w:t>Defaults upon Senior Securities</w:t>
              </w:r>
            </w:hyperlink>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24">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7">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27">
              <w:r>
                <w:rPr>
                  <w:rStyle w:val="InternetLink"/>
                  <w:rFonts w:ascii="Arial;sans-serif" w:hAnsi="Arial;sans-serif"/>
                  <w:b w:val="false"/>
                  <w:color w:val="0000FF"/>
                  <w:sz w:val="18"/>
                  <w:u w:val="single"/>
                </w:rPr>
                <w:t>Mine Safety Disclosures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27">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0">
              <w:r>
                <w:rPr>
                  <w:rStyle w:val="InternetLink"/>
                  <w:rFonts w:ascii="Arial;sans-serif" w:hAnsi="Arial;sans-serif"/>
                  <w:b w:val="false"/>
                  <w:color w:val="0000FF"/>
                  <w:sz w:val="18"/>
                  <w:u w:val="single"/>
                </w:rPr>
                <w:t>Item 5.</w:t>
              </w:r>
            </w:hyperlink>
          </w:p>
        </w:tc>
        <w:tc>
          <w:tcPr>
            <w:tcW w:w="81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0">
              <w:r>
                <w:rPr>
                  <w:rStyle w:val="InternetLink"/>
                  <w:rFonts w:ascii="Arial;sans-serif" w:hAnsi="Arial;sans-serif"/>
                  <w:b w:val="false"/>
                  <w:color w:val="0000FF"/>
                  <w:sz w:val="18"/>
                  <w:u w:val="single"/>
                </w:rPr>
                <w:t>Other Information</w:t>
              </w:r>
            </w:hyperlink>
          </w:p>
        </w:tc>
        <w:tc>
          <w:tcPr>
            <w:tcW w:w="889"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30">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3">
              <w:r>
                <w:rPr>
                  <w:rStyle w:val="InternetLink"/>
                  <w:rFonts w:ascii="Arial;sans-serif" w:hAnsi="Arial;sans-serif"/>
                  <w:b w:val="false"/>
                  <w:color w:val="0000FF"/>
                  <w:sz w:val="18"/>
                  <w:u w:val="single"/>
                </w:rPr>
                <w:t>Item 6.</w:t>
              </w:r>
            </w:hyperlink>
          </w:p>
        </w:tc>
        <w:tc>
          <w:tcPr>
            <w:tcW w:w="8151" w:type="dxa"/>
            <w:gridSpan w:val="3"/>
            <w:tcBorders/>
            <w:shd w:fill="B2B2B2" w:val="clear"/>
            <w:tcMar>
              <w:top w:w="0" w:type="dxa"/>
              <w:left w:w="0" w:type="dxa"/>
              <w:bottom w:w="0" w:type="dxa"/>
              <w:right w:w="0" w:type="dxa"/>
            </w:tcMar>
            <w:vAlign w:val="center"/>
          </w:tcPr>
          <w:p>
            <w:pPr>
              <w:pStyle w:val="TableContents"/>
              <w:spacing w:lineRule="auto" w:line="288" w:before="0" w:after="0"/>
              <w:jc w:val="left"/>
              <w:rPr/>
            </w:pPr>
            <w:hyperlink w:anchor="i4eb4783588fd414ebe242b2a6dd661c9_133">
              <w:r>
                <w:rPr>
                  <w:rStyle w:val="InternetLink"/>
                  <w:rFonts w:ascii="Arial;sans-serif" w:hAnsi="Arial;sans-serif"/>
                  <w:b w:val="false"/>
                  <w:color w:val="0000FF"/>
                  <w:sz w:val="18"/>
                  <w:u w:val="single"/>
                </w:rPr>
                <w:t>Exhibits</w:t>
              </w:r>
            </w:hyperlink>
          </w:p>
        </w:tc>
        <w:tc>
          <w:tcPr>
            <w:tcW w:w="889" w:type="dxa"/>
            <w:gridSpan w:val="3"/>
            <w:tcBorders/>
            <w:shd w:fill="B2B2B2" w:val="clear"/>
            <w:tcMar>
              <w:top w:w="0" w:type="dxa"/>
              <w:left w:w="0" w:type="dxa"/>
              <w:bottom w:w="0" w:type="dxa"/>
              <w:right w:w="0" w:type="dxa"/>
            </w:tcMar>
            <w:vAlign w:val="center"/>
          </w:tcPr>
          <w:p>
            <w:pPr>
              <w:pStyle w:val="TableContents"/>
              <w:spacing w:lineRule="auto" w:line="288" w:before="0" w:after="0"/>
              <w:jc w:val="right"/>
              <w:rPr/>
            </w:pPr>
            <w:hyperlink w:anchor="i4eb4783588fd414ebe242b2a6dd661c9_133">
              <w:r>
                <w:rPr>
                  <w:rStyle w:val="InternetLink"/>
                  <w:rFonts w:ascii="Arial;sans-serif" w:hAnsi="Arial;sans-serif"/>
                  <w:b w:val="false"/>
                  <w:color w:val="0000FF"/>
                  <w:sz w:val="18"/>
                  <w:u w:val="single"/>
                </w:rPr>
                <w:t>31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634" w:type="dxa"/>
        <w:jc w:val="left"/>
        <w:tblInd w:w="0" w:type="dxa"/>
        <w:tblCellMar>
          <w:top w:w="28" w:type="dxa"/>
          <w:left w:w="28" w:type="dxa"/>
          <w:bottom w:w="28" w:type="dxa"/>
          <w:right w:w="28" w:type="dxa"/>
        </w:tblCellMar>
      </w:tblPr>
      <w:tblGrid>
        <w:gridCol w:w="2001"/>
        <w:gridCol w:w="1763"/>
        <w:gridCol w:w="1770"/>
        <w:gridCol w:w="211"/>
        <w:gridCol w:w="826"/>
        <w:gridCol w:w="109"/>
        <w:gridCol w:w="109"/>
        <w:gridCol w:w="109"/>
        <w:gridCol w:w="109"/>
        <w:gridCol w:w="211"/>
        <w:gridCol w:w="826"/>
        <w:gridCol w:w="109"/>
        <w:gridCol w:w="109"/>
        <w:gridCol w:w="109"/>
        <w:gridCol w:w="109"/>
        <w:gridCol w:w="154"/>
      </w:tblGrid>
      <w:tr>
        <w:trPr/>
        <w:tc>
          <w:tcPr>
            <w:tcW w:w="2001"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share, Class A and Class B</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INCOME/(LOSS)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324" w:type="dxa"/>
        <w:jc w:val="left"/>
        <w:tblInd w:w="0" w:type="dxa"/>
        <w:tblCellMar>
          <w:top w:w="28" w:type="dxa"/>
          <w:left w:w="28" w:type="dxa"/>
          <w:bottom w:w="28" w:type="dxa"/>
          <w:right w:w="28" w:type="dxa"/>
        </w:tblCellMar>
      </w:tblPr>
      <w:tblGrid>
        <w:gridCol w:w="2325"/>
        <w:gridCol w:w="2041"/>
        <w:gridCol w:w="2068"/>
        <w:gridCol w:w="211"/>
        <w:gridCol w:w="721"/>
        <w:gridCol w:w="109"/>
        <w:gridCol w:w="109"/>
        <w:gridCol w:w="109"/>
        <w:gridCol w:w="109"/>
        <w:gridCol w:w="211"/>
        <w:gridCol w:w="721"/>
        <w:gridCol w:w="109"/>
        <w:gridCol w:w="109"/>
        <w:gridCol w:w="109"/>
        <w:gridCol w:w="109"/>
        <w:gridCol w:w="154"/>
      </w:tblGrid>
      <w:tr>
        <w:trPr/>
        <w:tc>
          <w:tcPr>
            <w:tcW w:w="2325"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tax:</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 adjustments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income/(loss):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CellMar>
          <w:top w:w="28" w:type="dxa"/>
          <w:left w:w="28" w:type="dxa"/>
          <w:bottom w:w="28" w:type="dxa"/>
          <w:right w:w="28" w:type="dxa"/>
        </w:tblCellMar>
      </w:tblPr>
      <w:tblGrid>
        <w:gridCol w:w="2910"/>
        <w:gridCol w:w="2244"/>
        <w:gridCol w:w="2035"/>
        <w:gridCol w:w="204"/>
        <w:gridCol w:w="908"/>
        <w:gridCol w:w="113"/>
        <w:gridCol w:w="109"/>
        <w:gridCol w:w="109"/>
        <w:gridCol w:w="109"/>
        <w:gridCol w:w="234"/>
        <w:gridCol w:w="1042"/>
        <w:gridCol w:w="188"/>
      </w:tblGrid>
      <w:tr>
        <w:trPr/>
        <w:tc>
          <w:tcPr>
            <w:tcW w:w="2910"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304,258 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291,776 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216,035 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200,018 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153,817 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148,695 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153,777 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139,050 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8,711 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7,938 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52,857 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20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889,455 </w:t>
            </w:r>
          </w:p>
        </w:tc>
        <w:tc>
          <w:tcPr>
            <w:tcW w:w="1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838,439 </w:t>
            </w:r>
          </w:p>
        </w:tc>
        <w:tc>
          <w:tcPr>
            <w:tcW w:w="1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450,254 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445,658 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179,255 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178,217 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 net</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27,322 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27,913 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100,755 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103,021 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1,695,758 </w:t>
            </w:r>
          </w:p>
        </w:tc>
        <w:tc>
          <w:tcPr>
            <w:tcW w:w="1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1,642,255 </w:t>
            </w:r>
          </w:p>
        </w:tc>
        <w:tc>
          <w:tcPr>
            <w:tcW w:w="1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SHAREHOLDERS' EQUITY</w:t>
            </w:r>
          </w:p>
        </w:tc>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76,241 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69,707 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103,986 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126,385 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15,224 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108,371 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108,758 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 and other liabilities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798,243 </w:t>
            </w:r>
          </w:p>
        </w:tc>
        <w:tc>
          <w:tcPr>
            <w:tcW w:w="1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774,712 </w:t>
            </w:r>
          </w:p>
        </w:tc>
        <w:tc>
          <w:tcPr>
            <w:tcW w:w="1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$.001 per share; authorized 100,000,000 shares; 40,842,023 issued in 2023 and 40,785,434 in 2022</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par value $.001 per share; authorized 25,000,000 shares; none issued and outstanding in 2023 and 2022</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441,917 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441,540 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950,415 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931,318 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(146,851)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(16,699)</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(15,783)</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9,674,542 shares in 2023 and 9,674,542 in 2022</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(364,923)</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(364,923)</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Company shareholders' equity</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892,586 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863,049 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4,494 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867,543 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0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1,695,758 </w:t>
            </w:r>
          </w:p>
        </w:tc>
        <w:tc>
          <w:tcPr>
            <w:tcW w:w="1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1,642,255 </w:t>
            </w:r>
          </w:p>
        </w:tc>
        <w:tc>
          <w:tcPr>
            <w:tcW w:w="1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355" w:type="dxa"/>
        <w:jc w:val="left"/>
        <w:tblInd w:w="0" w:type="dxa"/>
        <w:tblCellMar>
          <w:top w:w="28" w:type="dxa"/>
          <w:left w:w="28" w:type="dxa"/>
          <w:bottom w:w="28" w:type="dxa"/>
          <w:right w:w="28" w:type="dxa"/>
        </w:tblCellMar>
      </w:tblPr>
      <w:tblGrid>
        <w:gridCol w:w="2342"/>
        <w:gridCol w:w="2060"/>
        <w:gridCol w:w="2063"/>
        <w:gridCol w:w="196"/>
        <w:gridCol w:w="736"/>
        <w:gridCol w:w="109"/>
        <w:gridCol w:w="109"/>
        <w:gridCol w:w="109"/>
        <w:gridCol w:w="109"/>
        <w:gridCol w:w="196"/>
        <w:gridCol w:w="736"/>
        <w:gridCol w:w="109"/>
        <w:gridCol w:w="109"/>
        <w:gridCol w:w="109"/>
        <w:gridCol w:w="109"/>
        <w:gridCol w:w="154"/>
      </w:tblGrid>
      <w:tr>
        <w:trPr/>
        <w:tc>
          <w:tcPr>
            <w:tcW w:w="2342"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used in operating activities: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property, plant, equipment, and inventory</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Provision/(recovery) for credit losses from uncollected receivables and contract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(gain)/loss on intercompany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foreign currency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options exercised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 Significant Accounting Policies</w:t>
      </w:r>
    </w:p>
    <w:p>
      <w:pPr>
        <w:pStyle w:val="TextBody"/>
        <w:spacing w:lineRule="auto" w:line="288" w:before="120" w:after="283"/>
        <w:ind w:left="0" w:right="0" w:firstLine="360"/>
        <w:rPr>
          <w:rFonts w:ascii="Arial;sans-serif" w:hAnsi="Arial;sans-serif"/>
          <w:b/>
          <w:i/>
          <w:color w:val="000000"/>
          <w:sz w:val="20"/>
        </w:rPr>
      </w:pPr>
      <w:r>
        <w:rPr>
          <w:rFonts w:ascii="Arial;sans-serif" w:hAnsi="Arial;sans-serif"/>
          <w:b/>
          <w:i/>
          <w:color w:val="000000"/>
          <w:sz w:val="20"/>
        </w:rPr>
        <w:t>Basis of Presentation</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financial statements in accordance with U.S. generally accepted accounting principles (“GAAP”) requires management to make estimates and assumptions that affect the amounts reported in the Company's Consolidated Financial Statements and accompanying Notes. Actual results could differ materially from those estimates.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included in this Quarterly Report on Form 10-Q should be read in conjunction with Albany International Corp.’s Annual Report on Form 10-K for the year ended December 31, 2022.</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2. Reportable Segments and Revenue Recognition</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pStyle w:val="TextBody"/>
        <w:spacing w:lineRule="auto" w:line="288" w:before="120" w:after="283"/>
        <w:jc w:val="both"/>
        <w:rPr>
          <w:rFonts w:ascii="Arial;sans-serif" w:hAnsi="Arial;sans-serif"/>
          <w:b/>
          <w:color w:val="000000"/>
          <w:sz w:val="20"/>
        </w:rPr>
      </w:pPr>
      <w:r>
        <w:rPr>
          <w:rFonts w:ascii="Arial;sans-serif" w:hAnsi="Arial;sans-serif"/>
          <w:b/>
          <w:color w:val="000000"/>
          <w:sz w:val="20"/>
        </w:rPr>
        <w:t>Machine Clothing:</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pStyle w:val="TextBody"/>
        <w:spacing w:lineRule="auto" w:line="288" w:before="120" w:after="283"/>
        <w:jc w:val="both"/>
        <w:rPr>
          <w:rFonts w:ascii="Arial;sans-serif" w:hAnsi="Arial;sans-serif"/>
          <w:b/>
          <w:color w:val="000000"/>
          <w:sz w:val="20"/>
        </w:rPr>
      </w:pPr>
      <w:r>
        <w:rPr>
          <w:rFonts w:ascii="Arial;sans-serif" w:hAnsi="Arial;sans-serif"/>
          <w:b/>
          <w:color w:val="000000"/>
          <w:sz w:val="20"/>
        </w:rPr>
        <w:t>Albany Engineered Composites: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Albany Engineered Composites (“AEC”)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of the LEAP program of advanced composite fan blades and fan cases under a long-term supply contract, where revenue is determined by a cost-plus-fee agreement. The LEAP engine is used on the Airbus A320neo, Boeing 737 MAX, and COMAC 919 aircraft . AEC's largest aerospace customer is the SAFRAN Group and sales to SAFRAN (consisting primarily of fan blades and cases for CFM's LEAP engine) accounted for approximately 16 percent of the Company's consolidated Net sales in 2022. AEC net sales to SAFRAN were $45.3 million and $40.4 million in the first three months of 2023 and 2022, respectively. The total of Accounts receivable, Contract assets and Noncurrent receivables due from SAFRAN amounted to $80.2 million and $80.8 million as of March 31, 2023 and December 31, 2022, respectively.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significant programs by AEC include the Sikorsky CH-53K, F-35, JASSM, and Boeing 787 programs. AEC also supplies vacuum waste tanks for the Boeing 7-Series programs, and specialty components for the Rolls Royce lift fan on the F-35, as well as the fan case for the GE9X engine. In 2022, approximately 46 percent of AEC sales were related to U.S. government contracts or programs.</w:t>
      </w:r>
    </w:p>
    <w:p>
      <w:pPr>
        <w:pStyle w:val="TextBody"/>
        <w:spacing w:before="1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show data by reportable segment, reconciled to consolidated totals included in the financial statements:</w:t>
      </w:r>
    </w:p>
    <w:tbl>
      <w:tblPr>
        <w:tblW w:w="5525" w:type="dxa"/>
        <w:jc w:val="left"/>
        <w:tblInd w:w="0" w:type="dxa"/>
        <w:tblCellMar>
          <w:top w:w="28" w:type="dxa"/>
          <w:left w:w="28" w:type="dxa"/>
          <w:bottom w:w="28" w:type="dxa"/>
          <w:right w:w="28" w:type="dxa"/>
        </w:tblCellMar>
      </w:tblPr>
      <w:tblGrid>
        <w:gridCol w:w="982"/>
        <w:gridCol w:w="865"/>
        <w:gridCol w:w="867"/>
        <w:gridCol w:w="233"/>
        <w:gridCol w:w="929"/>
        <w:gridCol w:w="120"/>
        <w:gridCol w:w="233"/>
        <w:gridCol w:w="913"/>
        <w:gridCol w:w="120"/>
        <w:gridCol w:w="109"/>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115,874</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Consolidated total</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269,096</w:t>
            </w:r>
            <w:r>
              <w:rPr>
                <w:color w:val="000000"/>
              </w:rPr>
              <w:t>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244,169 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48,964</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49,644 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9,418</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(17,840)</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(12,085)</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40,542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(1,102)</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4,392</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4,261 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(455)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3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37,707</w:t>
            </w:r>
            <w:r>
              <w:rPr>
                <w:color w:val="000000"/>
              </w:rPr>
              <w:t> </w:t>
            </w:r>
          </w:p>
        </w:tc>
        <w:tc>
          <w:tcPr>
            <w:tcW w:w="12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39,073 </w:t>
            </w:r>
          </w:p>
        </w:tc>
        <w:tc>
          <w:tcPr>
            <w:tcW w:w="12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ind w:left="0" w:right="0" w:firstLine="360"/>
        <w:rPr/>
      </w:pPr>
      <w:r>
        <w:rPr/>
      </w:r>
    </w:p>
    <w:p>
      <w:pPr>
        <w:pStyle w:val="TextBody"/>
        <w:spacing w:lineRule="auto" w:line="288" w:before="120" w:after="283"/>
        <w:ind w:left="0" w:right="0" w:firstLine="360"/>
        <w:jc w:val="both"/>
        <w:rPr>
          <w:rFonts w:ascii="Arial;sans-serif" w:hAnsi="Arial;sans-serif"/>
          <w:b/>
          <w:color w:val="000000"/>
          <w:sz w:val="20"/>
        </w:rPr>
      </w:pPr>
      <w:r>
        <w:rPr>
          <w:rFonts w:ascii="Arial;sans-serif" w:hAnsi="Arial;sans-serif"/>
          <w:b/>
          <w:color w:val="000000"/>
          <w:sz w:val="20"/>
        </w:rPr>
        <w:t>Revenue Recognition:</w:t>
      </w:r>
    </w:p>
    <w:p>
      <w:pPr>
        <w:pStyle w:val="TextBody"/>
        <w:spacing w:lineRule="auto" w:line="288" w:before="120" w:after="283"/>
        <w:ind w:left="0" w:right="0" w:firstLine="360"/>
        <w:jc w:val="both"/>
        <w:rPr/>
      </w:pPr>
      <w:r>
        <w:rPr>
          <w:rFonts w:ascii="Arial;sans-serif" w:hAnsi="Arial;sans-serif"/>
          <w:b w:val="false"/>
          <w:color w:val="000000"/>
          <w:sz w:val="20"/>
        </w:rPr>
        <w:t>Products and services provided under long-term contracts represent a significant portion of sales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w:t>
      </w:r>
      <w:r>
        <w:rPr>
          <w:rFonts w:ascii="Arial;sans-serif" w:hAnsi="Arial;sans-serif"/>
          <w:b w:val="false"/>
          <w:color w:val="000000"/>
          <w:sz w:val="20"/>
          <w:highlight w:val="white"/>
        </w:rPr>
        <w:t xml:space="preserve">. Changes in the estimated profitability of long-term contracts decreased operating income by $0.7 million during the first three months of 2023, compared to a decrease of $0.7 million in the same period last year.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spacing w:lineRule="auto" w:line="288" w:before="120" w:after="283"/>
        <w:ind w:left="0" w:right="0" w:firstLine="540"/>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w:t>
      </w:r>
    </w:p>
    <w:p>
      <w:pPr>
        <w:pStyle w:val="TextBody"/>
        <w:spacing w:before="120" w:after="283"/>
        <w:ind w:left="0" w:right="0" w:firstLine="540"/>
        <w:rPr/>
      </w:pPr>
      <w:r>
        <w:rPr/>
      </w:r>
    </w:p>
    <w:tbl>
      <w:tblPr>
        <w:tblW w:w="7910" w:type="dxa"/>
        <w:jc w:val="left"/>
        <w:tblInd w:w="0" w:type="dxa"/>
        <w:tblCellMar>
          <w:top w:w="28" w:type="dxa"/>
          <w:left w:w="28" w:type="dxa"/>
          <w:bottom w:w="28" w:type="dxa"/>
          <w:right w:w="28" w:type="dxa"/>
        </w:tblCellMar>
      </w:tblPr>
      <w:tblGrid>
        <w:gridCol w:w="1145"/>
        <w:gridCol w:w="1009"/>
        <w:gridCol w:w="1011"/>
        <w:gridCol w:w="342"/>
        <w:gridCol w:w="1368"/>
        <w:gridCol w:w="179"/>
        <w:gridCol w:w="300"/>
        <w:gridCol w:w="1195"/>
        <w:gridCol w:w="155"/>
        <w:gridCol w:w="211"/>
        <w:gridCol w:w="841"/>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45"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152,278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ASC</w:t>
            </w:r>
          </w:p>
        </w:tc>
        <w:tc>
          <w:tcPr>
            <w:tcW w:w="1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44,532</w:t>
            </w: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44,532</w:t>
            </w: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5,793</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65,549</w:t>
            </w: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71,342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5,793</w:t>
            </w:r>
            <w:r>
              <w:rPr>
                <w:color w:val="000000"/>
              </w:rPr>
              <w:t>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110,081</w:t>
            </w:r>
            <w:r>
              <w:rPr>
                <w:color w:val="000000"/>
              </w:rPr>
              <w:t>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115,874</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4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158,071</w:t>
            </w:r>
            <w:r>
              <w:rPr>
                <w:color w:val="000000"/>
              </w:rPr>
              <w:t> </w:t>
            </w:r>
          </w:p>
        </w:tc>
        <w:tc>
          <w:tcPr>
            <w:tcW w:w="17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111,025</w:t>
            </w:r>
            <w:r>
              <w:rPr>
                <w:color w:val="000000"/>
              </w:rPr>
              <w:t> </w:t>
            </w:r>
          </w:p>
        </w:tc>
        <w:tc>
          <w:tcPr>
            <w:tcW w:w="15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269,096</w:t>
            </w:r>
            <w:r>
              <w:rPr>
                <w:color w:val="000000"/>
              </w:rPr>
              <w:t>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tbl>
      <w:tblPr>
        <w:tblW w:w="7896" w:type="dxa"/>
        <w:jc w:val="left"/>
        <w:tblInd w:w="0" w:type="dxa"/>
        <w:tblCellMar>
          <w:top w:w="28" w:type="dxa"/>
          <w:left w:w="28" w:type="dxa"/>
          <w:bottom w:w="28" w:type="dxa"/>
          <w:right w:w="28" w:type="dxa"/>
        </w:tblCellMar>
      </w:tblPr>
      <w:tblGrid>
        <w:gridCol w:w="1145"/>
        <w:gridCol w:w="1009"/>
        <w:gridCol w:w="1011"/>
        <w:gridCol w:w="347"/>
        <w:gridCol w:w="1362"/>
        <w:gridCol w:w="181"/>
        <w:gridCol w:w="334"/>
        <w:gridCol w:w="1142"/>
        <w:gridCol w:w="174"/>
        <w:gridCol w:w="211"/>
        <w:gridCol w:w="826"/>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ASC</w:t>
            </w:r>
          </w:p>
        </w:tc>
        <w:tc>
          <w:tcPr>
            <w:tcW w:w="17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39,712 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46,482 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86,194 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revenue</w:t>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157,076 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87,093 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244,169 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5631" w:type="dxa"/>
        <w:jc w:val="left"/>
        <w:tblInd w:w="0" w:type="dxa"/>
        <w:tblCellMar>
          <w:top w:w="28" w:type="dxa"/>
          <w:left w:w="28" w:type="dxa"/>
          <w:bottom w:w="28" w:type="dxa"/>
          <w:right w:w="28" w:type="dxa"/>
        </w:tblCellMar>
      </w:tblPr>
      <w:tblGrid>
        <w:gridCol w:w="1019"/>
        <w:gridCol w:w="898"/>
        <w:gridCol w:w="903"/>
        <w:gridCol w:w="233"/>
        <w:gridCol w:w="929"/>
        <w:gridCol w:w="120"/>
        <w:gridCol w:w="233"/>
        <w:gridCol w:w="913"/>
        <w:gridCol w:w="120"/>
        <w:gridCol w:w="109"/>
        <w:gridCol w:w="154"/>
      </w:tblGrid>
      <w:tr>
        <w:trPr/>
        <w:tc>
          <w:tcPr>
            <w:tcW w:w="101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83,378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51,737</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55,486 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18,107</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Machine Clothing Net sales</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Most contracts in the AEC segment are relatively short duration firm-fixed-price orders. Remaining performance obligations on contracts that had an original duration of greater than one year totaled $821 million and $263 million as of March 31, 2023 and 2022, respectively, and related primarily to firm contracts in the AEC segment. Of the remaining performance obligations as of March 31, 2023, we expect to recognize as revenue approximately $126 million during 2023, $135 million during 2024, $129 million during 2025, and the remainder thereafter.</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3. Pensions and Other Postretirement Benefit Plans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composition of the net periodic benefit cost for the three months ended March 31, 2023 and 2022, was as follows:</w:t>
      </w:r>
    </w:p>
    <w:tbl>
      <w:tblPr>
        <w:tblW w:w="7493" w:type="dxa"/>
        <w:jc w:val="left"/>
        <w:tblInd w:w="0" w:type="dxa"/>
        <w:tblCellMar>
          <w:top w:w="28" w:type="dxa"/>
          <w:left w:w="28" w:type="dxa"/>
          <w:bottom w:w="28" w:type="dxa"/>
          <w:right w:w="28" w:type="dxa"/>
        </w:tblCellMar>
      </w:tblPr>
      <w:tblGrid>
        <w:gridCol w:w="1225"/>
        <w:gridCol w:w="1081"/>
        <w:gridCol w:w="1083"/>
        <w:gridCol w:w="211"/>
        <w:gridCol w:w="481"/>
        <w:gridCol w:w="109"/>
        <w:gridCol w:w="215"/>
        <w:gridCol w:w="475"/>
        <w:gridCol w:w="109"/>
        <w:gridCol w:w="299"/>
        <w:gridCol w:w="767"/>
        <w:gridCol w:w="154"/>
        <w:gridCol w:w="299"/>
        <w:gridCol w:w="767"/>
        <w:gridCol w:w="218"/>
      </w:tblGrid>
      <w:tr>
        <w:trPr/>
        <w:tc>
          <w:tcPr>
            <w:tcW w:w="12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Pension plans</w:t>
            </w:r>
          </w:p>
        </w:tc>
        <w:tc>
          <w:tcPr>
            <w:tcW w:w="2504"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w:t>
            </w: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468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(971)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cost/(credit)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cost/(credit)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(333)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amount of net benefit cost/(credit) is determined at the beginning of each year and generally only varies from quarter to quarter when a significant event occurs, such as a curtailment or a settlement. There were no such events in the first three months of 2023 or 2022.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4. Other (Income)/Expense, net</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9710" w:type="dxa"/>
        <w:jc w:val="left"/>
        <w:tblInd w:w="0" w:type="dxa"/>
        <w:tblCellMar>
          <w:top w:w="28" w:type="dxa"/>
          <w:left w:w="28" w:type="dxa"/>
          <w:bottom w:w="28" w:type="dxa"/>
          <w:right w:w="28" w:type="dxa"/>
        </w:tblCellMar>
      </w:tblPr>
      <w:tblGrid>
        <w:gridCol w:w="2494"/>
        <w:gridCol w:w="2199"/>
        <w:gridCol w:w="2206"/>
        <w:gridCol w:w="287"/>
        <w:gridCol w:w="737"/>
        <w:gridCol w:w="148"/>
        <w:gridCol w:w="287"/>
        <w:gridCol w:w="941"/>
        <w:gridCol w:w="148"/>
        <w:gridCol w:w="109"/>
        <w:gridCol w:w="154"/>
      </w:tblGrid>
      <w:tr>
        <w:trPr/>
        <w:tc>
          <w:tcPr>
            <w:tcW w:w="2494"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8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transaction (gains)/losses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fees and amortization of debt issuance costs</w:t>
            </w:r>
          </w:p>
        </w:tc>
        <w:tc>
          <w:tcPr>
            <w:tcW w:w="10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59</w:t>
            </w: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(125)</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0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(449)</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(455)</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Other (income)/expense, net, included foreign currency losses of $0.1 million in the first three months of 2023, as compared to gains of $3.7 million in the same period last year. The weaker Euro and Renminbi during the three month period ended March 31, 2023 led to a net loss on foreign currency related transactions, compared to a stronger Euro and Renminbi in the same period last year.</w:t>
      </w:r>
    </w:p>
    <w:p>
      <w:pPr>
        <w:pStyle w:val="TextBody"/>
        <w:spacing w:before="12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5. Income Taxes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components of income tax expense for the three months ended March 31, 2023 and 2022:</w:t>
      </w:r>
    </w:p>
    <w:tbl>
      <w:tblPr>
        <w:tblW w:w="10205" w:type="dxa"/>
        <w:jc w:val="left"/>
        <w:tblInd w:w="0" w:type="dxa"/>
        <w:tblCellMar>
          <w:top w:w="28" w:type="dxa"/>
          <w:left w:w="28" w:type="dxa"/>
          <w:bottom w:w="28" w:type="dxa"/>
          <w:right w:w="28" w:type="dxa"/>
        </w:tblCellMar>
      </w:tblPr>
      <w:tblGrid>
        <w:gridCol w:w="2520"/>
        <w:gridCol w:w="2218"/>
        <w:gridCol w:w="2223"/>
        <w:gridCol w:w="293"/>
        <w:gridCol w:w="1045"/>
        <w:gridCol w:w="150"/>
        <w:gridCol w:w="293"/>
        <w:gridCol w:w="1045"/>
        <w:gridCol w:w="150"/>
        <w:gridCol w:w="109"/>
        <w:gridCol w:w="159"/>
      </w:tblGrid>
      <w:tr>
        <w:trPr/>
        <w:tc>
          <w:tcPr>
            <w:tcW w:w="2520"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6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 thousands, except percentages)</w:t>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based on income from continuing operations (1)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11,058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change in estimated tax rate</w:t>
            </w:r>
          </w:p>
        </w:tc>
        <w:tc>
          <w:tcPr>
            <w:tcW w:w="13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before discrete items</w:t>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11,058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expense:</w:t>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U.S. stock options</w:t>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of amended tax returns</w:t>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True-up of prior year estimated taxes</w:t>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(545)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Enacted tax legislation and rate change</w:t>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313</w:t>
            </w: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for/resolution of tax audits and contingencies, net</w:t>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w:t>
            </w: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of long range tax planning</w:t>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(443)</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210</w:t>
            </w: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expense/(benefit)</w:t>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10,621</w:t>
            </w:r>
            <w:r>
              <w:rPr>
                <w:color w:val="000000"/>
              </w:rPr>
              <w:t>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10,998 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(1) Calculated at estimated annual tax rates of 29.3% and 28.0%, respectively.</w:t>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6. Earnings Per Share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9845" w:type="dxa"/>
        <w:jc w:val="left"/>
        <w:tblInd w:w="0" w:type="dxa"/>
        <w:tblCellMar>
          <w:top w:w="28" w:type="dxa"/>
          <w:left w:w="28" w:type="dxa"/>
          <w:bottom w:w="28" w:type="dxa"/>
          <w:right w:w="28" w:type="dxa"/>
        </w:tblCellMar>
      </w:tblPr>
      <w:tblGrid>
        <w:gridCol w:w="2549"/>
        <w:gridCol w:w="2239"/>
        <w:gridCol w:w="2246"/>
        <w:gridCol w:w="256"/>
        <w:gridCol w:w="895"/>
        <w:gridCol w:w="132"/>
        <w:gridCol w:w="256"/>
        <w:gridCol w:w="877"/>
        <w:gridCol w:w="132"/>
        <w:gridCol w:w="109"/>
        <w:gridCol w:w="154"/>
      </w:tblGrid>
      <w:tr>
        <w:trPr/>
        <w:tc>
          <w:tcPr>
            <w:tcW w:w="2549"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70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market price and earnings per share)</w:t>
            </w:r>
          </w:p>
        </w:tc>
        <w:tc>
          <w:tcPr>
            <w:tcW w:w="1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26,889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31,131</w:t>
            </w: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RSU and MPP shares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86</w:t>
            </w: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31,217</w:t>
            </w: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28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28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0.86</w:t>
            </w: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0.86</w:t>
            </w:r>
            <w:r>
              <w:rPr>
                <w:color w:val="000000"/>
              </w:rPr>
              <w:t>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7. Accumulated Other Comprehensive Income ("AOCI")</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December 31, 2022 to March 31, 2023:</w:t>
      </w:r>
    </w:p>
    <w:tbl>
      <w:tblPr>
        <w:tblW w:w="10205" w:type="dxa"/>
        <w:jc w:val="left"/>
        <w:tblInd w:w="0" w:type="dxa"/>
        <w:tblCellMar>
          <w:top w:w="28" w:type="dxa"/>
          <w:left w:w="28" w:type="dxa"/>
          <w:bottom w:w="28" w:type="dxa"/>
          <w:right w:w="28" w:type="dxa"/>
        </w:tblCellMar>
      </w:tblPr>
      <w:tblGrid>
        <w:gridCol w:w="1966"/>
        <w:gridCol w:w="1707"/>
        <w:gridCol w:w="1611"/>
        <w:gridCol w:w="211"/>
        <w:gridCol w:w="871"/>
        <w:gridCol w:w="109"/>
        <w:gridCol w:w="254"/>
        <w:gridCol w:w="889"/>
        <w:gridCol w:w="133"/>
        <w:gridCol w:w="211"/>
        <w:gridCol w:w="736"/>
        <w:gridCol w:w="109"/>
        <w:gridCol w:w="244"/>
        <w:gridCol w:w="973"/>
        <w:gridCol w:w="181"/>
      </w:tblGrid>
      <w:tr>
        <w:trPr/>
        <w:tc>
          <w:tcPr>
            <w:tcW w:w="1966"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52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(146,851)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(15,783)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(144,927)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1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12,946 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March 31, 2023</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(132,970)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(16,699)</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14,805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(134,864)</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December 31, 2021 to March 31, 2022:</w:t>
      </w:r>
    </w:p>
    <w:tbl>
      <w:tblPr>
        <w:tblW w:w="10205" w:type="dxa"/>
        <w:jc w:val="left"/>
        <w:tblInd w:w="0" w:type="dxa"/>
        <w:tblCellMar>
          <w:top w:w="28" w:type="dxa"/>
          <w:left w:w="28" w:type="dxa"/>
          <w:bottom w:w="28" w:type="dxa"/>
          <w:right w:w="28" w:type="dxa"/>
        </w:tblCellMar>
      </w:tblPr>
      <w:tblGrid>
        <w:gridCol w:w="1982"/>
        <w:gridCol w:w="1722"/>
        <w:gridCol w:w="1627"/>
        <w:gridCol w:w="211"/>
        <w:gridCol w:w="871"/>
        <w:gridCol w:w="109"/>
        <w:gridCol w:w="254"/>
        <w:gridCol w:w="889"/>
        <w:gridCol w:w="133"/>
        <w:gridCol w:w="211"/>
        <w:gridCol w:w="688"/>
        <w:gridCol w:w="109"/>
        <w:gridCol w:w="244"/>
        <w:gridCol w:w="973"/>
        <w:gridCol w:w="182"/>
      </w:tblGrid>
      <w:tr>
        <w:trPr/>
        <w:tc>
          <w:tcPr>
            <w:tcW w:w="1982"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53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(105,880)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(38,490)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(145,984)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7,201 </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March 31, 2022</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(107,610)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(38,416)</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8,404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(137,622)</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 relate to our pension and postretirement plans and interest rate swaps.</w:t>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 that were affected for the three months ended March 31, 2023 and 2022:</w:t>
      </w:r>
    </w:p>
    <w:tbl>
      <w:tblPr>
        <w:tblW w:w="10205" w:type="dxa"/>
        <w:jc w:val="left"/>
        <w:tblInd w:w="0" w:type="dxa"/>
        <w:tblCellMar>
          <w:top w:w="28" w:type="dxa"/>
          <w:left w:w="28" w:type="dxa"/>
          <w:bottom w:w="28" w:type="dxa"/>
          <w:right w:w="28" w:type="dxa"/>
        </w:tblCellMar>
      </w:tblPr>
      <w:tblGrid>
        <w:gridCol w:w="2728"/>
        <w:gridCol w:w="2402"/>
        <w:gridCol w:w="2417"/>
        <w:gridCol w:w="260"/>
        <w:gridCol w:w="840"/>
        <w:gridCol w:w="134"/>
        <w:gridCol w:w="260"/>
        <w:gridCol w:w="762"/>
        <w:gridCol w:w="134"/>
        <w:gridCol w:w="109"/>
        <w:gridCol w:w="159"/>
      </w:tblGrid>
      <w:tr>
        <w:trPr/>
        <w:tc>
          <w:tcPr>
            <w:tcW w:w="2728"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75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Expense/(income) related to interest rate swaps included in Income before taxes</w:t>
            </w:r>
          </w:p>
        </w:tc>
        <w:tc>
          <w:tcPr>
            <w:tcW w:w="26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(3,223)</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815</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(2,408)</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1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(1,031)</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346</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pretax amount reclassified (a)</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(685)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effect</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210</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(475)</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(a)These accumulated other comprehensive income components are included in the computation of net periodic pension cost (see Note 3).</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8. Noncontrolling Interest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tbl>
      <w:tblPr>
        <w:tblW w:w="9386" w:type="dxa"/>
        <w:jc w:val="left"/>
        <w:tblInd w:w="0" w:type="dxa"/>
        <w:tblCellMar>
          <w:top w:w="28" w:type="dxa"/>
          <w:left w:w="28" w:type="dxa"/>
          <w:bottom w:w="28" w:type="dxa"/>
          <w:right w:w="28" w:type="dxa"/>
        </w:tblCellMar>
      </w:tblPr>
      <w:tblGrid>
        <w:gridCol w:w="2461"/>
        <w:gridCol w:w="2163"/>
        <w:gridCol w:w="2170"/>
        <w:gridCol w:w="242"/>
        <w:gridCol w:w="726"/>
        <w:gridCol w:w="311"/>
        <w:gridCol w:w="242"/>
        <w:gridCol w:w="708"/>
        <w:gridCol w:w="363"/>
      </w:tblGrid>
      <w:tr>
        <w:trPr/>
        <w:tc>
          <w:tcPr>
            <w:tcW w:w="2461"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679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59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2,282</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308</w:t>
            </w:r>
            <w:r>
              <w:rPr>
                <w:color w:val="000000"/>
              </w:rPr>
              <w:t>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1,974</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w:t>
            </w:r>
            <w:r>
              <w:rPr>
                <w:color w:val="000000"/>
              </w:rPr>
              <w:t>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197</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4,494</w:t>
            </w: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197</w:t>
            </w:r>
            <w:r>
              <w:rPr>
                <w:color w:val="000000"/>
              </w:rPr>
              <w:t>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238</w:t>
            </w: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end of interim period</w:t>
            </w:r>
          </w:p>
        </w:tc>
        <w:tc>
          <w:tcPr>
            <w:tcW w:w="24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4,929</w:t>
            </w:r>
            <w:r>
              <w:rPr>
                <w:color w:val="000000"/>
              </w:rPr>
              <w:t> </w:t>
            </w:r>
          </w:p>
        </w:tc>
        <w:tc>
          <w:tcPr>
            <w:tcW w:w="3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4,032 </w:t>
            </w:r>
          </w:p>
        </w:tc>
        <w:tc>
          <w:tcPr>
            <w:tcW w:w="36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100" w:after="283"/>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9. Accounts Receivable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includes trade receivables. In connection with certain sales in Asia, the Company accepts a bank promissory note as customer payment. The notes may be presented for payment at maturity, which is less than one year. As of March 31, 2023 and December 31, 2022, Accounts receivable consisted of the following:</w:t>
      </w:r>
    </w:p>
    <w:tbl>
      <w:tblPr>
        <w:tblW w:w="5480" w:type="dxa"/>
        <w:jc w:val="left"/>
        <w:tblInd w:w="0" w:type="dxa"/>
        <w:tblCellMar>
          <w:top w:w="28" w:type="dxa"/>
          <w:left w:w="28" w:type="dxa"/>
          <w:bottom w:w="28" w:type="dxa"/>
          <w:right w:w="28" w:type="dxa"/>
        </w:tblCellMar>
      </w:tblPr>
      <w:tblGrid>
        <w:gridCol w:w="1122"/>
        <w:gridCol w:w="990"/>
        <w:gridCol w:w="992"/>
        <w:gridCol w:w="211"/>
        <w:gridCol w:w="841"/>
        <w:gridCol w:w="109"/>
        <w:gridCol w:w="215"/>
        <w:gridCol w:w="843"/>
        <w:gridCol w:w="157"/>
      </w:tblGrid>
      <w:tr>
        <w:trPr/>
        <w:tc>
          <w:tcPr>
            <w:tcW w:w="1122"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12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199,290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20,196</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(3,451)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216,035</w:t>
            </w:r>
            <w:r>
              <w:rPr>
                <w:color w:val="000000"/>
              </w:rPr>
              <w:t>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200,018 </w:t>
            </w:r>
          </w:p>
        </w:tc>
        <w:tc>
          <w:tcPr>
            <w:tcW w:w="15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has Noncurrent receivables in the AEC segment that represent revenue earned, which has extended payment terms. The Noncurrent receivables will be invoiced to the customer over a 10-year period, which began in 2020. As of March 31, 2023 and December 31, 2022, Noncurrent receivables consisted of the following:</w:t>
      </w:r>
    </w:p>
    <w:tbl>
      <w:tblPr>
        <w:tblW w:w="5361" w:type="dxa"/>
        <w:jc w:val="left"/>
        <w:tblInd w:w="0" w:type="dxa"/>
        <w:tblCellMar>
          <w:top w:w="28" w:type="dxa"/>
          <w:left w:w="28" w:type="dxa"/>
          <w:bottom w:w="28" w:type="dxa"/>
          <w:right w:w="28" w:type="dxa"/>
        </w:tblCellMar>
      </w:tblPr>
      <w:tblGrid>
        <w:gridCol w:w="1117"/>
        <w:gridCol w:w="985"/>
        <w:gridCol w:w="988"/>
        <w:gridCol w:w="211"/>
        <w:gridCol w:w="736"/>
        <w:gridCol w:w="109"/>
        <w:gridCol w:w="236"/>
        <w:gridCol w:w="807"/>
        <w:gridCol w:w="172"/>
      </w:tblGrid>
      <w:tr>
        <w:trPr/>
        <w:tc>
          <w:tcPr>
            <w:tcW w:w="111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12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27,459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27,322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27,913 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10. Contract Assets and Liabilities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2023 and December 31, 2022, Contract assets and Contract liabilities consisted of the following:</w:t>
      </w:r>
    </w:p>
    <w:tbl>
      <w:tblPr>
        <w:tblW w:w="5465" w:type="dxa"/>
        <w:jc w:val="left"/>
        <w:tblInd w:w="0" w:type="dxa"/>
        <w:tblCellMar>
          <w:top w:w="28" w:type="dxa"/>
          <w:left w:w="28" w:type="dxa"/>
          <w:bottom w:w="28" w:type="dxa"/>
          <w:right w:w="28" w:type="dxa"/>
        </w:tblCellMar>
      </w:tblPr>
      <w:tblGrid>
        <w:gridCol w:w="1117"/>
        <w:gridCol w:w="985"/>
        <w:gridCol w:w="987"/>
        <w:gridCol w:w="211"/>
        <w:gridCol w:w="841"/>
        <w:gridCol w:w="109"/>
        <w:gridCol w:w="215"/>
        <w:gridCol w:w="843"/>
        <w:gridCol w:w="157"/>
      </w:tblGrid>
      <w:tr>
        <w:trPr/>
        <w:tc>
          <w:tcPr>
            <w:tcW w:w="111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12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154,589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(772)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12,310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15,176 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increased $5.1 million during the three-month period ended March 31, 2023.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three month periods ended March 31, 2023 and March 31, 2022.</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liabilities decreased $2.9 million during the three-month period ended March 31, 2023, primarily due to revenue recognized from satisfied performance obligations exceeding amounts invoiced to customers that were in a contract liability position. Revenue recognized for the three-month periods ended March 31, 2023 and 2022 that was included in the Contract liability balance at the beginning of the year was $6.7 million and $4.8 million, respectively.</w:t>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11. Inventories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As of March 31, 2023 and December 31, 2022, Inventories consisted of the following:</w:t>
      </w:r>
    </w:p>
    <w:tbl>
      <w:tblPr>
        <w:tblW w:w="4349" w:type="dxa"/>
        <w:jc w:val="left"/>
        <w:tblInd w:w="0" w:type="dxa"/>
        <w:tblCellMar>
          <w:top w:w="28" w:type="dxa"/>
          <w:left w:w="28" w:type="dxa"/>
          <w:bottom w:w="28" w:type="dxa"/>
          <w:right w:w="28" w:type="dxa"/>
        </w:tblCellMar>
      </w:tblPr>
      <w:tblGrid>
        <w:gridCol w:w="531"/>
        <w:gridCol w:w="468"/>
        <w:gridCol w:w="470"/>
        <w:gridCol w:w="229"/>
        <w:gridCol w:w="913"/>
        <w:gridCol w:w="118"/>
        <w:gridCol w:w="287"/>
        <w:gridCol w:w="1124"/>
        <w:gridCol w:w="209"/>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16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81,611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74,631 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1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56,537</w:t>
            </w: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50,516 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15,629</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2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153,777</w:t>
            </w:r>
            <w:r>
              <w:rPr>
                <w:color w:val="000000"/>
              </w:rPr>
              <w:t> </w:t>
            </w:r>
          </w:p>
        </w:tc>
        <w:tc>
          <w:tcPr>
            <w:tcW w:w="11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139,050 </w:t>
            </w:r>
          </w:p>
        </w:tc>
        <w:tc>
          <w:tcPr>
            <w:tcW w:w="2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12. Goodwill and Other Intangible Assets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Our reportable segments are consistent with our operating segments.</w:t>
      </w:r>
    </w:p>
    <w:p>
      <w:pPr>
        <w:pStyle w:val="TextBody"/>
        <w:spacing w:lineRule="auto" w:line="288" w:before="200" w:after="283"/>
        <w:ind w:left="0" w:right="0" w:firstLine="450"/>
        <w:rPr>
          <w:rFonts w:ascii="Arial;sans-serif" w:hAnsi="Arial;sans-serif"/>
          <w:b w:val="false"/>
          <w:color w:val="000000"/>
          <w:sz w:val="20"/>
        </w:rPr>
      </w:pPr>
      <w:r>
        <w:rPr>
          <w:rFonts w:ascii="Arial;sans-serif" w:hAnsi="Arial;sans-serif"/>
          <w:b w:val="false"/>
          <w:color w:val="000000"/>
          <w:sz w:val="20"/>
        </w:rPr>
        <w:t xml:space="preserve">In the second quarter of 2022,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pStyle w:val="TextBody"/>
        <w:spacing w:before="120" w:after="283"/>
        <w:ind w:left="0" w:right="0" w:firstLine="360"/>
        <w:jc w:val="both"/>
        <w:rPr/>
      </w:pPr>
      <w:r>
        <w:rPr/>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13. Financial Instruments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Long-term debt, principally to banks and noteholders, consists of:</w:t>
      </w:r>
    </w:p>
    <w:tbl>
      <w:tblPr>
        <w:tblW w:w="10205" w:type="dxa"/>
        <w:jc w:val="left"/>
        <w:tblInd w:w="0" w:type="dxa"/>
        <w:tblCellMar>
          <w:top w:w="28" w:type="dxa"/>
          <w:left w:w="28" w:type="dxa"/>
          <w:bottom w:w="28" w:type="dxa"/>
          <w:right w:w="28" w:type="dxa"/>
        </w:tblCellMar>
      </w:tblPr>
      <w:tblGrid>
        <w:gridCol w:w="2823"/>
        <w:gridCol w:w="2407"/>
        <w:gridCol w:w="2414"/>
        <w:gridCol w:w="218"/>
        <w:gridCol w:w="869"/>
        <w:gridCol w:w="112"/>
        <w:gridCol w:w="240"/>
        <w:gridCol w:w="942"/>
        <w:gridCol w:w="180"/>
      </w:tblGrid>
      <w:tr>
        <w:trPr/>
        <w:tc>
          <w:tcPr>
            <w:tcW w:w="2823"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24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76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11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13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Revolving credit agreement with borrowings outstanding at an end of period interest rate of 3.58% in 2023 and 3.16% in 2022 (including the effect of interest rate hedging transactions, as described below), due in 2024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491,000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4"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r>
        <w:trPr/>
        <w:tc>
          <w:tcPr>
            <w:tcW w:w="7644"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r>
        <w:trPr/>
        <w:tc>
          <w:tcPr>
            <w:tcW w:w="7644"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r>
        <w:trPr/>
        <w:tc>
          <w:tcPr>
            <w:tcW w:w="7644"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r>
        <w:trPr/>
        <w:tc>
          <w:tcPr>
            <w:tcW w:w="7644"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We had no current maturities of Long-term debt as of March 31, 2023 or December 31, 2022.</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October 27, 2020, we entered into a $700 million unsecured Four-Year Revolving Credit Facility Agreement (the “Credit Agreement”) which amended and restated the prior amended and restated $685 million Five-Year Revolving Credit Facility Agreement, entered into on November 7, 2017 (the “Prior Agreement”). Under the Credit Agreement, $491 million of borrowings were outstanding as of March 31, 2023. The applicable interest rate for borrowings was LIBOR plus a spread, based on our leverage ratio (as defined in the Credit Agreement) at the time of borrowing. At the time of the last borrowing on March 30, 2022, the spread was 1.625%. The spread was based on a pricing grid, which ranged from 1.500% to 2.000%, based on our leverage ratio. Based on our maximum leverage ratio and our Consolidated EBITDA (as defined in the Credit Agreement), and without modification to any other credit agreements, as of March 31, 2023, we would have been able to borrow an additional $209 million under the Agreement.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Credit Agreement contains customary terms, as well as affirmative covenants, negative covenants and events of default that are comparable to those in the Prior Agreement. The Borrowings are guaranteed by certain of the Company’s subsidiaries.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ability to borrow additional amounts under the Credit Agreement is conditional upon the absence of any defaults, as well as the absence of any material adverse change (as defined in the Credit Agreement).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The monthly calculation date is the 16th of each month, and on March 16, 2023, one-month LIBOR was 4.73%. On March 16, 2023, the all-in-rate on the $350 million of debt was 2.463%.</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On October 17, 2022, our interest rate swap agreements that were in effect from December 18, 2017 terminated. These transactions had the effect of fixing the LIBOR portion of the effective interest rate (before addition of the spread) on $350 million of indebtedness drawn under the Credit Agreement at the rate of 2.11% during the period. Under the terms of those transactions, we paid the fixed rate of 2.11% and the counterparties paid a floating rate based on the one-month LIBOR rate at each monthly calculation date. The all-in-rate on the $350 million of debt was 3.735%.</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These interest rate swaps are accounted for as a hedge of future cash flows, as further described in Note 14. No cash collateral was received or pledged in relation to the swap agreements.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the Credit Agreement, we are required to maintain leverage and minimum interest coverage ratios (as defined in the Credit Agreement) of not greater than 3.50 to 1.00 and greater than 3.00 to 1.00, respectively.</w:t>
      </w:r>
    </w:p>
    <w:p>
      <w:pPr>
        <w:pStyle w:val="TextBody"/>
        <w:spacing w:lineRule="auto" w:line="288" w:before="120" w:after="283"/>
        <w:ind w:left="0" w:right="0" w:firstLine="360"/>
        <w:jc w:val="both"/>
        <w:rPr/>
      </w:pPr>
      <w:r>
        <w:rPr>
          <w:rFonts w:ascii="Arial;sans-serif" w:hAnsi="Arial;sans-serif"/>
          <w:b w:val="false"/>
          <w:color w:val="000000"/>
          <w:sz w:val="20"/>
        </w:rPr>
        <w:t>As of March 31, 2023, our leverage ratio was </w:t>
      </w:r>
      <w:r>
        <w:rPr>
          <w:rFonts w:ascii="Arial;sans-serif" w:hAnsi="Arial;sans-serif"/>
          <w:b w:val="false"/>
          <w:color w:val="000000"/>
          <w:sz w:val="20"/>
          <w:highlight w:val="white"/>
        </w:rPr>
        <w:t>1.47 to 1.00 and our interest coverage ratio was 14.76</w:t>
      </w:r>
      <w:r>
        <w:rPr>
          <w:color w:val="000000"/>
        </w:rPr>
        <w:t> </w:t>
      </w:r>
      <w:r>
        <w:rPr>
          <w:rFonts w:ascii="Arial;sans-serif" w:hAnsi="Arial;sans-serif"/>
          <w:b w:val="false"/>
          <w:color w:val="000000"/>
          <w:sz w:val="20"/>
        </w:rPr>
        <w:t>to 1.00. We may purchase our Common Stock or pay dividends to the extent our leverage ratio remains at or below 3.50 to 1.00, and may make acquisitions with cash, provided our leverage ratio does not exceed the limits noted above.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Indebtedness under the Credit Agreement is ranked equally in right of payment to all unsecured senior debt. We were in compliance with all debt covenants as of March 31, 2023.</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Amendments to the Reference Rate Reform standard have helped limit the accounting impact from contract modifications, including hedging relationships, due to the transition from LIBOR to alternative reference rates that are completed by December 31, 2024. We adopted certain provisions of this standard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pStyle w:val="TextBody"/>
        <w:spacing w:before="12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14. Fair-Value Measurements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March 31, 2023, or at December 31, 2022.</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tbl>
      <w:tblPr>
        <w:tblW w:w="9560" w:type="dxa"/>
        <w:jc w:val="left"/>
        <w:tblInd w:w="0" w:type="dxa"/>
        <w:tblCellMar>
          <w:top w:w="28" w:type="dxa"/>
          <w:left w:w="28" w:type="dxa"/>
          <w:bottom w:w="28" w:type="dxa"/>
          <w:right w:w="28" w:type="dxa"/>
        </w:tblCellMar>
      </w:tblPr>
      <w:tblGrid>
        <w:gridCol w:w="1697"/>
        <w:gridCol w:w="1496"/>
        <w:gridCol w:w="1502"/>
        <w:gridCol w:w="211"/>
        <w:gridCol w:w="631"/>
        <w:gridCol w:w="109"/>
        <w:gridCol w:w="109"/>
        <w:gridCol w:w="109"/>
        <w:gridCol w:w="109"/>
        <w:gridCol w:w="283"/>
        <w:gridCol w:w="545"/>
        <w:gridCol w:w="148"/>
        <w:gridCol w:w="109"/>
        <w:gridCol w:w="109"/>
        <w:gridCol w:w="109"/>
        <w:gridCol w:w="211"/>
        <w:gridCol w:w="616"/>
        <w:gridCol w:w="109"/>
        <w:gridCol w:w="109"/>
        <w:gridCol w:w="109"/>
        <w:gridCol w:w="109"/>
        <w:gridCol w:w="279"/>
        <w:gridCol w:w="537"/>
        <w:gridCol w:w="205"/>
      </w:tblGrid>
      <w:tr>
        <w:trPr/>
        <w:tc>
          <w:tcPr>
            <w:tcW w:w="1697"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Assets: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19,784</w:t>
            </w: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23,605 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rFonts w:ascii="Arial;sans-serif" w:hAnsi="Arial;sans-serif"/>
          <w:b w:val="false"/>
          <w:color w:val="000000"/>
          <w:sz w:val="20"/>
        </w:rPr>
      </w:pPr>
      <w:r>
        <w:rPr>
          <w:rFonts w:ascii="Arial;sans-serif" w:hAnsi="Arial;sans-serif"/>
          <w:b w:val="false"/>
          <w:color w:val="000000"/>
          <w:sz w:val="20"/>
        </w:rPr>
        <w:t>(a)Original cost basis $0.5 million.</w:t>
      </w:r>
    </w:p>
    <w:p>
      <w:pPr>
        <w:pStyle w:val="TextBody"/>
        <w:spacing w:before="0" w:after="0"/>
        <w:ind w:left="0" w:right="0" w:hanging="360"/>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TextBody"/>
        <w:spacing w:lineRule="auto" w:line="288" w:before="120" w:after="283"/>
        <w:ind w:left="0" w:right="0" w:firstLine="360"/>
        <w:jc w:val="both"/>
        <w:rPr/>
      </w:pPr>
      <w:r>
        <w:rPr>
          <w:rFonts w:ascii="Arial;sans-serif" w:hAnsi="Arial;sans-serif"/>
          <w:b w:val="false"/>
          <w:color w:val="000000"/>
          <w:sz w:val="20"/>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As of March 31, 2023, these interest rate swaps were determined to be highly effective hedges of interest rate cash flow risk. Amounts accumulated in Other comprehensive income are reclassified as Interest expense, net when the related interest payments (that is, the hedged forecasted transactions), affect earnings. Interest (income)/expense related to payments under the active swap agreements totaled</w:t>
      </w:r>
      <w:r>
        <w:rPr>
          <w:color w:val="000000"/>
          <w:highlight w:val="white"/>
        </w:rPr>
        <w:t xml:space="preserve"> </w:t>
      </w:r>
      <w:r>
        <w:rPr>
          <w:rFonts w:ascii="Arial;sans-serif" w:hAnsi="Arial;sans-serif"/>
          <w:b w:val="false"/>
          <w:color w:val="000000"/>
          <w:sz w:val="20"/>
          <w:highlight w:val="white"/>
        </w:rPr>
        <w:t>$(3.2) million for</w:t>
      </w:r>
      <w:r>
        <w:rPr>
          <w:color w:val="000000"/>
        </w:rPr>
        <w:t xml:space="preserve"> </w:t>
      </w:r>
      <w:r>
        <w:rPr>
          <w:rFonts w:ascii="Arial;sans-serif" w:hAnsi="Arial;sans-serif"/>
          <w:b w:val="false"/>
          <w:color w:val="000000"/>
          <w:sz w:val="20"/>
        </w:rPr>
        <w:t xml:space="preserve">the three month period ended March 31, 2023, and $1.7 million for the three month period ended March 31, 2022.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0" w:after="0"/>
        <w:rPr/>
      </w:pPr>
      <w:hyperlink w:anchor="i4eb4783588fd414ebe242b2a6dd661c9_7">
        <w:r>
          <w:rPr>
            <w:rStyle w:val="InternetLink"/>
            <w:rFonts w:ascii="Book Antiqua;sans-serif" w:hAnsi="Book Antiqua;sans-serif"/>
            <w:b w:val="false"/>
            <w:i/>
            <w:color w:val="0000FF"/>
            <w:sz w:val="20"/>
            <w:u w:val="single"/>
          </w:rPr>
          <w:t>Index</w:t>
        </w:r>
      </w:hyperlink>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tbl>
      <w:tblPr>
        <w:tblW w:w="7056" w:type="dxa"/>
        <w:jc w:val="left"/>
        <w:tblInd w:w="0" w:type="dxa"/>
        <w:tblCellMar>
          <w:top w:w="28" w:type="dxa"/>
          <w:left w:w="28" w:type="dxa"/>
          <w:bottom w:w="28" w:type="dxa"/>
          <w:right w:w="28" w:type="dxa"/>
        </w:tblCellMar>
      </w:tblPr>
      <w:tblGrid>
        <w:gridCol w:w="1535"/>
        <w:gridCol w:w="1353"/>
        <w:gridCol w:w="1357"/>
        <w:gridCol w:w="345"/>
        <w:gridCol w:w="616"/>
        <w:gridCol w:w="178"/>
        <w:gridCol w:w="345"/>
        <w:gridCol w:w="886"/>
        <w:gridCol w:w="178"/>
        <w:gridCol w:w="109"/>
        <w:gridCol w:w="154"/>
      </w:tblGrid>
      <w:tr>
        <w:trPr/>
        <w:tc>
          <w:tcPr>
            <w:tcW w:w="1535"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345"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16</w:t>
            </w:r>
            <w:r>
              <w:rPr>
                <w:color w:val="000000"/>
              </w:rPr>
              <w:t> </w:t>
            </w:r>
          </w:p>
        </w:tc>
        <w:tc>
          <w:tcPr>
            <w:tcW w:w="17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w:t>
            </w:r>
          </w:p>
        </w:tc>
        <w:tc>
          <w:tcPr>
            <w:tcW w:w="17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15. Contingencies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Asbestos Litigation</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We were defending 3,597 claims as of March 31, 2023.</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7359" w:type="dxa"/>
        <w:jc w:val="left"/>
        <w:tblInd w:w="0" w:type="dxa"/>
        <w:tblCellMar>
          <w:top w:w="28" w:type="dxa"/>
          <w:left w:w="28" w:type="dxa"/>
          <w:bottom w:w="28" w:type="dxa"/>
          <w:right w:w="28" w:type="dxa"/>
        </w:tblCellMar>
      </w:tblPr>
      <w:tblGrid>
        <w:gridCol w:w="766"/>
        <w:gridCol w:w="672"/>
        <w:gridCol w:w="676"/>
        <w:gridCol w:w="321"/>
        <w:gridCol w:w="314"/>
        <w:gridCol w:w="316"/>
        <w:gridCol w:w="324"/>
        <w:gridCol w:w="324"/>
        <w:gridCol w:w="326"/>
        <w:gridCol w:w="344"/>
        <w:gridCol w:w="344"/>
        <w:gridCol w:w="346"/>
        <w:gridCol w:w="321"/>
        <w:gridCol w:w="314"/>
        <w:gridCol w:w="316"/>
        <w:gridCol w:w="365"/>
        <w:gridCol w:w="702"/>
        <w:gridCol w:w="268"/>
      </w:tblGrid>
      <w:tr>
        <w:trPr/>
        <w:tc>
          <w:tcPr>
            <w:tcW w:w="7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w:t>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3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Amounts Paid</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(thousands) to</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Settle or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Resolve</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2023 (As of March 31)</w:t>
            </w:r>
          </w:p>
        </w:tc>
        <w:tc>
          <w:tcPr>
            <w:tcW w:w="635"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3,598</w:t>
            </w:r>
            <w:r>
              <w:rPr>
                <w:color w:val="000000"/>
              </w:rPr>
              <w:t> </w:t>
            </w:r>
          </w:p>
        </w:tc>
        <w:tc>
          <w:tcPr>
            <w:tcW w:w="31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w:t>
            </w:r>
            <w:r>
              <w:rPr>
                <w:color w:val="000000"/>
              </w:rPr>
              <w:t> </w:t>
            </w:r>
          </w:p>
        </w:tc>
        <w:tc>
          <w:tcPr>
            <w:tcW w:w="32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8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w:t>
            </w:r>
            <w:r>
              <w:rPr>
                <w:color w:val="000000"/>
              </w:rPr>
              <w:t> </w:t>
            </w:r>
          </w:p>
        </w:tc>
        <w:tc>
          <w:tcPr>
            <w:tcW w:w="34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35"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3,597</w:t>
            </w:r>
            <w:r>
              <w:rPr>
                <w:color w:val="000000"/>
              </w:rPr>
              <w:t> </w:t>
            </w:r>
          </w:p>
        </w:tc>
        <w:tc>
          <w:tcPr>
            <w:tcW w:w="31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65"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2"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2023, we had resolved, by means of settlement or dismissal, 38,028 claims. The total cost of resolving all claims was $10.6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March 31, 2023,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 xml:space="preserve">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spacing w:before="12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16. Changes in Shareholders’ Equity</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2022 to March 31, 2023:</w:t>
      </w:r>
    </w:p>
    <w:tbl>
      <w:tblPr>
        <w:tblW w:w="10920" w:type="dxa"/>
        <w:jc w:val="left"/>
        <w:tblInd w:w="0" w:type="dxa"/>
        <w:tblCellMar>
          <w:top w:w="28" w:type="dxa"/>
          <w:left w:w="28" w:type="dxa"/>
          <w:bottom w:w="28" w:type="dxa"/>
          <w:right w:w="28" w:type="dxa"/>
        </w:tblCellMar>
      </w:tblPr>
      <w:tblGrid>
        <w:gridCol w:w="396"/>
        <w:gridCol w:w="229"/>
        <w:gridCol w:w="231"/>
        <w:gridCol w:w="248"/>
        <w:gridCol w:w="248"/>
        <w:gridCol w:w="161"/>
        <w:gridCol w:w="176"/>
        <w:gridCol w:w="286"/>
        <w:gridCol w:w="109"/>
        <w:gridCol w:w="203"/>
        <w:gridCol w:w="203"/>
        <w:gridCol w:w="161"/>
        <w:gridCol w:w="166"/>
        <w:gridCol w:w="406"/>
        <w:gridCol w:w="109"/>
        <w:gridCol w:w="299"/>
        <w:gridCol w:w="1004"/>
        <w:gridCol w:w="198"/>
        <w:gridCol w:w="221"/>
        <w:gridCol w:w="743"/>
        <w:gridCol w:w="147"/>
        <w:gridCol w:w="259"/>
        <w:gridCol w:w="845"/>
        <w:gridCol w:w="172"/>
        <w:gridCol w:w="218"/>
        <w:gridCol w:w="218"/>
        <w:gridCol w:w="161"/>
        <w:gridCol w:w="166"/>
        <w:gridCol w:w="541"/>
        <w:gridCol w:w="109"/>
        <w:gridCol w:w="329"/>
        <w:gridCol w:w="865"/>
        <w:gridCol w:w="217"/>
        <w:gridCol w:w="166"/>
        <w:gridCol w:w="556"/>
        <w:gridCol w:w="154"/>
      </w:tblGrid>
      <w:tr>
        <w:trPr/>
        <w:tc>
          <w:tcPr>
            <w:tcW w:w="39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2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B</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5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11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Retained earnings</w:t>
            </w:r>
          </w:p>
        </w:tc>
        <w:tc>
          <w:tcPr>
            <w:tcW w:w="12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Total Equity</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5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5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1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2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4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December 31, 2022</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40,785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441,540</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931,318</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(144,927)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4,494</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867,543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declared</w:t>
            </w:r>
          </w:p>
        </w:tc>
        <w:tc>
          <w:tcPr>
            <w:tcW w:w="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Class A Common Stock, $0.25 per share</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Class B Common Stock, $0.25 per share</w:t>
            </w:r>
          </w:p>
        </w:tc>
        <w:tc>
          <w:tcPr>
            <w:tcW w:w="4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13,881 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March 31, 2023</w:t>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441,917</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950,415</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(134,864)</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4,929</w:t>
            </w:r>
            <w:r>
              <w:rPr>
                <w:color w:val="000000"/>
              </w:rPr>
              <w:t> </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897,515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2021 to March 31, 2022:</w:t>
      </w:r>
    </w:p>
    <w:tbl>
      <w:tblPr>
        <w:tblW w:w="11355" w:type="dxa"/>
        <w:jc w:val="left"/>
        <w:tblInd w:w="0" w:type="dxa"/>
        <w:tblCellMar>
          <w:top w:w="28" w:type="dxa"/>
          <w:left w:w="28" w:type="dxa"/>
          <w:bottom w:w="28" w:type="dxa"/>
          <w:right w:w="28" w:type="dxa"/>
        </w:tblCellMar>
      </w:tblPr>
      <w:tblGrid>
        <w:gridCol w:w="396"/>
        <w:gridCol w:w="229"/>
        <w:gridCol w:w="231"/>
        <w:gridCol w:w="248"/>
        <w:gridCol w:w="248"/>
        <w:gridCol w:w="161"/>
        <w:gridCol w:w="176"/>
        <w:gridCol w:w="286"/>
        <w:gridCol w:w="109"/>
        <w:gridCol w:w="203"/>
        <w:gridCol w:w="203"/>
        <w:gridCol w:w="161"/>
        <w:gridCol w:w="166"/>
        <w:gridCol w:w="406"/>
        <w:gridCol w:w="109"/>
        <w:gridCol w:w="299"/>
        <w:gridCol w:w="1004"/>
        <w:gridCol w:w="198"/>
        <w:gridCol w:w="221"/>
        <w:gridCol w:w="743"/>
        <w:gridCol w:w="147"/>
        <w:gridCol w:w="348"/>
        <w:gridCol w:w="1134"/>
        <w:gridCol w:w="229"/>
        <w:gridCol w:w="218"/>
        <w:gridCol w:w="218"/>
        <w:gridCol w:w="161"/>
        <w:gridCol w:w="166"/>
        <w:gridCol w:w="541"/>
        <w:gridCol w:w="109"/>
        <w:gridCol w:w="329"/>
        <w:gridCol w:w="865"/>
        <w:gridCol w:w="217"/>
        <w:gridCol w:w="166"/>
        <w:gridCol w:w="556"/>
        <w:gridCol w:w="154"/>
      </w:tblGrid>
      <w:tr>
        <w:trPr/>
        <w:tc>
          <w:tcPr>
            <w:tcW w:w="39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2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B</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5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11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Retained earnings</w:t>
            </w:r>
          </w:p>
        </w:tc>
        <w:tc>
          <w:tcPr>
            <w:tcW w:w="17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Accumulated </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items of other comprehensive income</w:t>
            </w:r>
          </w:p>
        </w:tc>
        <w:tc>
          <w:tcPr>
            <w:tcW w:w="1413"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Total Equity</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5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5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1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7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4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December 31, 2021</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40,760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436,996</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863,057</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(145,984)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8,665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(280,143)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3,638</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877,605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27,737 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Options exercised</w:t>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Treasury shares (a)</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declared</w:t>
            </w:r>
          </w:p>
        </w:tc>
        <w:tc>
          <w:tcPr>
            <w:tcW w:w="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Class A Common Stock, $0.21 per share</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(6,661)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Class B Common Stock, $0.21 per share</w:t>
            </w:r>
          </w:p>
        </w:tc>
        <w:tc>
          <w:tcPr>
            <w:tcW w:w="4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(1,730)</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10,018 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March 31, 2022</w:t>
            </w:r>
          </w:p>
        </w:tc>
        <w:tc>
          <w:tcPr>
            <w:tcW w:w="49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40,781 </w:t>
            </w:r>
          </w:p>
        </w:tc>
        <w:tc>
          <w:tcPr>
            <w:tcW w:w="16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437,748 </w:t>
            </w:r>
          </w:p>
        </w:tc>
        <w:tc>
          <w:tcPr>
            <w:tcW w:w="19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884,133 </w:t>
            </w:r>
          </w:p>
        </w:tc>
        <w:tc>
          <w:tcPr>
            <w:tcW w:w="14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8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(137,622)</w:t>
            </w:r>
          </w:p>
        </w:tc>
        <w:tc>
          <w:tcPr>
            <w:tcW w:w="22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9,180 </w:t>
            </w:r>
          </w:p>
        </w:tc>
        <w:tc>
          <w:tcPr>
            <w:tcW w:w="16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7"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(324,080)</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4,032 </w:t>
            </w:r>
          </w:p>
        </w:tc>
        <w:tc>
          <w:tcPr>
            <w:tcW w:w="21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864,252 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720"/>
        <w:rPr>
          <w:rFonts w:ascii="Arial;sans-serif" w:hAnsi="Arial;sans-serif"/>
          <w:b w:val="false"/>
          <w:color w:val="000000"/>
          <w:sz w:val="20"/>
        </w:rPr>
      </w:pPr>
      <w:r>
        <w:rPr>
          <w:rFonts w:ascii="Arial;sans-serif" w:hAnsi="Arial;sans-serif"/>
          <w:b w:val="false"/>
          <w:color w:val="000000"/>
          <w:sz w:val="20"/>
        </w:rPr>
        <w:t xml:space="preserve">(a)In October 2021, the Company's Board of Directors authorized the Company to repurchase shares of up to $200 million through open market purchases, privately negotiated transactions or otherwise, and to determine the prices, times and amounts. During the three months ended March 31, 2022, the Company repurchased 514,686 shares totaling $43.9 million. The Company did not repurchase shares during the three months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risks, uncertainties, and other important factors that could cause actual results to differ materially from the forward-looking statements, including, but not limited to:</w:t>
      </w:r>
    </w:p>
    <w:p>
      <w:pPr>
        <w:pStyle w:val="TextBody"/>
        <w:spacing w:before="120" w:after="283"/>
        <w:ind w:left="0" w:right="0" w:firstLine="360"/>
        <w:jc w:val="both"/>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pStyle w:val="TextBody"/>
        <w:spacing w:before="0" w:after="0"/>
        <w:rPr/>
      </w:pPr>
      <w:r>
        <w:rPr/>
      </w:r>
    </w:p>
    <w:p>
      <w:pPr>
        <w:pStyle w:val="TextBody"/>
        <w:spacing w:lineRule="auto" w:line="276" w:before="0" w:after="0"/>
        <w:ind w:left="0" w:right="0" w:hanging="360"/>
        <w:rPr/>
      </w:pPr>
      <w:r>
        <w:rPr>
          <w:color w:val="000000"/>
        </w:rPr>
        <w:t>•</w:t>
      </w:r>
      <w:r>
        <w:rPr>
          <w:rFonts w:ascii="Arial;sans-serif" w:hAnsi="Arial;sans-serif"/>
          <w:b w:val="false"/>
          <w:color w:val="000000"/>
          <w:sz w:val="20"/>
        </w:rPr>
        <w:t>Across the entire Company, increasing labor, raw material, energy, and logistic costs due to supply chain constraints and inflationary pressures; challenges that have only increased as a result of the ongoing Russia-Ukraine war;</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Failure to achieve or maintain anticipated profitable growth in our Albany Engineered Composites segment; and</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Other risks and uncertainties detailed in this report and other periodic reports.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spacing w:before="1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Business Environment Overview and Trends</w:t>
      </w:r>
    </w:p>
    <w:p>
      <w:pPr>
        <w:pStyle w:val="TextBody"/>
        <w:spacing w:before="0" w:after="0"/>
        <w:ind w:left="0" w:right="0" w:firstLine="360"/>
        <w:rPr/>
      </w:pPr>
      <w:r>
        <w:rPr/>
      </w:r>
    </w:p>
    <w:p>
      <w:pPr>
        <w:pStyle w:val="TextBody"/>
        <w:spacing w:lineRule="auto" w:line="288" w:before="0" w:after="0"/>
        <w:ind w:left="0" w:right="0" w:firstLine="360"/>
        <w:rPr>
          <w:rFonts w:ascii="Arial;sans-serif" w:hAnsi="Arial;sans-serif"/>
          <w:b w:val="false"/>
          <w:color w:val="000000"/>
          <w:sz w:val="20"/>
        </w:rPr>
      </w:pPr>
      <w:r>
        <w:rPr>
          <w:rFonts w:ascii="Arial;sans-serif" w:hAnsi="Arial;sans-serif"/>
          <w:b w:val="false"/>
          <w:color w:val="000000"/>
          <w:sz w:val="20"/>
        </w:rPr>
        <w:t>Our reportable segments, Machine Clothing (“MC”) and Albany Engineered Composites (“AEC”) draw on the same advanced textiles and materials processing capabilities, and compete on the basis of product-based advantage that is grounded in those core capabilities.</w:t>
      </w:r>
    </w:p>
    <w:p>
      <w:pPr>
        <w:pStyle w:val="TextBody"/>
        <w:spacing w:before="0" w:after="0"/>
        <w:ind w:left="0" w:right="0" w:firstLine="360"/>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("SAFRAN") and sales to SAFRAN, through ASC, (consisting primarily of fan blades and cases for CFM’s LEAP engine) accounted for approximately 16 percent of the Company’s consolidated Net sales in 2022. AEC, through ASC, also supplies 3D-woven composite fan cases for the GE9X engine. AEC’s current portfolio of non-3D programs includes components for the CH-53K helicopter, components for the F-35, missile bodies for Lockheed Martin’s JASSM air-to-surface missiles, fuselage components for the Boeing 787, and vacuum waste tanks for Boeing 7-Series aircraft. AEC is actively engaged in research to develop new applications in both commercial and defense aircraft engine and airframe markets. In 2022, approximately 46 percent of AEC sales were related to U.S. government contracts or programs.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Consolidated Results of Operations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Net sales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 summarizes our Net sales by business segment:</w:t>
      </w:r>
    </w:p>
    <w:tbl>
      <w:tblPr>
        <w:tblW w:w="6774" w:type="dxa"/>
        <w:jc w:val="left"/>
        <w:tblInd w:w="0" w:type="dxa"/>
        <w:tblCellMar>
          <w:top w:w="28" w:type="dxa"/>
          <w:left w:w="28" w:type="dxa"/>
          <w:bottom w:w="28" w:type="dxa"/>
          <w:right w:w="28" w:type="dxa"/>
        </w:tblCellMar>
      </w:tblPr>
      <w:tblGrid>
        <w:gridCol w:w="1059"/>
        <w:gridCol w:w="931"/>
        <w:gridCol w:w="934"/>
        <w:gridCol w:w="643"/>
        <w:gridCol w:w="303"/>
        <w:gridCol w:w="243"/>
        <w:gridCol w:w="633"/>
        <w:gridCol w:w="298"/>
        <w:gridCol w:w="243"/>
        <w:gridCol w:w="255"/>
        <w:gridCol w:w="256"/>
        <w:gridCol w:w="604"/>
        <w:gridCol w:w="109"/>
        <w:gridCol w:w="109"/>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478"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115,874</w:t>
            </w: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90,107 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6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$269,096</w:t>
            </w:r>
            <w:r>
              <w:rPr>
                <w:color w:val="000000"/>
              </w:rPr>
              <w:t> </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$244,169 </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provide a comparison of 2023 Net sales, excluding currency translation effects, to 2022 Net sales:</w:t>
      </w:r>
    </w:p>
    <w:tbl>
      <w:tblPr>
        <w:tblW w:w="10205" w:type="dxa"/>
        <w:jc w:val="left"/>
        <w:tblInd w:w="0" w:type="dxa"/>
        <w:tblCellMar>
          <w:top w:w="28" w:type="dxa"/>
          <w:left w:w="28" w:type="dxa"/>
          <w:bottom w:w="28" w:type="dxa"/>
          <w:right w:w="28" w:type="dxa"/>
        </w:tblCellMar>
      </w:tblPr>
      <w:tblGrid>
        <w:gridCol w:w="544"/>
        <w:gridCol w:w="478"/>
        <w:gridCol w:w="480"/>
        <w:gridCol w:w="264"/>
        <w:gridCol w:w="1055"/>
        <w:gridCol w:w="136"/>
        <w:gridCol w:w="366"/>
        <w:gridCol w:w="1162"/>
        <w:gridCol w:w="189"/>
        <w:gridCol w:w="382"/>
        <w:gridCol w:w="1499"/>
        <w:gridCol w:w="197"/>
        <w:gridCol w:w="265"/>
        <w:gridCol w:w="1041"/>
        <w:gridCol w:w="137"/>
        <w:gridCol w:w="481"/>
        <w:gridCol w:w="389"/>
        <w:gridCol w:w="1140"/>
      </w:tblGrid>
      <w:tr>
        <w:trPr/>
        <w:tc>
          <w:tcPr>
            <w:tcW w:w="54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r>
      <w:tr>
        <w:trPr/>
        <w:tc>
          <w:tcPr>
            <w:tcW w:w="15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sales as reported, Q1 2023</w:t>
            </w:r>
          </w:p>
        </w:tc>
        <w:tc>
          <w:tcPr>
            <w:tcW w:w="17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Decrease due to changes in currency translation rates</w:t>
            </w:r>
          </w:p>
        </w:tc>
        <w:tc>
          <w:tcPr>
            <w:tcW w:w="20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 2023 sales on same basis as Q1 2022 currency translation rates</w:t>
            </w:r>
          </w:p>
        </w:tc>
        <w:tc>
          <w:tcPr>
            <w:tcW w:w="14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sales as reported, Q1 2022</w:t>
            </w:r>
          </w:p>
        </w:tc>
        <w:tc>
          <w:tcPr>
            <w:tcW w:w="20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Q1 2022, excluding currency rate effects</w:t>
            </w:r>
          </w:p>
        </w:tc>
      </w:tr>
      <w:tr>
        <w:trPr/>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156,690 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0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115,874</w:t>
            </w:r>
            <w:r>
              <w:rPr>
                <w:color w:val="000000"/>
              </w:rPr>
              <w:t>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117,370 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90,107 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14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0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269,096</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274,060 </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244,169 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color w:val="000000"/>
        </w:rPr>
      </w:pPr>
      <w:r>
        <w:rPr>
          <w:color w:val="000000"/>
        </w:rPr>
        <w:t>        </w:t>
      </w:r>
    </w:p>
    <w:p>
      <w:pPr>
        <w:pStyle w:val="TextBody"/>
        <w:spacing w:lineRule="auto" w:line="288" w:before="100" w:after="283"/>
        <w:ind w:left="0" w:right="0" w:firstLine="720"/>
        <w:rPr>
          <w:rFonts w:ascii="Arial;sans-serif" w:hAnsi="Arial;sans-serif"/>
          <w:b w:val="false"/>
          <w:color w:val="000000"/>
          <w:sz w:val="20"/>
        </w:rPr>
      </w:pPr>
      <w:r>
        <w:rPr>
          <w:rFonts w:ascii="Arial;sans-serif" w:hAnsi="Arial;sans-serif"/>
          <w:b w:val="false"/>
          <w:color w:val="000000"/>
          <w:sz w:val="20"/>
        </w:rPr>
        <w:t>Changes in currency translation rates had the effect of decreasing Net sales by $5.0 million, driven by the weaker Euro and Renminbi, as compared to 2022.</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Excluding the effect of changes in currency translation rates, consolidated Net sales increased 12.2%. Net sales at MC increased 1.7%, driven by higher net sales in packaging and publication grades, and AEC Net sales increased 30.3%, primarily driven by growth in CH-53K and LEAP programs. </w:t>
      </w:r>
    </w:p>
    <w:p>
      <w:pPr>
        <w:pStyle w:val="TextBody"/>
        <w:spacing w:before="120" w:after="283"/>
        <w:jc w:val="both"/>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Gross Profit</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 summarizes Gross profit by business segment:</w:t>
      </w:r>
    </w:p>
    <w:tbl>
      <w:tblPr>
        <w:tblW w:w="5735" w:type="dxa"/>
        <w:jc w:val="left"/>
        <w:tblInd w:w="0" w:type="dxa"/>
        <w:tblCellMar>
          <w:top w:w="28" w:type="dxa"/>
          <w:left w:w="28" w:type="dxa"/>
          <w:bottom w:w="28" w:type="dxa"/>
          <w:right w:w="28" w:type="dxa"/>
        </w:tblCellMar>
      </w:tblPr>
      <w:tblGrid>
        <w:gridCol w:w="1059"/>
        <w:gridCol w:w="931"/>
        <w:gridCol w:w="934"/>
        <w:gridCol w:w="222"/>
        <w:gridCol w:w="775"/>
        <w:gridCol w:w="285"/>
        <w:gridCol w:w="222"/>
        <w:gridCol w:w="759"/>
        <w:gridCol w:w="285"/>
        <w:gridCol w:w="109"/>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77,855</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21,463</w:t>
            </w:r>
            <w:r>
              <w:rPr>
                <w:color w:val="000000"/>
              </w:rPr>
              <w:t> </w:t>
            </w:r>
          </w:p>
        </w:tc>
        <w:tc>
          <w:tcPr>
            <w:tcW w:w="2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12,259 </w:t>
            </w:r>
          </w:p>
        </w:tc>
        <w:tc>
          <w:tcPr>
            <w:tcW w:w="2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99,318</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91,604 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 of Net sales</w:t>
            </w:r>
          </w:p>
        </w:tc>
        <w:tc>
          <w:tcPr>
            <w:tcW w:w="997"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36.9</w:t>
            </w:r>
            <w:r>
              <w:rPr>
                <w:color w:val="000000"/>
              </w:rPr>
              <w:t> </w:t>
            </w:r>
          </w:p>
        </w:tc>
        <w:tc>
          <w:tcPr>
            <w:tcW w:w="28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8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8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2023 Gross profit, as compared to the same period last year, was due to increased Net sales at AEC. Gross profit as a percentage of sales: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 xml:space="preserve">At MC, decreased from 51.5% in 2022 to 50.8% in 2023, due to an increase in input costs, mainly due to the inflationary environment.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 xml:space="preserve">At AEC, increased from 13.6% in 2022 to 18.5% in 2023, driven by improved absorption and the absence of a raw material reserve recorded in the prior year, offset by losses on a new program. </w:t>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Selling, Technical, General, and Research ("STG&amp;R")</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 summarizes STG&amp;R expenses by business segment:</w:t>
      </w:r>
    </w:p>
    <w:tbl>
      <w:tblPr>
        <w:tblW w:w="5735" w:type="dxa"/>
        <w:jc w:val="left"/>
        <w:tblInd w:w="0" w:type="dxa"/>
        <w:tblCellMar>
          <w:top w:w="28" w:type="dxa"/>
          <w:left w:w="28" w:type="dxa"/>
          <w:bottom w:w="28" w:type="dxa"/>
          <w:right w:w="28" w:type="dxa"/>
        </w:tblCellMar>
      </w:tblPr>
      <w:tblGrid>
        <w:gridCol w:w="1059"/>
        <w:gridCol w:w="931"/>
        <w:gridCol w:w="934"/>
        <w:gridCol w:w="222"/>
        <w:gridCol w:w="775"/>
        <w:gridCol w:w="285"/>
        <w:gridCol w:w="222"/>
        <w:gridCol w:w="759"/>
        <w:gridCol w:w="285"/>
        <w:gridCol w:w="109"/>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28,871</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12,045</w:t>
            </w:r>
            <w:r>
              <w:rPr>
                <w:color w:val="000000"/>
              </w:rPr>
              <w:t> </w:t>
            </w:r>
          </w:p>
        </w:tc>
        <w:tc>
          <w:tcPr>
            <w:tcW w:w="2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11,064 </w:t>
            </w:r>
          </w:p>
        </w:tc>
        <w:tc>
          <w:tcPr>
            <w:tcW w:w="2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17,840</w:t>
            </w: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12,055 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58,756</w:t>
            </w:r>
            <w:r>
              <w:rPr>
                <w:color w:val="000000"/>
              </w:rPr>
              <w:t> </w:t>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52,596 </w:t>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sales</w:t>
            </w:r>
          </w:p>
        </w:tc>
        <w:tc>
          <w:tcPr>
            <w:tcW w:w="99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21.8</w:t>
            </w:r>
            <w:r>
              <w:rPr>
                <w:color w:val="000000"/>
              </w:rPr>
              <w:t> </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Consolidated STG&amp;R expenses increased 11.7% as compared to 2022, but represented a fairly consistent percentage of Net Sales.</w:t>
      </w:r>
      <w:r>
        <w:rPr>
          <w:color w:val="000000"/>
        </w:rPr>
        <w:t xml:space="preserve">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MC STG&amp;R expenses remained largely in line with the prior year and improved $0.7 million as a result of changes in currency translation rates, notably the weaker Euro and Renminbi</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AEC Research expense increased related to investments in new technologies and enhanced capabilities, driving higher STG&amp;R as compared to the prior year</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Corporate STG&amp;R expenses increased principally due to higher personnel-related costs and professional fees </w:t>
      </w:r>
    </w:p>
    <w:p>
      <w:pPr>
        <w:pStyle w:val="TextBody"/>
        <w:spacing w:before="120" w:after="283"/>
        <w:ind w:left="0" w:right="0" w:firstLine="360"/>
        <w:jc w:val="both"/>
        <w:rPr/>
      </w:pPr>
      <w:r>
        <w:rPr/>
      </w:r>
    </w:p>
    <w:p>
      <w:pPr>
        <w:pStyle w:val="TextBody"/>
        <w:spacing w:lineRule="auto" w:line="288" w:before="120" w:after="283"/>
        <w:jc w:val="both"/>
        <w:rPr>
          <w:rFonts w:ascii="Arial;sans-serif" w:hAnsi="Arial;sans-serif"/>
          <w:b/>
          <w:color w:val="000000"/>
          <w:sz w:val="20"/>
        </w:rPr>
      </w:pPr>
      <w:r>
        <w:rPr>
          <w:rFonts w:ascii="Arial;sans-serif" w:hAnsi="Arial;sans-serif"/>
          <w:b/>
          <w:color w:val="000000"/>
          <w:sz w:val="20"/>
        </w:rPr>
        <w:t>Restructuring Expense, net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the items discussed above affecting Gross profit and STG&amp;R expenses, Operating income was affected by restructuring expense, net, which was insignificant in both the current and prior year, and was related primarily to the winding down of restructuring actions taken in prior periods. </w:t>
      </w:r>
    </w:p>
    <w:p>
      <w:pPr>
        <w:pStyle w:val="TextBody"/>
        <w:spacing w:before="120" w:after="283"/>
        <w:ind w:left="0" w:right="0" w:firstLine="360"/>
        <w:jc w:val="both"/>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Operating Income</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 summarizes operating income/(loss) by business segment:</w:t>
      </w:r>
    </w:p>
    <w:tbl>
      <w:tblPr>
        <w:tblW w:w="5525" w:type="dxa"/>
        <w:jc w:val="left"/>
        <w:tblInd w:w="0" w:type="dxa"/>
        <w:tblCellMar>
          <w:top w:w="28" w:type="dxa"/>
          <w:left w:w="28" w:type="dxa"/>
          <w:bottom w:w="28" w:type="dxa"/>
          <w:right w:w="28" w:type="dxa"/>
        </w:tblCellMar>
      </w:tblPr>
      <w:tblGrid>
        <w:gridCol w:w="982"/>
        <w:gridCol w:w="865"/>
        <w:gridCol w:w="867"/>
        <w:gridCol w:w="256"/>
        <w:gridCol w:w="895"/>
        <w:gridCol w:w="132"/>
        <w:gridCol w:w="256"/>
        <w:gridCol w:w="877"/>
        <w:gridCol w:w="132"/>
        <w:gridCol w:w="109"/>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48,964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9,418</w:t>
            </w: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(17,840)</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(12,085)</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40,542</w:t>
            </w:r>
            <w:r>
              <w:rPr>
                <w:color w:val="000000"/>
              </w:rPr>
              <w:t> </w:t>
            </w:r>
          </w:p>
        </w:tc>
        <w:tc>
          <w:tcPr>
            <w:tcW w:w="13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38,754 </w:t>
            </w:r>
          </w:p>
        </w:tc>
        <w:tc>
          <w:tcPr>
            <w:tcW w:w="13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20" w:after="283"/>
        <w:rPr>
          <w:rFonts w:ascii="Arial;sans-serif" w:hAnsi="Arial;sans-serif"/>
          <w:b/>
          <w:color w:val="000000"/>
          <w:sz w:val="20"/>
        </w:rPr>
      </w:pPr>
      <w:r>
        <w:rPr>
          <w:rFonts w:ascii="Arial;sans-serif" w:hAnsi="Arial;sans-serif"/>
          <w:b/>
          <w:color w:val="000000"/>
          <w:sz w:val="20"/>
        </w:rPr>
        <w:t>Other Earnings Items</w:t>
      </w:r>
    </w:p>
    <w:tbl>
      <w:tblPr>
        <w:tblW w:w="7177" w:type="dxa"/>
        <w:jc w:val="left"/>
        <w:tblInd w:w="0" w:type="dxa"/>
        <w:tblCellMar>
          <w:top w:w="28" w:type="dxa"/>
          <w:left w:w="28" w:type="dxa"/>
          <w:bottom w:w="28" w:type="dxa"/>
          <w:right w:w="28" w:type="dxa"/>
        </w:tblCellMar>
      </w:tblPr>
      <w:tblGrid>
        <w:gridCol w:w="1578"/>
        <w:gridCol w:w="1393"/>
        <w:gridCol w:w="1394"/>
        <w:gridCol w:w="285"/>
        <w:gridCol w:w="853"/>
        <w:gridCol w:w="147"/>
        <w:gridCol w:w="285"/>
        <w:gridCol w:w="832"/>
        <w:gridCol w:w="147"/>
        <w:gridCol w:w="109"/>
        <w:gridCol w:w="154"/>
      </w:tblGrid>
      <w:tr>
        <w:trPr/>
        <w:tc>
          <w:tcPr>
            <w:tcW w:w="1578"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3,290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(455)</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10,621</w:t>
            </w: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13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197</w:t>
            </w:r>
            <w:r>
              <w:rPr>
                <w:color w:val="000000"/>
              </w:rPr>
              <w:t> </w:t>
            </w:r>
          </w:p>
        </w:tc>
        <w:tc>
          <w:tcPr>
            <w:tcW w:w="14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1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4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Interest Expense, net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expense, net, decreased over the prior year as a result of higher interest earned on Cash and cash equivalents, in addition to decreased interest expense on Finance leases. See the Working Capital, Liquidity and Capital Structure section for further discussion of borrowings and interest rates.</w:t>
      </w:r>
    </w:p>
    <w:p>
      <w:pPr>
        <w:pStyle w:val="TextBody"/>
        <w:spacing w:before="120" w:after="283"/>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Other (income)/expense, net</w:t>
      </w:r>
    </w:p>
    <w:p>
      <w:pPr>
        <w:pStyle w:val="TextBody"/>
        <w:spacing w:lineRule="auto" w:line="268" w:before="120" w:after="283"/>
        <w:ind w:left="0" w:right="0" w:firstLine="360"/>
        <w:rPr>
          <w:rFonts w:ascii="Arial;sans-serif" w:hAnsi="Arial;sans-serif"/>
          <w:b w:val="false"/>
          <w:color w:val="000000"/>
          <w:sz w:val="20"/>
        </w:rPr>
      </w:pPr>
      <w:r>
        <w:rPr>
          <w:rFonts w:ascii="Arial;sans-serif" w:hAnsi="Arial;sans-serif"/>
          <w:b w:val="false"/>
          <w:color w:val="000000"/>
          <w:sz w:val="20"/>
        </w:rPr>
        <w:t>Other (income)/expense, net includes losses related to the revaluation of nonfunctional-currency balances of $0.1 million, as compared to gains of $3.7 million during 2022, driven by changes in exchange rates.</w:t>
      </w:r>
    </w:p>
    <w:p>
      <w:pPr>
        <w:pStyle w:val="TextBody"/>
        <w:spacing w:before="0" w:after="0"/>
        <w:ind w:left="0" w:right="0" w:firstLine="36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Income Tax expense/(benefit)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Company’s effective tax rate for the first quarter of 2023 was 28.2%, compared to 28.1% for the same period in 2022. The effective tax rate for the first quarter of 2023 includes the impact of certain tax planning initiatives related to future repatriation of additional earnings to the U.S. and managing overall cash tax exposure.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more information on income tax, see Note 5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Segment Results of Operations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Machine Clothing Segment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Machine Clothing is our primary business segment and accounted for 57% of our consolidated revenues during the first three months of 2023.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pStyle w:val="TextBody"/>
        <w:spacing w:before="120" w:after="283"/>
        <w:ind w:left="0" w:right="0" w:firstLine="360"/>
        <w:jc w:val="both"/>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Review of Operations</w:t>
      </w:r>
    </w:p>
    <w:tbl>
      <w:tblPr>
        <w:tblW w:w="5818" w:type="dxa"/>
        <w:jc w:val="left"/>
        <w:tblInd w:w="0" w:type="dxa"/>
        <w:tblCellMar>
          <w:top w:w="28" w:type="dxa"/>
          <w:left w:w="28" w:type="dxa"/>
          <w:bottom w:w="28" w:type="dxa"/>
          <w:right w:w="28" w:type="dxa"/>
        </w:tblCellMar>
      </w:tblPr>
      <w:tblGrid>
        <w:gridCol w:w="1059"/>
        <w:gridCol w:w="931"/>
        <w:gridCol w:w="934"/>
        <w:gridCol w:w="211"/>
        <w:gridCol w:w="841"/>
        <w:gridCol w:w="271"/>
        <w:gridCol w:w="211"/>
        <w:gridCol w:w="826"/>
        <w:gridCol w:w="271"/>
        <w:gridCol w:w="109"/>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153,222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77,855</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sales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50.8</w:t>
            </w: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STG&amp;R expenses</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28,871</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29,477 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48,964</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49,644 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color w:val="000000"/>
          <w:sz w:val="20"/>
        </w:rPr>
      </w:pPr>
      <w:r>
        <w:rPr>
          <w:rFonts w:ascii="Arial;sans-serif" w:hAnsi="Arial;sans-serif"/>
          <w:b/>
          <w:color w:val="000000"/>
          <w:sz w:val="20"/>
        </w:rPr>
        <w:t>Net Sales</w:t>
      </w:r>
    </w:p>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20"/>
        </w:rPr>
      </w:pPr>
      <w:r>
        <w:rPr>
          <w:rFonts w:ascii="Arial;sans-serif" w:hAnsi="Arial;sans-serif"/>
          <w:b w:val="false"/>
          <w:color w:val="000000"/>
          <w:sz w:val="20"/>
        </w:rPr>
        <w:t>Changes in currency translation rates, driven by a weaker Euro and Renminbi, decreased 2023 net sales by $3.5 million compared to 2022. Excluding the effect of changes in currency translation rates, Net sales in MC increased 1.7% compared to 2022, driven by higher net sales in packaging and publication grades.</w:t>
      </w: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Gross Profit</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decrease in MC Gross profit was driven by higher input costs. This had the effect of decreasing Gross margin from 51.5% in 2022 to 50.8% in 2023. </w:t>
      </w:r>
    </w:p>
    <w:p>
      <w:pPr>
        <w:pStyle w:val="TextBody"/>
        <w:spacing w:before="120" w:after="283"/>
        <w:jc w:val="both"/>
        <w:rPr/>
      </w:pPr>
      <w:r>
        <w:rPr/>
      </w:r>
    </w:p>
    <w:p>
      <w:pPr>
        <w:pStyle w:val="TextBody"/>
        <w:spacing w:lineRule="auto" w:line="288" w:before="120" w:after="283"/>
        <w:jc w:val="both"/>
        <w:rPr>
          <w:rFonts w:ascii="Arial;sans-serif" w:hAnsi="Arial;sans-serif"/>
          <w:b/>
          <w:color w:val="000000"/>
          <w:sz w:val="20"/>
        </w:rPr>
      </w:pPr>
      <w:r>
        <w:rPr>
          <w:rFonts w:ascii="Arial;sans-serif" w:hAnsi="Arial;sans-serif"/>
          <w:b/>
          <w:color w:val="000000"/>
          <w:sz w:val="20"/>
        </w:rPr>
        <w:t>Operating Income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decrease in Operating income was principally due to the decrease in Gross profit noted above, offset partially by lower STG&amp;R expenses, reflecting the benefit from changes in currency translation rates. </w:t>
      </w:r>
    </w:p>
    <w:p>
      <w:pPr>
        <w:pStyle w:val="TextBody"/>
        <w:spacing w:before="120" w:after="283"/>
        <w:ind w:left="0" w:right="0" w:firstLine="720"/>
        <w:jc w:val="both"/>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Albany Engineered Composites ("AEC") Segment</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The AEC segment provides highly engineered, advanced composite structures to customers in the commercial and defense aerospace industries. The segment includes Albany Safran Composites, LLC (“ASC”), in which our customer, SAFRAN Group, owns a 10 percent noncontrolling interest.</w:t>
      </w:r>
      <w:r>
        <w:rPr>
          <w:color w:val="000000"/>
        </w:rPr>
        <w:t xml:space="preserve"> </w:t>
      </w:r>
      <w:r>
        <w:rPr>
          <w:rFonts w:ascii="Arial;sans-serif" w:hAnsi="Arial;sans-serif"/>
          <w:b w:val="false"/>
          <w:color w:val="000000"/>
          <w:sz w:val="20"/>
        </w:rPr>
        <w:t xml:space="preserve">AEC, through ASC, is the exclusive supplier to the LEAP program of advanced composite fan blades and fan cases under a long-term supply contract. The LEAP engine is used on the Airbus A320neo, Boeing 737 MAX, and COMAC 919 aircraft. Other significant programs by AEC include the Sikorsky CH-53K, F-35, JASSM, and Boeing 787 programs. AEC also supplies vacuum waste tanks for the Boeing 7-Series programs, and specialty components for the Rolls Royce lift fan on the F-35, as well as the fan case for the GE9X engine.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before="120" w:after="283"/>
        <w:ind w:left="0" w:right="0" w:firstLine="360"/>
        <w:jc w:val="both"/>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Review of Operations</w:t>
      </w:r>
    </w:p>
    <w:tbl>
      <w:tblPr>
        <w:tblW w:w="5736" w:type="dxa"/>
        <w:jc w:val="left"/>
        <w:tblInd w:w="0" w:type="dxa"/>
        <w:tblCellMar>
          <w:top w:w="28" w:type="dxa"/>
          <w:left w:w="28" w:type="dxa"/>
          <w:bottom w:w="28" w:type="dxa"/>
          <w:right w:w="28" w:type="dxa"/>
        </w:tblCellMar>
      </w:tblPr>
      <w:tblGrid>
        <w:gridCol w:w="1059"/>
        <w:gridCol w:w="931"/>
        <w:gridCol w:w="934"/>
        <w:gridCol w:w="213"/>
        <w:gridCol w:w="849"/>
        <w:gridCol w:w="273"/>
        <w:gridCol w:w="213"/>
        <w:gridCol w:w="728"/>
        <w:gridCol w:w="273"/>
        <w:gridCol w:w="109"/>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115,874</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21,463</w:t>
            </w: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12,259 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sales</w:t>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18.5</w:t>
            </w:r>
            <w:r>
              <w:rPr>
                <w:color w:val="000000"/>
              </w:rPr>
              <w:t> </w:t>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STG&amp;R expenses</w:t>
            </w:r>
          </w:p>
        </w:tc>
        <w:tc>
          <w:tcPr>
            <w:tcW w:w="1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12,045</w:t>
            </w: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6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9,418</w:t>
            </w:r>
            <w:r>
              <w:rPr>
                <w:color w:val="000000"/>
              </w:rPr>
              <w:t> </w:t>
            </w:r>
          </w:p>
        </w:tc>
        <w:tc>
          <w:tcPr>
            <w:tcW w:w="273"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4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273"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Net Sales</w:t>
      </w:r>
    </w:p>
    <w:p>
      <w:pPr>
        <w:pStyle w:val="TextBody"/>
        <w:spacing w:before="0" w:after="0"/>
        <w:ind w:left="0" w:right="0" w:firstLine="720"/>
        <w:rPr/>
      </w:pPr>
      <w:r>
        <w:rPr/>
      </w:r>
    </w:p>
    <w:p>
      <w:pPr>
        <w:pStyle w:val="TextBody"/>
        <w:spacing w:lineRule="auto" w:line="268" w:before="0" w:after="0"/>
        <w:ind w:left="0" w:right="0" w:firstLine="720"/>
        <w:rPr>
          <w:rFonts w:ascii="Arial;sans-serif" w:hAnsi="Arial;sans-serif"/>
          <w:b w:val="false"/>
          <w:color w:val="000000"/>
          <w:sz w:val="20"/>
        </w:rPr>
      </w:pPr>
      <w:r>
        <w:rPr>
          <w:rFonts w:ascii="Arial;sans-serif" w:hAnsi="Arial;sans-serif"/>
          <w:b w:val="false"/>
          <w:color w:val="000000"/>
          <w:sz w:val="20"/>
        </w:rPr>
        <w:t>Net sales increased 28.6% compared to prior year, driven by growth in CH-53K and LEAP programs. Excluding the effect of changes in currency translation rates, the increase in Net sales was 30.3%.</w:t>
      </w:r>
    </w:p>
    <w:p>
      <w:pPr>
        <w:pStyle w:val="TextBody"/>
        <w:spacing w:before="120" w:after="283"/>
        <w:ind w:left="0" w:right="0" w:firstLine="360"/>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has contracts with certain customers, including its contract for the LEAP program, where revenue is determined by a cost-plus-fee agreement. Revenue earned under these arrangements accounted for approximately 40 percent of segment revenue for the first three months of 2023 and 2022.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Gross Profit</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increase in Gross profit was primarily due to increased Net Sales, driven by growth on CH-53K and LEAP programs. Gross profit as a percentage of sales increased from 13.6% in 2022 to 18.5% in 2023, driven by improved absorption and the absence of a raw material reserve recorded in the prior year, offset by losses on a new program. </w:t>
      </w: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Operating Income</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Operating income increased year over year, principally due to higher Net sales and Gross profit, as described above, partially offset by an increase in Research expenses related to investments in new technologies and enhanced capabilities.</w:t>
      </w:r>
    </w:p>
    <w:p>
      <w:pPr>
        <w:pStyle w:val="TextBody"/>
        <w:spacing w:before="120" w:after="283"/>
        <w:ind w:left="0" w:right="0" w:firstLine="360"/>
        <w:jc w:val="both"/>
        <w:rPr/>
      </w:pPr>
      <w:r>
        <w:rPr/>
      </w:r>
    </w:p>
    <w:p>
      <w:pPr>
        <w:pStyle w:val="TextBody"/>
        <w:spacing w:before="1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spacing w:lineRule="auto" w:line="268" w:before="200" w:after="283"/>
        <w:rPr>
          <w:rFonts w:ascii="Arial;sans-serif" w:hAnsi="Arial;sans-serif"/>
          <w:b/>
          <w:i/>
          <w:color w:val="000000"/>
          <w:sz w:val="20"/>
        </w:rPr>
      </w:pPr>
      <w:r>
        <w:rPr>
          <w:rFonts w:ascii="Arial;sans-serif" w:hAnsi="Arial;sans-serif"/>
          <w:b/>
          <w:i/>
          <w:color w:val="000000"/>
          <w:sz w:val="20"/>
        </w:rPr>
        <w:t>Cash Flow Summary</w:t>
      </w:r>
    </w:p>
    <w:tbl>
      <w:tblPr>
        <w:tblW w:w="7796" w:type="dxa"/>
        <w:jc w:val="left"/>
        <w:tblInd w:w="0" w:type="dxa"/>
        <w:tblCellMar>
          <w:top w:w="28" w:type="dxa"/>
          <w:left w:w="28" w:type="dxa"/>
          <w:bottom w:w="28" w:type="dxa"/>
          <w:right w:w="28" w:type="dxa"/>
        </w:tblCellMar>
      </w:tblPr>
      <w:tblGrid>
        <w:gridCol w:w="1882"/>
        <w:gridCol w:w="1659"/>
        <w:gridCol w:w="1663"/>
        <w:gridCol w:w="232"/>
        <w:gridCol w:w="928"/>
        <w:gridCol w:w="120"/>
        <w:gridCol w:w="232"/>
        <w:gridCol w:w="911"/>
        <w:gridCol w:w="169"/>
      </w:tblGrid>
      <w:tr>
        <w:trPr/>
        <w:tc>
          <w:tcPr>
            <w:tcW w:w="1882"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27,086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17,367</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(48,388)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11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(880)</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(11,578)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11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(16,393)</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(5,391)</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(16,275)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1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41,086</w:t>
            </w: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26,875 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4,064</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in cash and cash equivalents</w:t>
            </w:r>
          </w:p>
        </w:tc>
        <w:tc>
          <w:tcPr>
            <w:tcW w:w="11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12,482</w:t>
            </w:r>
            <w:r>
              <w:rPr>
                <w:color w:val="000000"/>
              </w:rPr>
              <w:t>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5,379 </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291,776</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302,036 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3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304,258</w:t>
            </w:r>
            <w:r>
              <w:rPr>
                <w:color w:val="000000"/>
              </w:rPr>
              <w:t> </w:t>
            </w:r>
          </w:p>
        </w:tc>
        <w:tc>
          <w:tcPr>
            <w:tcW w:w="12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307,415 </w:t>
            </w:r>
          </w:p>
        </w:tc>
        <w:tc>
          <w:tcPr>
            <w:tcW w:w="16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was $16.4 million in 2023, compared to $5.4 million in the same period last year. Such increase was primarily due to AEC's investment in working capital, as we continue to execute on the expanded CH-53K scope of work and build-up inventory to position ourselves for ongoing demand on the LEAP program.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We deploy our cash with a focus on investing in our business and new technologies to provide our customers with enhanced capabilities, increase shareholder value, and position ourselves to take advantage of new business opportunities as they arise.</w:t>
      </w:r>
      <w:r>
        <w:rPr>
          <w:color w:val="000000"/>
        </w:rPr>
        <w:t xml:space="preserve"> </w:t>
      </w:r>
      <w:r>
        <w:rPr>
          <w:rFonts w:ascii="Arial;sans-serif" w:hAnsi="Arial;sans-serif"/>
          <w:b w:val="false"/>
          <w:color w:val="000000"/>
          <w:sz w:val="20"/>
        </w:rPr>
        <w:t>Based on such strategy, we have continued to invest in our business and technologies through capital expenditures, research and development, and when appropriate, selective business acquisitions. Our capital expenditures totaled $16.3 million and $15.8 million for the first three months of 2023 and 2022, respectively, comprised of both sustaining and return seeking projects.</w:t>
      </w:r>
      <w:r>
        <w:rPr>
          <w:color w:val="000000"/>
        </w:rPr>
        <w:t xml:space="preserve"> </w:t>
      </w:r>
      <w:r>
        <w:rPr>
          <w:rFonts w:ascii="Arial;sans-serif" w:hAnsi="Arial;sans-serif"/>
          <w:b w:val="false"/>
          <w:color w:val="000000"/>
          <w:sz w:val="20"/>
        </w:rPr>
        <w:t>In the recent past, a portion of our capital expenditures consisted of investments to improve operational productivity, in addition to producing a meaningful impact on energy and resource efficiency.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during 2023 was $41.1 million compared to $26.9 million in 2022, driven by the absence of Treasury share purchases in the current year, which resulted in lower borrowings from the revolving credit facility, as compared to the prior year. </w:t>
      </w:r>
    </w:p>
    <w:p>
      <w:pPr>
        <w:pStyle w:val="TextBody"/>
        <w:spacing w:before="120" w:after="283"/>
        <w:ind w:left="0" w:right="0" w:firstLine="360"/>
        <w:jc w:val="both"/>
        <w:rPr/>
      </w:pPr>
      <w:r>
        <w:rPr/>
      </w:r>
    </w:p>
    <w:p>
      <w:pPr>
        <w:pStyle w:val="TextBody"/>
        <w:spacing w:lineRule="auto" w:line="268" w:before="0" w:after="0"/>
        <w:ind w:left="0" w:right="0" w:firstLine="360"/>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spacing w:before="0" w:after="0"/>
        <w:ind w:left="0" w:right="0" w:firstLine="450"/>
        <w:rPr/>
      </w:pPr>
      <w:r>
        <w:rPr/>
      </w:r>
    </w:p>
    <w:p>
      <w:pPr>
        <w:pStyle w:val="TextBody"/>
        <w:spacing w:lineRule="auto" w:line="288" w:before="0" w:after="0"/>
        <w:ind w:left="0" w:right="0" w:firstLine="450"/>
        <w:rPr>
          <w:rFonts w:ascii="Arial;sans-serif" w:hAnsi="Arial;sans-serif"/>
          <w:b w:val="false"/>
          <w:color w:val="000000"/>
          <w:sz w:val="20"/>
        </w:rPr>
      </w:pPr>
      <w:r>
        <w:rPr>
          <w:rFonts w:ascii="Arial;sans-serif" w:hAnsi="Arial;sans-serif"/>
          <w:b w:val="false"/>
          <w:color w:val="000000"/>
          <w:sz w:val="20"/>
        </w:rPr>
        <w:t xml:space="preserve">We finance our business activities principally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 </w:t>
      </w:r>
    </w:p>
    <w:p>
      <w:pPr>
        <w:pStyle w:val="TextBody"/>
        <w:spacing w:before="0" w:after="0"/>
        <w:ind w:left="0" w:right="0" w:firstLine="450"/>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Under our $700 million unsecured Credit Agreement, $491.0 million of borrowings were outstanding as of March 31, 2023. As of March 31, 2023, we had cash and cash equivalents of $304 million and availability under our Credit Agreement of $209 million, for a total liquidity of approximately $513 million. We believe cash flows from operations and the availability of funds under our Credit Agreement will be adequate to cover our operations and business needs over the next twelve months. For more information on the revolving credit agreement, see Note 13 to the Consolidated Financial Statements.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 xml:space="preserve">As of March 31, 2023, $273 million of our total cash and cash equivalents was held by non-U.S. subsidiaries. The accumulated undistributed earnings of the Company’s foreign operations not targeted for repatriation to the U.S. were in excess of $201 </w:t>
      </w:r>
      <w:r>
        <w:rPr>
          <w:rFonts w:ascii="Arial;sans-serif" w:hAnsi="Arial;sans-serif"/>
          <w:b w:val="false"/>
          <w:color w:val="000000"/>
          <w:sz w:val="20"/>
          <w:highlight w:val="white"/>
        </w:rPr>
        <w:t>m</w:t>
      </w:r>
      <w:r>
        <w:rPr>
          <w:rFonts w:ascii="Arial;sans-serif" w:hAnsi="Arial;sans-serif"/>
          <w:b w:val="false"/>
          <w:color w:val="000000"/>
          <w:sz w:val="20"/>
        </w:rPr>
        <w:t xml:space="preserve">illion at March 31, 2023,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can be no assurance that we will be able to cost effectively repatriate funds in the future. Repatriating such cash from certain jurisdictions may also result in additional withholding taxes.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also returned cash to shareholders through dividends and share repurchases. During the first three months of 2023, we paid $7.8 million in dividends.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Off-Balance Sheet Arrangements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2023, we have no off-balance sheet arrangements required to be disclosed pursuant to Item 303(a)(4)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Non-GAAP Measures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This Form 10-Q contains certain non-GAAP measures that should not be considered in isolation or as a substitute for the related GAAP measures. Such non-GAAP measures include net sales and percent change in net sales, excluding the impact of currency translation effects; EBITDA, Adjusted EBITDA, and Adjusted EBITDA margin; Net debt; Net leverage ratio; and Adjusted earnings per share (or Adjusted EPS). Management believes that these non-GAAP measures provide additional useful information to investors regarding the Company’s operational performance.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Presenting Net sales and change in Net sales, after currency effects are excluded, provides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sales.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defines Adjusted EPS as basic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Adjusted EBITDA, Adjusted EBITDA margin, and Adjusted EPS may not be comparable to similarly titled measures of other companies.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debt aids investors in understanding the Company’s debt position if all available cash were applied to pay down indebtedness.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leverage ratio informs the investors of the Company's financial leverage at the end of the reporting period, providing an indicator of the Company's ability to repay its debt. </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encourage investors to review our financial statements and publicly-filed reports in their entirety and not to rely on any single financial measure.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tables show the calculation of EBITDA and Adjusted EBITDA:</w:t>
      </w:r>
    </w:p>
    <w:tbl>
      <w:tblPr>
        <w:tblW w:w="10205" w:type="dxa"/>
        <w:jc w:val="left"/>
        <w:tblInd w:w="0" w:type="dxa"/>
        <w:tblCellMar>
          <w:top w:w="28" w:type="dxa"/>
          <w:left w:w="28" w:type="dxa"/>
          <w:bottom w:w="28" w:type="dxa"/>
          <w:right w:w="28" w:type="dxa"/>
        </w:tblCellMar>
      </w:tblPr>
      <w:tblGrid>
        <w:gridCol w:w="1501"/>
        <w:gridCol w:w="1284"/>
        <w:gridCol w:w="1287"/>
        <w:gridCol w:w="299"/>
        <w:gridCol w:w="1046"/>
        <w:gridCol w:w="156"/>
        <w:gridCol w:w="320"/>
        <w:gridCol w:w="1119"/>
        <w:gridCol w:w="167"/>
        <w:gridCol w:w="338"/>
        <w:gridCol w:w="1182"/>
        <w:gridCol w:w="176"/>
        <w:gridCol w:w="253"/>
        <w:gridCol w:w="888"/>
        <w:gridCol w:w="189"/>
      </w:tblGrid>
      <w:tr>
        <w:trPr/>
        <w:tc>
          <w:tcPr>
            <w:tcW w:w="1501"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2023</w:t>
            </w:r>
          </w:p>
        </w:tc>
      </w:tr>
      <w:tr>
        <w:trPr/>
        <w:tc>
          <w:tcPr>
            <w:tcW w:w="4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expenses</w:t>
              <w:br/>
              <w:t>and other</w:t>
            </w:r>
          </w:p>
        </w:tc>
        <w:tc>
          <w:tcPr>
            <w:tcW w:w="1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72"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r>
      <w:tr>
        <w:trPr/>
        <w:tc>
          <w:tcPr>
            <w:tcW w:w="4072"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r>
      <w:tr>
        <w:trPr/>
        <w:tc>
          <w:tcPr>
            <w:tcW w:w="40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48,964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9,418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(31,296)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27,086</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11,664 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53,739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21,082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(16,457)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58,364</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r>
      <w:tr>
        <w:trPr/>
        <w:tc>
          <w:tcPr>
            <w:tcW w:w="4072"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r>
      <w:tr>
        <w:trPr/>
        <w:tc>
          <w:tcPr>
            <w:tcW w:w="4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Acquisition/integration costs</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Pre-tax (income) attributable to noncontrolling interest </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9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55,719</w:t>
            </w:r>
            <w:r>
              <w:rPr>
                <w:color w:val="000000"/>
              </w:rPr>
              <w:t> </w:t>
            </w:r>
          </w:p>
        </w:tc>
        <w:tc>
          <w:tcPr>
            <w:tcW w:w="15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1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21,029</w:t>
            </w:r>
            <w:r>
              <w:rPr>
                <w:color w:val="000000"/>
              </w:rPr>
              <w:t> </w:t>
            </w:r>
          </w:p>
        </w:tc>
        <w:tc>
          <w:tcPr>
            <w:tcW w:w="16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(16,397)</w:t>
            </w:r>
          </w:p>
        </w:tc>
        <w:tc>
          <w:tcPr>
            <w:tcW w:w="1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60,351</w:t>
            </w:r>
            <w:r>
              <w:rPr>
                <w:color w:val="000000"/>
              </w:rPr>
              <w:t> </w:t>
            </w:r>
          </w:p>
        </w:tc>
        <w:tc>
          <w:tcPr>
            <w:tcW w:w="18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498"/>
        <w:gridCol w:w="1285"/>
        <w:gridCol w:w="1287"/>
        <w:gridCol w:w="299"/>
        <w:gridCol w:w="1046"/>
        <w:gridCol w:w="156"/>
        <w:gridCol w:w="320"/>
        <w:gridCol w:w="1119"/>
        <w:gridCol w:w="167"/>
        <w:gridCol w:w="338"/>
        <w:gridCol w:w="1182"/>
        <w:gridCol w:w="176"/>
        <w:gridCol w:w="254"/>
        <w:gridCol w:w="890"/>
        <w:gridCol w:w="188"/>
      </w:tblGrid>
      <w:tr>
        <w:trPr/>
        <w:tc>
          <w:tcPr>
            <w:tcW w:w="1498"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16"/>
              </w:rPr>
            </w:pPr>
            <w:r>
              <w:rPr>
                <w:rFonts w:ascii="Arial;sans-serif" w:hAnsi="Arial;sans-serif"/>
                <w:b/>
                <w:color w:val="000000"/>
                <w:sz w:val="16"/>
              </w:rPr>
              <w:t>Three months ended March 31, 2022</w:t>
            </w:r>
          </w:p>
        </w:tc>
      </w:tr>
      <w:tr>
        <w:trPr/>
        <w:tc>
          <w:tcPr>
            <w:tcW w:w="4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expenses</w:t>
              <w:br/>
              <w:t>and other</w:t>
            </w:r>
          </w:p>
        </w:tc>
        <w:tc>
          <w:tcPr>
            <w:tcW w:w="13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70"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2" w:type="dxa"/>
            <w:gridSpan w:val="3"/>
            <w:tcBorders/>
            <w:shd w:fill="auto" w:val="clear"/>
            <w:vAlign w:val="center"/>
          </w:tcPr>
          <w:p>
            <w:pPr>
              <w:pStyle w:val="TableContents"/>
              <w:spacing w:before="0" w:after="283"/>
              <w:rPr>
                <w:sz w:val="4"/>
                <w:szCs w:val="4"/>
              </w:rPr>
            </w:pPr>
            <w:r>
              <w:rPr>
                <w:sz w:val="4"/>
                <w:szCs w:val="4"/>
              </w:rPr>
            </w:r>
          </w:p>
        </w:tc>
      </w:tr>
      <w:tr>
        <w:trPr/>
        <w:tc>
          <w:tcPr>
            <w:tcW w:w="4070"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1332" w:type="dxa"/>
            <w:gridSpan w:val="3"/>
            <w:tcBorders/>
            <w:shd w:fill="auto" w:val="clear"/>
            <w:vAlign w:val="center"/>
          </w:tcPr>
          <w:p>
            <w:pPr>
              <w:pStyle w:val="TableContents"/>
              <w:spacing w:before="0" w:after="283"/>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49,644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1,195</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(22,764)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28,075</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54,567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13,234</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(7,357)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60,444</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Dissolution of business relationships in Russia</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Acquisition/integration costs</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(income) attributable to noncontrolling interest</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57,654</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13,687</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(10,305)</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61,036</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80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56"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discloses certain income and expense items on a per-share basis. The Company believes that such disclosures provide important insights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tables show the earnings per share effect of certain income and expense items:</w:t>
      </w:r>
    </w:p>
    <w:tbl>
      <w:tblPr>
        <w:tblW w:w="6996" w:type="dxa"/>
        <w:jc w:val="left"/>
        <w:tblInd w:w="0" w:type="dxa"/>
        <w:tblCellMar>
          <w:top w:w="28" w:type="dxa"/>
          <w:left w:w="28" w:type="dxa"/>
          <w:bottom w:w="28" w:type="dxa"/>
          <w:right w:w="28" w:type="dxa"/>
        </w:tblCellMar>
      </w:tblPr>
      <w:tblGrid>
        <w:gridCol w:w="1419"/>
        <w:gridCol w:w="1246"/>
        <w:gridCol w:w="1250"/>
        <w:gridCol w:w="260"/>
        <w:gridCol w:w="445"/>
        <w:gridCol w:w="136"/>
        <w:gridCol w:w="211"/>
        <w:gridCol w:w="256"/>
        <w:gridCol w:w="109"/>
        <w:gridCol w:w="241"/>
        <w:gridCol w:w="414"/>
        <w:gridCol w:w="125"/>
        <w:gridCol w:w="213"/>
        <w:gridCol w:w="516"/>
        <w:gridCol w:w="155"/>
      </w:tblGrid>
      <w:tr>
        <w:trPr/>
        <w:tc>
          <w:tcPr>
            <w:tcW w:w="141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2023</w:t>
              <w:br/>
              <w:t>(in thousands, except per share amounts)</w:t>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Pre tax</w:t>
              <w:br/>
              <w:t>Amounts</w:t>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Tax</w:t>
              <w:br/>
              <w:t>Effect</w:t>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After tax</w:t>
              <w:br/>
              <w:t>Effect</w:t>
            </w:r>
          </w:p>
        </w:tc>
        <w:tc>
          <w:tcPr>
            <w:tcW w:w="8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share</w:t>
              <w:br/>
              <w:t>Effect</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7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Acquisition/integration costs</w:t>
            </w:r>
          </w:p>
        </w:tc>
        <w:tc>
          <w:tcPr>
            <w:tcW w:w="70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6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5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29"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tbl>
      <w:tblPr>
        <w:tblW w:w="7120" w:type="dxa"/>
        <w:jc w:val="left"/>
        <w:tblInd w:w="0" w:type="dxa"/>
        <w:tblCellMar>
          <w:top w:w="28" w:type="dxa"/>
          <w:left w:w="28" w:type="dxa"/>
          <w:bottom w:w="28" w:type="dxa"/>
          <w:right w:w="28" w:type="dxa"/>
        </w:tblCellMar>
      </w:tblPr>
      <w:tblGrid>
        <w:gridCol w:w="1419"/>
        <w:gridCol w:w="1246"/>
        <w:gridCol w:w="1250"/>
        <w:gridCol w:w="225"/>
        <w:gridCol w:w="498"/>
        <w:gridCol w:w="118"/>
        <w:gridCol w:w="211"/>
        <w:gridCol w:w="361"/>
        <w:gridCol w:w="109"/>
        <w:gridCol w:w="215"/>
        <w:gridCol w:w="475"/>
        <w:gridCol w:w="109"/>
        <w:gridCol w:w="213"/>
        <w:gridCol w:w="516"/>
        <w:gridCol w:w="155"/>
      </w:tblGrid>
      <w:tr>
        <w:trPr/>
        <w:tc>
          <w:tcPr>
            <w:tcW w:w="141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2022</w:t>
              <w:br/>
              <w:t>(in thousands, except per share amounts)</w:t>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Pre tax</w:t>
              <w:br/>
              <w:t>Amounts</w:t>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Tax</w:t>
              <w:br/>
              <w:t>Effect</w:t>
            </w:r>
          </w:p>
        </w:tc>
        <w:tc>
          <w:tcPr>
            <w:tcW w:w="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After tax</w:t>
              <w:br/>
              <w:t>Effect</w:t>
            </w:r>
          </w:p>
        </w:tc>
        <w:tc>
          <w:tcPr>
            <w:tcW w:w="8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share</w:t>
              <w:br/>
              <w:t>Effect</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7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Dissolution of business relationships in Russia</w:t>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Acquisition/integration costs</w:t>
            </w:r>
          </w:p>
        </w:tc>
        <w:tc>
          <w:tcPr>
            <w:tcW w:w="723"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90"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29"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contains the calculation of Adjusted EPS:</w:t>
      </w:r>
    </w:p>
    <w:tbl>
      <w:tblPr>
        <w:tblW w:w="6724" w:type="dxa"/>
        <w:jc w:val="left"/>
        <w:tblInd w:w="0" w:type="dxa"/>
        <w:tblCellMar>
          <w:top w:w="28" w:type="dxa"/>
          <w:left w:w="28" w:type="dxa"/>
          <w:bottom w:w="28" w:type="dxa"/>
          <w:right w:w="28" w:type="dxa"/>
        </w:tblCellMar>
      </w:tblPr>
      <w:tblGrid>
        <w:gridCol w:w="1417"/>
        <w:gridCol w:w="1246"/>
        <w:gridCol w:w="1251"/>
        <w:gridCol w:w="320"/>
        <w:gridCol w:w="800"/>
        <w:gridCol w:w="165"/>
        <w:gridCol w:w="320"/>
        <w:gridCol w:w="777"/>
        <w:gridCol w:w="165"/>
        <w:gridCol w:w="109"/>
        <w:gridCol w:w="154"/>
      </w:tblGrid>
      <w:tr>
        <w:trPr/>
        <w:tc>
          <w:tcPr>
            <w:tcW w:w="141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Per share amounts (Basic)</w:t>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(GAAP)</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0.86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after tax:</w:t>
            </w:r>
          </w:p>
        </w:tc>
        <w:tc>
          <w:tcPr>
            <w:tcW w:w="1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0.04</w:t>
            </w: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Dissolution of business relationships in Russia</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integration costs</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0.01</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Earnings per share (non-GAAP)</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0.91</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56"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(a) Foreign currency revaluation (gains)/losses represent unrealized gains and losses arising from the remeasurement of monetary assets and liabilities denominated in non-functional currencies on the balance sheet date.</w:t>
      </w:r>
    </w:p>
    <w:p>
      <w:pPr>
        <w:pStyle w:val="TextBody"/>
        <w:spacing w:before="120" w:after="283"/>
        <w:ind w:left="0" w:right="0" w:firstLine="360"/>
        <w:jc w:val="both"/>
        <w:rPr/>
      </w:pPr>
      <w:r>
        <w:rPr/>
      </w:r>
    </w:p>
    <w:p>
      <w:pPr>
        <w:pStyle w:val="TextBody"/>
        <w:spacing w:lineRule="auto" w:line="256"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The following table contains the calculation of net debt:</w:t>
      </w:r>
    </w:p>
    <w:tbl>
      <w:tblPr>
        <w:tblW w:w="7247" w:type="dxa"/>
        <w:jc w:val="left"/>
        <w:tblInd w:w="0" w:type="dxa"/>
        <w:tblCellMar>
          <w:top w:w="28" w:type="dxa"/>
          <w:left w:w="28" w:type="dxa"/>
          <w:bottom w:w="28" w:type="dxa"/>
          <w:right w:w="28" w:type="dxa"/>
        </w:tblCellMar>
      </w:tblPr>
      <w:tblGrid>
        <w:gridCol w:w="1084"/>
        <w:gridCol w:w="956"/>
        <w:gridCol w:w="959"/>
        <w:gridCol w:w="229"/>
        <w:gridCol w:w="913"/>
        <w:gridCol w:w="118"/>
        <w:gridCol w:w="286"/>
        <w:gridCol w:w="1141"/>
        <w:gridCol w:w="147"/>
        <w:gridCol w:w="229"/>
        <w:gridCol w:w="913"/>
        <w:gridCol w:w="118"/>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15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c>
          <w:tcPr>
            <w:tcW w:w="12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Long-term debt</w:t>
            </w:r>
          </w:p>
        </w:tc>
        <w:tc>
          <w:tcPr>
            <w:tcW w:w="11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491,000 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439,000 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427,000 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debt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491,000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439,000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427,000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1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304,258 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291,776 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307,415 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debt (non GAAP)</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186,742</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147,224</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119,585</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 </w:t>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TextBody"/>
        <w:spacing w:before="120" w:after="283"/>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76"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calculation of net leverage ratio as of March 31, 2023 is as follows:</w:t>
      </w:r>
    </w:p>
    <w:p>
      <w:pPr>
        <w:pStyle w:val="TextBody"/>
        <w:spacing w:before="120" w:after="283"/>
        <w:ind w:left="0" w:right="0" w:firstLine="720"/>
        <w:jc w:val="both"/>
        <w:rPr/>
      </w:pPr>
      <w:r>
        <w:rPr/>
      </w:r>
    </w:p>
    <w:tbl>
      <w:tblPr>
        <w:tblW w:w="10205" w:type="dxa"/>
        <w:jc w:val="left"/>
        <w:tblInd w:w="0" w:type="dxa"/>
        <w:tblCellMar>
          <w:top w:w="28" w:type="dxa"/>
          <w:left w:w="28" w:type="dxa"/>
          <w:bottom w:w="28" w:type="dxa"/>
          <w:right w:w="28" w:type="dxa"/>
        </w:tblCellMar>
      </w:tblPr>
      <w:tblGrid>
        <w:gridCol w:w="1330"/>
        <w:gridCol w:w="1096"/>
        <w:gridCol w:w="1100"/>
        <w:gridCol w:w="318"/>
        <w:gridCol w:w="1271"/>
        <w:gridCol w:w="164"/>
        <w:gridCol w:w="260"/>
        <w:gridCol w:w="909"/>
        <w:gridCol w:w="134"/>
        <w:gridCol w:w="260"/>
        <w:gridCol w:w="909"/>
        <w:gridCol w:w="134"/>
        <w:gridCol w:w="405"/>
        <w:gridCol w:w="1615"/>
        <w:gridCol w:w="300"/>
      </w:tblGrid>
      <w:tr>
        <w:trPr/>
        <w:tc>
          <w:tcPr>
            <w:tcW w:w="133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Company</w:t>
            </w:r>
          </w:p>
        </w:tc>
      </w:tr>
      <w:tr>
        <w:trPr/>
        <w:tc>
          <w:tcPr>
            <w:tcW w:w="3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Twelve months ended </w:t>
            </w:r>
          </w:p>
        </w:tc>
        <w:tc>
          <w:tcPr>
            <w:tcW w:w="260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2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Trailing twelve months ended</w:t>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7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2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 (non-GAAP) (b)</w:t>
            </w:r>
          </w:p>
        </w:tc>
      </w:tr>
      <w:tr>
        <w:trPr/>
        <w:tc>
          <w:tcPr>
            <w:tcW w:w="3526"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2320" w:type="dxa"/>
            <w:gridSpan w:val="3"/>
            <w:tcBorders/>
            <w:shd w:fill="auto" w:val="clear"/>
            <w:vAlign w:val="center"/>
          </w:tcPr>
          <w:p>
            <w:pPr>
              <w:pStyle w:val="TableContents"/>
              <w:spacing w:before="0" w:after="283"/>
              <w:rPr>
                <w:sz w:val="4"/>
                <w:szCs w:val="4"/>
              </w:rPr>
            </w:pPr>
            <w:r>
              <w:rPr>
                <w:sz w:val="4"/>
                <w:szCs w:val="4"/>
              </w:rPr>
            </w:r>
          </w:p>
        </w:tc>
      </w:tr>
      <w:tr>
        <w:trPr/>
        <w:tc>
          <w:tcPr>
            <w:tcW w:w="3526"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2320" w:type="dxa"/>
            <w:gridSpan w:val="3"/>
            <w:tcBorders/>
            <w:shd w:fill="auto" w:val="clear"/>
            <w:vAlign w:val="center"/>
          </w:tcPr>
          <w:p>
            <w:pPr>
              <w:pStyle w:val="TableContents"/>
              <w:spacing w:before="0" w:after="283"/>
              <w:rPr>
                <w:sz w:val="4"/>
                <w:szCs w:val="4"/>
              </w:rPr>
            </w:pPr>
            <w:r>
              <w:rPr>
                <w:sz w:val="4"/>
                <w:szCs w:val="4"/>
              </w:rPr>
            </w:r>
          </w:p>
        </w:tc>
      </w:tr>
      <w:tr>
        <w:trPr/>
        <w:tc>
          <w:tcPr>
            <w:tcW w:w="3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96,508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28,075</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27,086</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95,519</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5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13,681 </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35,095 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5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69,049 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68,654 </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5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215,029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60,444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58,364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212,949</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5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 (a)</w:t>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(5,682)</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Dissolution of business relationships in Russia</w:t>
            </w:r>
          </w:p>
        </w:tc>
        <w:tc>
          <w:tcPr>
            <w:tcW w:w="15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settlement expense</w:t>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49,128 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49,128 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IP address sales</w:t>
            </w:r>
          </w:p>
        </w:tc>
        <w:tc>
          <w:tcPr>
            <w:tcW w:w="15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Acquisition/integration costs</w:t>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Pre-tax (income) attributable to noncontrolling interest</w:t>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253,529</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61,036</w:t>
            </w: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60,351</w:t>
            </w: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252,844</w:t>
            </w:r>
            <w:r>
              <w:rPr>
                <w:color w:val="000000"/>
              </w:rPr>
              <w:t> </w:t>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5893" w:type="dxa"/>
        <w:jc w:val="left"/>
        <w:tblInd w:w="0" w:type="dxa"/>
        <w:tblCellMar>
          <w:top w:w="28" w:type="dxa"/>
          <w:left w:w="28" w:type="dxa"/>
          <w:bottom w:w="28" w:type="dxa"/>
          <w:right w:w="28" w:type="dxa"/>
        </w:tblCellMar>
      </w:tblPr>
      <w:tblGrid>
        <w:gridCol w:w="1607"/>
        <w:gridCol w:w="1412"/>
        <w:gridCol w:w="1420"/>
        <w:gridCol w:w="425"/>
        <w:gridCol w:w="425"/>
        <w:gridCol w:w="604"/>
      </w:tblGrid>
      <w:tr>
        <w:trPr/>
        <w:tc>
          <w:tcPr>
            <w:tcW w:w="1607"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net leverage ratio)</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(non-GAAP)</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186,742 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 twelve months Adjusted EBITDA (non-GAAP)</w:t>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252,844 </w:t>
            </w:r>
          </w:p>
        </w:tc>
        <w:tc>
          <w:tcPr>
            <w:tcW w:w="6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leverage ratio (non-GAAP)</w:t>
            </w:r>
          </w:p>
        </w:tc>
        <w:tc>
          <w:tcPr>
            <w:tcW w:w="8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0.74</w:t>
            </w:r>
            <w:r>
              <w:rPr>
                <w:color w:val="000000"/>
              </w:rPr>
              <w:t> </w:t>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2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 Calculated as amounts incurred during the twelve months ended December 31, 2022, less those incurred during the three months ended March 31, 2022, plus those incurred during the three months ended March 31, 2023.</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discussion of our exposure to market risk, refer to “Quantitative and Qualitative Disclosures about Market Risk”, which is included as an exhibit to this Form 10-Q.</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jc w:val="center"/>
        <w:rPr/>
      </w:pPr>
      <w:r>
        <w:rPr/>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set forth above under Note 15 in Item 1, “Notes to Consolidated Financial Statements” is incorporated herein by reference.</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material changes in risks since December 31, 2022. For discussion of risk factors, refer to Item 1A of our Annual Report on Form 10-K for the year ended December 31, 2022.</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made no share purchases during the first quarter of 2023. </w:t>
      </w:r>
    </w:p>
    <w:p>
      <w:pPr>
        <w:pStyle w:val="TextBody"/>
        <w:spacing w:before="200" w:after="283"/>
        <w:jc w:val="both"/>
        <w:rPr/>
      </w:pPr>
      <w:r>
        <w:rPr/>
      </w:r>
    </w:p>
    <w:p>
      <w:pPr>
        <w:pStyle w:val="TextBody"/>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120" w:after="283"/>
        <w:ind w:left="0" w:right="0" w:firstLine="360"/>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CellMar>
          <w:top w:w="28" w:type="dxa"/>
          <w:left w:w="28" w:type="dxa"/>
          <w:bottom w:w="28" w:type="dxa"/>
          <w:right w:w="28" w:type="dxa"/>
        </w:tblCellMar>
      </w:tblPr>
      <w:tblGrid>
        <w:gridCol w:w="321"/>
        <w:gridCol w:w="282"/>
        <w:gridCol w:w="283"/>
        <w:gridCol w:w="2808"/>
        <w:gridCol w:w="2686"/>
        <w:gridCol w:w="3825"/>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in-20230331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in-20230331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in-20230331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in-20230331xex991.htm">
              <w:r>
                <w:rPr>
                  <w:rStyle w:val="InternetLink"/>
                  <w:rFonts w:ascii="Arial;sans-serif" w:hAnsi="Arial;sans-serif"/>
                  <w:b w:val="false"/>
                  <w:color w:val="0000FF"/>
                  <w:sz w:val="18"/>
                  <w:u w:val="single"/>
                </w:rPr>
                <w:t>Quantitative and qualitative disclosures about market risks as reported at March 31, 2023.</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217" w:type="dxa"/>
        <w:jc w:val="left"/>
        <w:tblInd w:w="0" w:type="dxa"/>
        <w:tblCellMar>
          <w:top w:w="28" w:type="dxa"/>
          <w:left w:w="28" w:type="dxa"/>
          <w:bottom w:w="28" w:type="dxa"/>
          <w:right w:w="28" w:type="dxa"/>
        </w:tblCellMar>
      </w:tblPr>
      <w:tblGrid>
        <w:gridCol w:w="629"/>
        <w:gridCol w:w="554"/>
        <w:gridCol w:w="557"/>
        <w:gridCol w:w="109"/>
        <w:gridCol w:w="109"/>
        <w:gridCol w:w="109"/>
        <w:gridCol w:w="921"/>
        <w:gridCol w:w="921"/>
        <w:gridCol w:w="130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April 26,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Starr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Starr</w:t>
              <w:br/>
              <w:t>Chief Financial Officer and Treasurer</w:t>
              <w:b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A. William Higgins, certify that: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625" w:type="dxa"/>
        <w:jc w:val="left"/>
        <w:tblInd w:w="0" w:type="dxa"/>
        <w:tblCellMar>
          <w:top w:w="28" w:type="dxa"/>
          <w:left w:w="28" w:type="dxa"/>
          <w:bottom w:w="28" w:type="dxa"/>
          <w:right w:w="28" w:type="dxa"/>
        </w:tblCellMar>
      </w:tblPr>
      <w:tblGrid>
        <w:gridCol w:w="667"/>
        <w:gridCol w:w="585"/>
        <w:gridCol w:w="592"/>
        <w:gridCol w:w="115"/>
        <w:gridCol w:w="115"/>
        <w:gridCol w:w="116"/>
        <w:gridCol w:w="1006"/>
        <w:gridCol w:w="1006"/>
        <w:gridCol w:w="1423"/>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26, 2023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 William Higgins</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 William Higgins</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 Starr, certify that: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534" w:type="dxa"/>
        <w:jc w:val="left"/>
        <w:tblInd w:w="0" w:type="dxa"/>
        <w:tblCellMar>
          <w:top w:w="28" w:type="dxa"/>
          <w:left w:w="28" w:type="dxa"/>
          <w:bottom w:w="28" w:type="dxa"/>
          <w:right w:w="28" w:type="dxa"/>
        </w:tblCellMar>
      </w:tblPr>
      <w:tblGrid>
        <w:gridCol w:w="667"/>
        <w:gridCol w:w="585"/>
        <w:gridCol w:w="592"/>
        <w:gridCol w:w="115"/>
        <w:gridCol w:w="115"/>
        <w:gridCol w:w="116"/>
        <w:gridCol w:w="978"/>
        <w:gridCol w:w="978"/>
        <w:gridCol w:w="1388"/>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26, 2023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Chief Financial Officer and Treasurer</w:t>
              <w:b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March 31, 2023, as filed with the Securities and Exchange Commission on the date hereof (the Report), A. William Higgins, President and Chief Executive Officer, and Robert D. Starr, Chief Financial Officer and Treasurer of the Company, certify, pursuant to 18 U.S.C. § 1350, as adopted pursuant to § 906 of the Sarbanes-Oxley Act of 2002, that:</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606" w:type="dxa"/>
        <w:jc w:val="center"/>
        <w:tblInd w:w="0" w:type="dxa"/>
        <w:tblCellMar>
          <w:top w:w="28" w:type="dxa"/>
          <w:left w:w="28" w:type="dxa"/>
          <w:bottom w:w="28" w:type="dxa"/>
          <w:right w:w="28" w:type="dxa"/>
        </w:tblCellMar>
      </w:tblPr>
      <w:tblGrid>
        <w:gridCol w:w="667"/>
        <w:gridCol w:w="585"/>
        <w:gridCol w:w="592"/>
        <w:gridCol w:w="109"/>
        <w:gridCol w:w="109"/>
        <w:gridCol w:w="109"/>
        <w:gridCol w:w="1006"/>
        <w:gridCol w:w="1006"/>
        <w:gridCol w:w="1423"/>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 William Higgins</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William Higgins</w:t>
              <w:br/>
              <w:t>President and Chief Executive Officer</w:t>
              <w:br/>
              <w:t>(Principal Executive Officer)</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Chief Financial Officer and Treasurer</w:t>
              <w:b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(99.1)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MARKET RISK SENSITIVITY – As of March 31, 2023</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have market risk with respect to foreign currency exchange rates and interest rates. The market risk is the potential loss arising from adverse changes in these rates as discussed below.</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Foreign Currency Exchange Rate Risk</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$716.8 million. The potential loss in fair value resulting from a hypothetical 10% adverse change in quoted foreign currency exchange rates amounts to $71.7 million. Furthermore, related to foreign currency transactions, we have exposure to various nonfunctional currency balances totaling $181.6 million. This amount includes, on an absolute basis, exposures to assets and liabilities held in currencies other than our local entities’ functional currencies. On a net basis, we had $148.3 million of foreign currency assets as of March 31, 2023. As currency rates change, these nonfunctional currency balances are revalued, and the corresponding adjustment is recorded in the income statement. A hypothetical change of 10% in currency rates could result in an adjustment to the income statement of approximately $14.8 million. Actual results may differ.</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Interest Rate Risk</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On March 31, 2023, we had the following variable rate debt: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361"/>
        <w:gridCol w:w="2944"/>
        <w:gridCol w:w="2952"/>
        <w:gridCol w:w="277"/>
        <w:gridCol w:w="277"/>
        <w:gridCol w:w="394"/>
      </w:tblGrid>
      <w:tr>
        <w:trPr/>
        <w:tc>
          <w:tcPr>
            <w:tcW w:w="3361" w:type="dxa"/>
            <w:tcBorders/>
            <w:shd w:fill="auto" w:val="clear"/>
            <w:vAlign w:val="center"/>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c>
          <w:tcPr>
            <w:tcW w:w="295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9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 thousands, except interest rates)</w:t>
            </w:r>
          </w:p>
        </w:tc>
        <w:tc>
          <w:tcPr>
            <w:tcW w:w="9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257"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agreement with borrowings outstanding, net of fixed rate portion, at an end of period interest rate of 6.34% in 2023, due in 2024</w:t>
            </w:r>
          </w:p>
        </w:tc>
        <w:tc>
          <w:tcPr>
            <w:tcW w:w="948"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$141,000</w:t>
            </w:r>
          </w:p>
        </w:tc>
      </w:tr>
      <w:tr>
        <w:trPr/>
        <w:tc>
          <w:tcPr>
            <w:tcW w:w="92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$141,000</w:t>
            </w:r>
          </w:p>
        </w:tc>
      </w:tr>
    </w:tbl>
    <w:p>
      <w:pPr>
        <w:pStyle w:val="TextBody"/>
        <w:spacing w:before="0" w:after="0"/>
        <w:rPr/>
      </w:pPr>
      <w:r>
        <w:rPr/>
      </w:r>
    </w:p>
    <w:p>
      <w:pPr>
        <w:pStyle w:val="TextBody"/>
        <w:spacing w:lineRule="auto" w:line="288"/>
        <w:ind w:left="0" w:right="0" w:firstLine="720"/>
        <w:rPr>
          <w:rFonts w:ascii="Arial;sans-serif" w:hAnsi="Arial;sans-serif"/>
          <w:b w:val="false"/>
          <w:color w:val="000000"/>
          <w:sz w:val="20"/>
        </w:rPr>
      </w:pPr>
      <w:r>
        <w:rPr>
          <w:rFonts w:ascii="Arial;sans-serif" w:hAnsi="Arial;sans-serif"/>
          <w:b w:val="false"/>
          <w:color w:val="000000"/>
          <w:sz w:val="20"/>
        </w:rPr>
        <w:t>Assuming borrowings were outstanding for an entire year, an increase of one percentage point in weighted average interest rates would increase interest expense by $1.4 million. To manage interest rate risk, we may periodically enter into interest rate swap agreements to effectively fix the interest rates on variable debt to a specific rate for a period of time. (See Note 13 to the Consolidated Financial Statements in Item 1, which is incorporated herein by reference).</w:t>
      </w:r>
      <w:r>
        <w:br w:type="page"/>
      </w:r>
    </w:p>
    <w:p>
      <w:pPr>
        <w:pStyle w:val="TextBody"/>
        <w:spacing w:before="0" w:after="283"/>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Book Antiqu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14526</Words>
  <CharactersWithSpaces>94836</CharactersWithSpaces>
  <Paragraphs>2358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