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2" w:lineRule="exact"/>
        <w:rPr>
          <w:sz w:val="24"/>
          <w:szCs w:val="24"/>
          <w:color w:val="auto"/>
        </w:rPr>
      </w:pPr>
    </w:p>
    <w:p>
      <w:pPr>
        <w:ind w:left="3820" w:right="1920" w:hanging="3812"/>
        <w:spacing w:after="0" w:line="486" w:lineRule="auto"/>
        <w:tabs>
          <w:tab w:leader="none" w:pos="26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 xml:space="preserve">For the quarterly period ended: </w:t>
      </w:r>
      <w:r>
        <w:rPr>
          <w:rFonts w:ascii="Arial" w:cs="Arial" w:eastAsia="Arial" w:hAnsi="Arial"/>
          <w:sz w:val="18"/>
          <w:szCs w:val="18"/>
          <w:u w:val="single" w:color="auto"/>
          <w:color w:val="auto"/>
        </w:rPr>
        <w:t>March 31, 2019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10" w:lineRule="exact"/>
        <w:rPr>
          <w:sz w:val="24"/>
          <w:szCs w:val="24"/>
          <w:color w:val="auto"/>
        </w:rPr>
      </w:pPr>
    </w:p>
    <w:p>
      <w:pPr>
        <w:ind w:left="3400" w:right="1920" w:hanging="3392"/>
        <w:spacing w:after="0" w:line="486" w:lineRule="auto"/>
        <w:tabs>
          <w:tab w:leader="none" w:pos="161"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 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 w:lineRule="exact"/>
        <w:rPr>
          <w:rFonts w:ascii="Arial" w:cs="Arial" w:eastAsia="Arial" w:hAnsi="Arial"/>
          <w:sz w:val="18"/>
          <w:szCs w:val="18"/>
          <w:b w:val="1"/>
          <w:bCs w:val="1"/>
          <w:color w:val="auto"/>
        </w:rPr>
      </w:pPr>
    </w:p>
    <w:p>
      <w:pPr>
        <w:ind w:left="4360"/>
        <w:spacing w:after="0"/>
        <w:rPr>
          <w:rFonts w:ascii="Arial" w:cs="Arial" w:eastAsia="Arial" w:hAnsi="Arial"/>
          <w:sz w:val="18"/>
          <w:szCs w:val="18"/>
          <w:b w:val="1"/>
          <w:bCs w:val="1"/>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1-10026</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ALBANY INTERNATIONAL CORP.</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tbl>
      <w:tblPr>
        <w:tblLayout w:type="fixed"/>
        <w:tblInd w:w="0" w:type="dxa"/>
        <w:tblCellMar>
          <w:top w:w="0" w:type="dxa"/>
          <w:left w:w="0" w:type="dxa"/>
          <w:bottom w:w="0" w:type="dxa"/>
          <w:right w:w="0" w:type="dxa"/>
        </w:tblCellMar>
      </w:tblPr>
      <w:tr>
        <w:trPr>
          <w:trHeight w:val="203"/>
        </w:trPr>
        <w:tc>
          <w:tcPr>
            <w:tcW w:w="6640" w:type="dxa"/>
            <w:vAlign w:val="bottom"/>
            <w:gridSpan w:val="2"/>
          </w:tcPr>
          <w:p>
            <w:pPr>
              <w:jc w:val="center"/>
              <w:ind w:right="1320"/>
              <w:spacing w:after="0" w:line="203" w:lineRule="exact"/>
              <w:rPr>
                <w:sz w:val="20"/>
                <w:szCs w:val="20"/>
                <w:color w:val="auto"/>
              </w:rPr>
            </w:pPr>
            <w:r>
              <w:rPr>
                <w:rFonts w:ascii="Arial" w:cs="Arial" w:eastAsia="Arial" w:hAnsi="Arial"/>
                <w:sz w:val="18"/>
                <w:szCs w:val="18"/>
                <w:color w:val="auto"/>
                <w:w w:val="99"/>
              </w:rPr>
              <w:t>Delaware</w:t>
            </w:r>
          </w:p>
        </w:tc>
        <w:tc>
          <w:tcPr>
            <w:tcW w:w="4780" w:type="dxa"/>
            <w:vAlign w:val="bottom"/>
          </w:tcPr>
          <w:p>
            <w:pPr>
              <w:jc w:val="right"/>
              <w:ind w:right="1790"/>
              <w:spacing w:after="0" w:line="203" w:lineRule="exact"/>
              <w:rPr>
                <w:sz w:val="20"/>
                <w:szCs w:val="20"/>
                <w:color w:val="auto"/>
              </w:rPr>
            </w:pPr>
            <w:r>
              <w:rPr>
                <w:rFonts w:ascii="Arial" w:cs="Arial" w:eastAsia="Arial" w:hAnsi="Arial"/>
                <w:sz w:val="18"/>
                <w:szCs w:val="18"/>
                <w:color w:val="auto"/>
              </w:rPr>
              <w:t>14-0462060</w:t>
            </w:r>
          </w:p>
        </w:tc>
      </w:tr>
      <w:tr>
        <w:trPr>
          <w:trHeight w:val="173"/>
        </w:trPr>
        <w:tc>
          <w:tcPr>
            <w:tcW w:w="5260" w:type="dxa"/>
            <w:vAlign w:val="bottom"/>
            <w:tcBorders>
              <w:top w:val="single" w:sz="8" w:color="auto"/>
            </w:tcBorders>
          </w:tcPr>
          <w:p>
            <w:pPr>
              <w:jc w:val="center"/>
              <w:spacing w:after="0" w:line="173" w:lineRule="exact"/>
              <w:rPr>
                <w:sz w:val="20"/>
                <w:szCs w:val="20"/>
                <w:color w:val="auto"/>
              </w:rPr>
            </w:pPr>
            <w:r>
              <w:rPr>
                <w:rFonts w:ascii="Arial" w:cs="Arial" w:eastAsia="Arial" w:hAnsi="Arial"/>
                <w:sz w:val="18"/>
                <w:szCs w:val="18"/>
                <w:color w:val="auto"/>
                <w:w w:val="99"/>
              </w:rPr>
              <w:t>(State or other jurisdiction of</w:t>
            </w:r>
          </w:p>
        </w:tc>
        <w:tc>
          <w:tcPr>
            <w:tcW w:w="1380" w:type="dxa"/>
            <w:vAlign w:val="bottom"/>
          </w:tcPr>
          <w:p>
            <w:pPr>
              <w:spacing w:after="0"/>
              <w:rPr>
                <w:sz w:val="15"/>
                <w:szCs w:val="15"/>
                <w:color w:val="auto"/>
              </w:rPr>
            </w:pPr>
          </w:p>
        </w:tc>
        <w:tc>
          <w:tcPr>
            <w:tcW w:w="4780" w:type="dxa"/>
            <w:vAlign w:val="bottom"/>
            <w:tcBorders>
              <w:top w:val="single" w:sz="8" w:color="auto"/>
            </w:tcBorders>
          </w:tcPr>
          <w:p>
            <w:pPr>
              <w:ind w:left="1100"/>
              <w:spacing w:after="0" w:line="173" w:lineRule="exact"/>
              <w:rPr>
                <w:sz w:val="20"/>
                <w:szCs w:val="20"/>
                <w:color w:val="auto"/>
              </w:rPr>
            </w:pPr>
            <w:r>
              <w:rPr>
                <w:rFonts w:ascii="Arial" w:cs="Arial" w:eastAsia="Arial" w:hAnsi="Arial"/>
                <w:sz w:val="18"/>
                <w:szCs w:val="18"/>
                <w:color w:val="auto"/>
              </w:rPr>
              <w:t>(IRS Employer Identification No.)</w:t>
            </w:r>
          </w:p>
        </w:tc>
      </w:tr>
      <w:tr>
        <w:trPr>
          <w:trHeight w:val="243"/>
        </w:trPr>
        <w:tc>
          <w:tcPr>
            <w:tcW w:w="6640" w:type="dxa"/>
            <w:vAlign w:val="bottom"/>
            <w:gridSpan w:val="2"/>
          </w:tcPr>
          <w:p>
            <w:pPr>
              <w:ind w:left="1440"/>
              <w:spacing w:after="0"/>
              <w:rPr>
                <w:sz w:val="20"/>
                <w:szCs w:val="20"/>
                <w:color w:val="auto"/>
              </w:rPr>
            </w:pPr>
            <w:r>
              <w:rPr>
                <w:rFonts w:ascii="Arial" w:cs="Arial" w:eastAsia="Arial" w:hAnsi="Arial"/>
                <w:sz w:val="18"/>
                <w:szCs w:val="18"/>
                <w:color w:val="auto"/>
              </w:rPr>
              <w:t>incorporation or organization)</w:t>
            </w:r>
          </w:p>
        </w:tc>
        <w:tc>
          <w:tcPr>
            <w:tcW w:w="4780" w:type="dxa"/>
            <w:vAlign w:val="bottom"/>
          </w:tcPr>
          <w:p>
            <w:pPr>
              <w:spacing w:after="0"/>
              <w:rPr>
                <w:sz w:val="21"/>
                <w:szCs w:val="21"/>
                <w:color w:val="auto"/>
              </w:rPr>
            </w:pPr>
          </w:p>
        </w:tc>
      </w:tr>
      <w:tr>
        <w:trPr>
          <w:trHeight w:val="388"/>
        </w:trPr>
        <w:tc>
          <w:tcPr>
            <w:tcW w:w="6640" w:type="dxa"/>
            <w:vAlign w:val="bottom"/>
            <w:gridSpan w:val="2"/>
          </w:tcPr>
          <w:p>
            <w:pPr>
              <w:jc w:val="center"/>
              <w:ind w:right="1320"/>
              <w:spacing w:after="0"/>
              <w:rPr>
                <w:sz w:val="20"/>
                <w:szCs w:val="20"/>
                <w:color w:val="auto"/>
              </w:rPr>
            </w:pPr>
            <w:r>
              <w:rPr>
                <w:rFonts w:ascii="Arial" w:cs="Arial" w:eastAsia="Arial" w:hAnsi="Arial"/>
                <w:sz w:val="18"/>
                <w:szCs w:val="18"/>
                <w:color w:val="auto"/>
                <w:w w:val="99"/>
              </w:rPr>
              <w:t>216 Airport Drive, Rochester, New Hampshire</w:t>
            </w:r>
          </w:p>
        </w:tc>
        <w:tc>
          <w:tcPr>
            <w:tcW w:w="4780" w:type="dxa"/>
            <w:vAlign w:val="bottom"/>
          </w:tcPr>
          <w:p>
            <w:pPr>
              <w:jc w:val="right"/>
              <w:ind w:right="2030"/>
              <w:spacing w:after="0"/>
              <w:rPr>
                <w:sz w:val="20"/>
                <w:szCs w:val="20"/>
                <w:color w:val="auto"/>
              </w:rPr>
            </w:pPr>
            <w:r>
              <w:rPr>
                <w:rFonts w:ascii="Arial" w:cs="Arial" w:eastAsia="Arial" w:hAnsi="Arial"/>
                <w:sz w:val="18"/>
                <w:szCs w:val="18"/>
                <w:color w:val="auto"/>
              </w:rPr>
              <w:t>03867</w:t>
            </w:r>
          </w:p>
        </w:tc>
      </w:tr>
      <w:tr>
        <w:trPr>
          <w:trHeight w:val="236"/>
        </w:trPr>
        <w:tc>
          <w:tcPr>
            <w:tcW w:w="5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1380" w:type="dxa"/>
            <w:vAlign w:val="bottom"/>
          </w:tcPr>
          <w:p>
            <w:pPr>
              <w:spacing w:after="0"/>
              <w:rPr>
                <w:sz w:val="20"/>
                <w:szCs w:val="20"/>
                <w:color w:val="auto"/>
              </w:rPr>
            </w:pPr>
          </w:p>
        </w:tc>
        <w:tc>
          <w:tcPr>
            <w:tcW w:w="4780" w:type="dxa"/>
            <w:vAlign w:val="bottom"/>
            <w:tcBorders>
              <w:top w:val="single" w:sz="8" w:color="auto"/>
            </w:tcBorders>
          </w:tcPr>
          <w:p>
            <w:pPr>
              <w:ind w:left="1940"/>
              <w:spacing w:after="0"/>
              <w:rPr>
                <w:sz w:val="20"/>
                <w:szCs w:val="20"/>
                <w:color w:val="auto"/>
              </w:rPr>
            </w:pPr>
            <w:r>
              <w:rPr>
                <w:rFonts w:ascii="Arial" w:cs="Arial" w:eastAsia="Arial" w:hAnsi="Arial"/>
                <w:sz w:val="18"/>
                <w:szCs w:val="18"/>
                <w:color w:val="auto"/>
              </w:rPr>
              <w:t>(Zip Code)</w:t>
            </w:r>
          </w:p>
        </w:tc>
      </w:tr>
    </w:tbl>
    <w:p>
      <w:pPr>
        <w:spacing w:after="0" w:line="13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603-330-5850</w:t>
      </w:r>
    </w:p>
    <w:p>
      <w:pPr>
        <w:spacing w:after="0" w:line="104"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 ] No [ ]</w:t>
      </w:r>
    </w:p>
    <w:p>
      <w:pPr>
        <w:spacing w:after="0" w:line="164" w:lineRule="exact"/>
        <w:rPr>
          <w:sz w:val="24"/>
          <w:szCs w:val="24"/>
          <w:color w:val="auto"/>
        </w:rPr>
      </w:pPr>
    </w:p>
    <w:p>
      <w:pPr>
        <w:ind w:right="20"/>
        <w:spacing w:after="0" w:line="255"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 ] No [ ]</w:t>
      </w:r>
    </w:p>
    <w:p>
      <w:pPr>
        <w:spacing w:after="0" w:line="164" w:lineRule="exact"/>
        <w:rPr>
          <w:sz w:val="24"/>
          <w:szCs w:val="24"/>
          <w:color w:val="auto"/>
        </w:rPr>
      </w:pPr>
    </w:p>
    <w:p>
      <w:pPr>
        <w:ind w:right="16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6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80" w:type="dxa"/>
            <w:vAlign w:val="bottom"/>
          </w:tcPr>
          <w:p>
            <w:pPr>
              <w:ind w:left="820"/>
              <w:spacing w:after="0"/>
              <w:rPr>
                <w:sz w:val="20"/>
                <w:szCs w:val="20"/>
                <w:color w:val="auto"/>
              </w:rPr>
            </w:pPr>
            <w:r>
              <w:rPr>
                <w:rFonts w:ascii="Arial" w:cs="Arial" w:eastAsia="Arial" w:hAnsi="Arial"/>
                <w:sz w:val="18"/>
                <w:szCs w:val="18"/>
                <w:color w:val="auto"/>
              </w:rPr>
              <w:t>[ √ ]</w:t>
            </w:r>
          </w:p>
        </w:tc>
        <w:tc>
          <w:tcPr>
            <w:tcW w:w="4700" w:type="dxa"/>
            <w:vAlign w:val="bottom"/>
          </w:tcPr>
          <w:p>
            <w:pPr>
              <w:ind w:left="1560"/>
              <w:spacing w:after="0"/>
              <w:rPr>
                <w:sz w:val="20"/>
                <w:szCs w:val="20"/>
                <w:color w:val="auto"/>
              </w:rPr>
            </w:pPr>
            <w:r>
              <w:rPr>
                <w:rFonts w:ascii="Arial" w:cs="Arial" w:eastAsia="Arial" w:hAnsi="Arial"/>
                <w:sz w:val="18"/>
                <w:szCs w:val="18"/>
                <w:color w:val="auto"/>
              </w:rPr>
              <w:t>Accelerated filer</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3"/>
        </w:trPr>
        <w:tc>
          <w:tcPr>
            <w:tcW w:w="2600" w:type="dxa"/>
            <w:vAlign w:val="bottom"/>
          </w:tcPr>
          <w:p>
            <w:pPr>
              <w:spacing w:after="0" w:line="202" w:lineRule="exact"/>
              <w:rPr>
                <w:sz w:val="20"/>
                <w:szCs w:val="20"/>
                <w:color w:val="auto"/>
              </w:rPr>
            </w:pPr>
            <w:r>
              <w:rPr>
                <w:rFonts w:ascii="Arial" w:cs="Arial" w:eastAsia="Arial" w:hAnsi="Arial"/>
                <w:sz w:val="18"/>
                <w:szCs w:val="18"/>
                <w:color w:val="auto"/>
              </w:rPr>
              <w:t>Non-accelerated filer</w:t>
            </w:r>
          </w:p>
        </w:tc>
        <w:tc>
          <w:tcPr>
            <w:tcW w:w="2680" w:type="dxa"/>
            <w:vAlign w:val="bottom"/>
          </w:tcPr>
          <w:p>
            <w:pPr>
              <w:ind w:left="820"/>
              <w:spacing w:after="0" w:line="202" w:lineRule="exact"/>
              <w:rPr>
                <w:sz w:val="20"/>
                <w:szCs w:val="20"/>
                <w:color w:val="auto"/>
              </w:rPr>
            </w:pPr>
            <w:r>
              <w:rPr>
                <w:rFonts w:ascii="Arial" w:cs="Arial" w:eastAsia="Arial" w:hAnsi="Arial"/>
                <w:sz w:val="18"/>
                <w:szCs w:val="18"/>
                <w:color w:val="auto"/>
              </w:rPr>
              <w:t>[  ]</w:t>
            </w:r>
          </w:p>
        </w:tc>
        <w:tc>
          <w:tcPr>
            <w:tcW w:w="4700" w:type="dxa"/>
            <w:vAlign w:val="bottom"/>
          </w:tcPr>
          <w:p>
            <w:pPr>
              <w:ind w:left="1560"/>
              <w:spacing w:after="0" w:line="202" w:lineRule="exact"/>
              <w:rPr>
                <w:sz w:val="20"/>
                <w:szCs w:val="20"/>
                <w:color w:val="auto"/>
              </w:rPr>
            </w:pPr>
            <w:r>
              <w:rPr>
                <w:rFonts w:ascii="Arial" w:cs="Arial" w:eastAsia="Arial" w:hAnsi="Arial"/>
                <w:sz w:val="18"/>
                <w:szCs w:val="18"/>
                <w:color w:val="auto"/>
              </w:rPr>
              <w:t>Smaller reporting company</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43"/>
        </w:trPr>
        <w:tc>
          <w:tcPr>
            <w:tcW w:w="26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4700" w:type="dxa"/>
            <w:vAlign w:val="bottom"/>
          </w:tcPr>
          <w:p>
            <w:pPr>
              <w:ind w:left="1560"/>
              <w:spacing w:after="0"/>
              <w:rPr>
                <w:sz w:val="20"/>
                <w:szCs w:val="20"/>
                <w:color w:val="auto"/>
              </w:rPr>
            </w:pPr>
            <w:r>
              <w:rPr>
                <w:rFonts w:ascii="Arial" w:cs="Arial" w:eastAsia="Arial" w:hAnsi="Arial"/>
                <w:sz w:val="18"/>
                <w:szCs w:val="18"/>
                <w:color w:val="auto"/>
              </w:rPr>
              <w:t>Emerging growth company</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365" w:lineRule="exact"/>
        <w:rPr>
          <w:sz w:val="24"/>
          <w:szCs w:val="24"/>
          <w:color w:val="auto"/>
        </w:rPr>
      </w:pPr>
    </w:p>
    <w:p>
      <w:pPr>
        <w:spacing w:after="0" w:line="27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32" w:lineRule="exact"/>
        <w:rPr>
          <w:sz w:val="24"/>
          <w:szCs w:val="24"/>
          <w:color w:val="auto"/>
        </w:rPr>
      </w:pPr>
    </w:p>
    <w:p>
      <w:pPr>
        <w:ind w:left="5660" w:right="1100" w:hanging="5660"/>
        <w:spacing w:after="0" w:line="434" w:lineRule="auto"/>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w:t>
      </w:r>
      <w:r>
        <w:rPr>
          <w:sz w:val="20"/>
          <w:szCs w:val="20"/>
          <w:color w:val="auto"/>
        </w:rPr>
        <w:t xml:space="preserve"> </w:t>
      </w:r>
      <w:r>
        <w:rPr>
          <w:rFonts w:ascii="Arial" w:cs="Arial" w:eastAsia="Arial" w:hAnsi="Arial"/>
          <w:sz w:val="18"/>
          <w:szCs w:val="18"/>
          <w:color w:val="auto"/>
        </w:rPr>
        <w:t xml:space="preserve">] No [ √ ] </w:t>
      </w: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3" w:right="239" w:bottom="1440" w:gutter="0" w:footer="0" w:header="0"/>
        </w:sectPr>
      </w:pPr>
    </w:p>
    <w:bookmarkStart w:id="1" w:name="page2"/>
    <w:bookmarkEnd w:id="1"/>
    <w:p>
      <w:pPr>
        <w:ind w:right="180"/>
        <w:spacing w:after="0" w:line="276" w:lineRule="auto"/>
        <w:rPr>
          <w:sz w:val="20"/>
          <w:szCs w:val="20"/>
          <w:color w:val="auto"/>
        </w:rPr>
      </w:pPr>
      <w:r>
        <w:rPr>
          <w:rFonts w:ascii="Arial" w:cs="Arial" w:eastAsia="Arial" w:hAnsi="Arial"/>
          <w:sz w:val="18"/>
          <w:szCs w:val="18"/>
          <w:color w:val="auto"/>
        </w:rPr>
        <w:t>The registrant had 29.0 million shares of Class A Common Stock and 3.3 million shares of Class B Common Stock outstanding as of April 17, 2019.</w:t>
      </w:r>
    </w:p>
    <w:p>
      <w:pPr>
        <w:spacing w:after="0" w:line="200" w:lineRule="exact"/>
        <w:rPr>
          <w:sz w:val="20"/>
          <w:szCs w:val="20"/>
          <w:color w:val="auto"/>
        </w:rPr>
      </w:pPr>
    </w:p>
    <w:p>
      <w:pPr>
        <w:spacing w:after="0" w:line="34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ALBANY INTERNATIONAL CORP.</w:t>
      </w:r>
    </w:p>
    <w:p>
      <w:pPr>
        <w:spacing w:after="0" w:line="20"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TABLE OF CONTENTS</w:t>
      </w:r>
    </w:p>
    <w:p>
      <w:pPr>
        <w:spacing w:after="0" w:line="9" w:lineRule="exact"/>
        <w:rPr>
          <w:sz w:val="20"/>
          <w:szCs w:val="20"/>
          <w:color w:val="auto"/>
        </w:rPr>
      </w:pPr>
    </w:p>
    <w:tbl>
      <w:tblPr>
        <w:tblLayout w:type="fixed"/>
        <w:tblInd w:w="100" w:type="dxa"/>
        <w:tblCellMar>
          <w:top w:w="0" w:type="dxa"/>
          <w:left w:w="0" w:type="dxa"/>
          <w:bottom w:w="0" w:type="dxa"/>
          <w:right w:w="0" w:type="dxa"/>
        </w:tblCellMar>
      </w:tblPr>
      <w:tr>
        <w:trPr>
          <w:trHeight w:val="243"/>
        </w:trPr>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418"/>
        </w:trPr>
        <w:tc>
          <w:tcPr>
            <w:tcW w:w="7880" w:type="dxa"/>
            <w:vAlign w:val="bottom"/>
            <w:gridSpan w:val="20"/>
          </w:tcPr>
          <w:p>
            <w:pPr>
              <w:spacing w:after="0"/>
              <w:rPr>
                <w:sz w:val="20"/>
                <w:szCs w:val="20"/>
                <w:color w:val="auto"/>
              </w:rPr>
            </w:pPr>
            <w:r>
              <w:rPr>
                <w:rFonts w:ascii="Arial" w:cs="Arial" w:eastAsia="Arial" w:hAnsi="Arial"/>
                <w:sz w:val="18"/>
                <w:szCs w:val="18"/>
                <w:b w:val="1"/>
                <w:bCs w:val="1"/>
                <w:color w:val="auto"/>
              </w:rPr>
              <w:t>Part I Financial information</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40" w:type="dxa"/>
            <w:vAlign w:val="bottom"/>
          </w:tcPr>
          <w:p>
            <w:pPr>
              <w:spacing w:after="0"/>
              <w:rPr>
                <w:sz w:val="24"/>
                <w:szCs w:val="24"/>
                <w:color w:val="auto"/>
              </w:rPr>
            </w:pPr>
          </w:p>
        </w:tc>
        <w:tc>
          <w:tcPr>
            <w:tcW w:w="2060" w:type="dxa"/>
            <w:vAlign w:val="bottom"/>
            <w:tcBorders>
              <w:bottom w:val="single" w:sz="8" w:color="0000EE"/>
            </w:tcBorders>
            <w:gridSpan w:val="8"/>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Item 1. Financial Statements</w:t>
              </w:r>
            </w:hyperlink>
          </w:p>
        </w:tc>
        <w:tc>
          <w:tcPr>
            <w:tcW w:w="5680" w:type="dxa"/>
            <w:vAlign w:val="bottom"/>
            <w:gridSpan w:val="11"/>
          </w:tcPr>
          <w:p>
            <w:pPr>
              <w:spacing w:after="0"/>
              <w:rPr>
                <w:sz w:val="24"/>
                <w:szCs w:val="24"/>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60" w:type="dxa"/>
            <w:vAlign w:val="bottom"/>
            <w:tcBorders>
              <w:bottom w:val="single" w:sz="8" w:color="0000EE"/>
            </w:tcBorders>
            <w:gridSpan w:val="15"/>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statements of income – three months ended March 31, 2019 and 2018</w:t>
              </w:r>
            </w:hyperlink>
          </w:p>
        </w:tc>
        <w:tc>
          <w:tcPr>
            <w:tcW w:w="1580" w:type="dxa"/>
            <w:vAlign w:val="bottom"/>
            <w:gridSpan w:val="3"/>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tcBorders>
              <w:bottom w:val="single" w:sz="8" w:color="0000EE"/>
            </w:tcBorders>
            <w:gridSpan w:val="18"/>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income/(loss) – three months ended March 31, 2019 and 2018</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40" w:type="dxa"/>
            <w:vAlign w:val="bottom"/>
            <w:tcBorders>
              <w:bottom w:val="single" w:sz="8" w:color="0000EE"/>
            </w:tcBorders>
            <w:gridSpan w:val="14"/>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balance sheets as of March 31, 2019 and December 31, 2018</w:t>
              </w:r>
            </w:hyperlink>
          </w:p>
        </w:tc>
        <w:tc>
          <w:tcPr>
            <w:tcW w:w="2200" w:type="dxa"/>
            <w:vAlign w:val="bottom"/>
            <w:gridSpan w:val="4"/>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40" w:type="dxa"/>
            <w:vAlign w:val="bottom"/>
            <w:gridSpan w:val="18"/>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Consolidated statements of cash flows – three months ended March 31, 2019 and 2018</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80" w:type="dxa"/>
            <w:vAlign w:val="bottom"/>
            <w:tcBorders>
              <w:top w:val="single" w:sz="8" w:color="0000EE"/>
            </w:tcBorders>
            <w:gridSpan w:val="16"/>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Notes to consolidated financial statements</w:t>
              </w:r>
            </w:hyperlink>
          </w:p>
        </w:tc>
        <w:tc>
          <w:tcPr>
            <w:tcW w:w="1360" w:type="dxa"/>
            <w:vAlign w:val="bottom"/>
            <w:gridSpan w:val="2"/>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4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7740" w:type="dxa"/>
            <w:vAlign w:val="bottom"/>
            <w:gridSpan w:val="19"/>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Item 2. Management’s Discussion and Analysis of Financial Condition and Results of Operations</w:t>
              </w:r>
            </w:hyperlink>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200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rPr>
            </w:pPr>
            <w:hyperlink w:anchor="page33">
              <w:r>
                <w:rPr>
                  <w:rFonts w:ascii="Arial" w:cs="Arial" w:eastAsia="Arial" w:hAnsi="Arial"/>
                  <w:sz w:val="16"/>
                  <w:szCs w:val="16"/>
                  <w:color w:val="0000EE"/>
                </w:rPr>
                <w:t>Forward-looking statements</w:t>
              </w:r>
            </w:hyperlink>
          </w:p>
        </w:tc>
        <w:tc>
          <w:tcPr>
            <w:tcW w:w="4920" w:type="dxa"/>
            <w:vAlign w:val="bottom"/>
            <w:tcBorders>
              <w:top w:val="single" w:sz="8" w:color="0000EE"/>
            </w:tcBorders>
            <w:gridSpan w:val="11"/>
          </w:tcPr>
          <w:p>
            <w:pPr>
              <w:spacing w:after="0"/>
              <w:rPr>
                <w:sz w:val="14"/>
                <w:szCs w:val="14"/>
                <w:color w:val="auto"/>
              </w:rPr>
            </w:pPr>
          </w:p>
        </w:tc>
        <w:tc>
          <w:tcPr>
            <w:tcW w:w="820" w:type="dxa"/>
            <w:vAlign w:val="bottom"/>
          </w:tcPr>
          <w:p>
            <w:pPr>
              <w:spacing w:after="0"/>
              <w:rPr>
                <w:sz w:val="14"/>
                <w:szCs w:val="14"/>
                <w:color w:val="auto"/>
              </w:rPr>
            </w:pPr>
          </w:p>
        </w:tc>
        <w:tc>
          <w:tcPr>
            <w:tcW w:w="344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69"/>
        </w:trPr>
        <w:tc>
          <w:tcPr>
            <w:tcW w:w="140" w:type="dxa"/>
            <w:vAlign w:val="bottom"/>
          </w:tcPr>
          <w:p>
            <w:pPr>
              <w:spacing w:after="0"/>
              <w:rPr>
                <w:sz w:val="14"/>
                <w:szCs w:val="14"/>
                <w:color w:val="auto"/>
              </w:rPr>
            </w:pPr>
          </w:p>
        </w:tc>
        <w:tc>
          <w:tcPr>
            <w:tcW w:w="7740" w:type="dxa"/>
            <w:vAlign w:val="bottom"/>
            <w:gridSpan w:val="19"/>
          </w:tcPr>
          <w:p>
            <w:pPr>
              <w:spacing w:after="0" w:line="169" w:lineRule="exact"/>
              <w:rPr>
                <w:rFonts w:ascii="Arial" w:cs="Arial" w:eastAsia="Arial" w:hAnsi="Arial"/>
                <w:sz w:val="16"/>
                <w:szCs w:val="16"/>
                <w:color w:val="0000EE"/>
              </w:rPr>
            </w:pPr>
            <w:hyperlink w:anchor="page48">
              <w:r>
                <w:rPr>
                  <w:rFonts w:ascii="Arial" w:cs="Arial" w:eastAsia="Arial" w:hAnsi="Arial"/>
                  <w:sz w:val="16"/>
                  <w:szCs w:val="16"/>
                  <w:color w:val="0000EE"/>
                </w:rPr>
                <w:t>Item 3. Quantitative and Qualitative Disclosures about Market Risk</w:t>
              </w:r>
            </w:hyperlink>
          </w:p>
        </w:tc>
        <w:tc>
          <w:tcPr>
            <w:tcW w:w="3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340" w:type="dxa"/>
            <w:vAlign w:val="bottom"/>
            <w:tcBorders>
              <w:top w:val="single" w:sz="8" w:color="0000EE"/>
              <w:bottom w:val="single" w:sz="8" w:color="0000EE"/>
            </w:tcBorders>
            <w:gridSpan w:val="10"/>
          </w:tcPr>
          <w:p>
            <w:pPr>
              <w:spacing w:after="0"/>
              <w:rPr>
                <w:rFonts w:ascii="Arial" w:cs="Arial" w:eastAsia="Arial" w:hAnsi="Arial"/>
                <w:sz w:val="16"/>
                <w:szCs w:val="16"/>
                <w:color w:val="0000EE"/>
              </w:rPr>
            </w:pPr>
            <w:hyperlink w:anchor="page48">
              <w:r>
                <w:rPr>
                  <w:rFonts w:ascii="Arial" w:cs="Arial" w:eastAsia="Arial" w:hAnsi="Arial"/>
                  <w:sz w:val="16"/>
                  <w:szCs w:val="16"/>
                  <w:color w:val="0000EE"/>
                </w:rPr>
                <w:t>Item 4. Controls and Procedures</w:t>
              </w:r>
            </w:hyperlink>
          </w:p>
        </w:tc>
        <w:tc>
          <w:tcPr>
            <w:tcW w:w="2420" w:type="dxa"/>
            <w:vAlign w:val="bottom"/>
            <w:tcBorders>
              <w:top w:val="single" w:sz="8" w:color="0000EE"/>
            </w:tcBorders>
            <w:gridSpan w:val="3"/>
          </w:tcPr>
          <w:p>
            <w:pPr>
              <w:spacing w:after="0"/>
              <w:rPr>
                <w:sz w:val="17"/>
                <w:szCs w:val="17"/>
                <w:color w:val="auto"/>
              </w:rPr>
            </w:pPr>
          </w:p>
        </w:tc>
        <w:tc>
          <w:tcPr>
            <w:tcW w:w="2980" w:type="dxa"/>
            <w:vAlign w:val="bottom"/>
            <w:gridSpan w:val="6"/>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412"/>
        </w:trPr>
        <w:tc>
          <w:tcPr>
            <w:tcW w:w="2080" w:type="dxa"/>
            <w:vAlign w:val="bottom"/>
            <w:tcBorders>
              <w:bottom w:val="single" w:sz="8" w:color="0000EE"/>
            </w:tcBorders>
            <w:gridSpan w:val="7"/>
          </w:tcPr>
          <w:p>
            <w:pPr>
              <w:spacing w:after="0"/>
              <w:rPr>
                <w:rFonts w:ascii="Arial" w:cs="Arial" w:eastAsia="Arial" w:hAnsi="Arial"/>
                <w:sz w:val="18"/>
                <w:szCs w:val="18"/>
                <w:b w:val="1"/>
                <w:bCs w:val="1"/>
                <w:color w:val="0000EE"/>
                <w:w w:val="99"/>
              </w:rPr>
            </w:pPr>
            <w:hyperlink w:anchor="page49">
              <w:r>
                <w:rPr>
                  <w:rFonts w:ascii="Arial" w:cs="Arial" w:eastAsia="Arial" w:hAnsi="Arial"/>
                  <w:sz w:val="18"/>
                  <w:szCs w:val="18"/>
                  <w:b w:val="1"/>
                  <w:bCs w:val="1"/>
                  <w:color w:val="0000EE"/>
                  <w:w w:val="99"/>
                </w:rPr>
                <w:t>Part II Other Information</w:t>
              </w:r>
            </w:hyperlink>
          </w:p>
        </w:tc>
        <w:tc>
          <w:tcPr>
            <w:tcW w:w="5800" w:type="dxa"/>
            <w:vAlign w:val="bottom"/>
            <w:gridSpan w:val="13"/>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7740" w:type="dxa"/>
            <w:vAlign w:val="bottom"/>
            <w:gridSpan w:val="19"/>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1. Legal Proceedings</w:t>
              </w:r>
            </w:hyperlink>
          </w:p>
        </w:tc>
        <w:tc>
          <w:tcPr>
            <w:tcW w:w="34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880" w:type="dxa"/>
            <w:vAlign w:val="bottom"/>
            <w:tcBorders>
              <w:top w:val="single" w:sz="8" w:color="0000EE"/>
            </w:tcBorders>
            <w:gridSpan w:val="5"/>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1A. Risk Factors</w:t>
              </w:r>
            </w:hyperlink>
          </w:p>
        </w:tc>
        <w:tc>
          <w:tcPr>
            <w:tcW w:w="5860" w:type="dxa"/>
            <w:vAlign w:val="bottom"/>
            <w:gridSpan w:val="14"/>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2840" w:type="dxa"/>
            <w:vAlign w:val="bottom"/>
            <w:gridSpan w:val="5"/>
          </w:tcPr>
          <w:p>
            <w:pPr>
              <w:spacing w:after="0" w:line="20" w:lineRule="exact"/>
              <w:rPr>
                <w:sz w:val="1"/>
                <w:szCs w:val="1"/>
                <w:color w:val="auto"/>
              </w:rPr>
            </w:pPr>
          </w:p>
        </w:tc>
        <w:tc>
          <w:tcPr>
            <w:tcW w:w="3440" w:type="dxa"/>
            <w:vAlign w:val="bottom"/>
            <w:vMerge w:val="restart"/>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7740" w:type="dxa"/>
            <w:vAlign w:val="bottom"/>
            <w:gridSpan w:val="19"/>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Item 2. Unregistered Sales of Equity Securities and Use of Proceeds</w:t>
              </w:r>
            </w:hyperlink>
          </w:p>
        </w:tc>
        <w:tc>
          <w:tcPr>
            <w:tcW w:w="3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4900" w:type="dxa"/>
            <w:vAlign w:val="bottom"/>
            <w:tcBorders>
              <w:top w:val="single" w:sz="8" w:color="0000EE"/>
            </w:tcBorders>
            <w:gridSpan w:val="14"/>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3. Defaults upon Senior Securities</w:t>
              </w:r>
            </w:hyperlink>
          </w:p>
        </w:tc>
        <w:tc>
          <w:tcPr>
            <w:tcW w:w="2840" w:type="dxa"/>
            <w:vAlign w:val="bottom"/>
            <w:gridSpan w:val="5"/>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9"/>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4. Mine Safety Disclosures</w:t>
              </w:r>
            </w:hyperlink>
          </w:p>
        </w:tc>
        <w:tc>
          <w:tcPr>
            <w:tcW w:w="520" w:type="dxa"/>
            <w:vAlign w:val="bottom"/>
            <w:tcBorders>
              <w:top w:val="single" w:sz="8" w:color="0000EE"/>
            </w:tcBorders>
            <w:gridSpan w:val="2"/>
          </w:tcPr>
          <w:p>
            <w:pPr>
              <w:spacing w:after="0"/>
              <w:rPr>
                <w:sz w:val="17"/>
                <w:szCs w:val="17"/>
                <w:color w:val="auto"/>
              </w:rPr>
            </w:pPr>
          </w:p>
        </w:tc>
        <w:tc>
          <w:tcPr>
            <w:tcW w:w="4940" w:type="dxa"/>
            <w:vAlign w:val="bottom"/>
            <w:gridSpan w:val="8"/>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800" w:type="dxa"/>
            <w:vAlign w:val="bottom"/>
            <w:tcBorders>
              <w:bottom w:val="single" w:sz="8" w:color="0000EE"/>
            </w:tcBorders>
            <w:gridSpan w:val="4"/>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5. Other Information</w:t>
              </w:r>
            </w:hyperlink>
          </w:p>
        </w:tc>
        <w:tc>
          <w:tcPr>
            <w:tcW w:w="5940" w:type="dxa"/>
            <w:vAlign w:val="bottom"/>
            <w:gridSpan w:val="15"/>
          </w:tcPr>
          <w:p>
            <w:pPr>
              <w:spacing w:after="0"/>
              <w:rPr>
                <w:sz w:val="17"/>
                <w:szCs w:val="17"/>
                <w:color w:val="auto"/>
              </w:rPr>
            </w:pPr>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7740" w:type="dxa"/>
            <w:vAlign w:val="bottom"/>
            <w:gridSpan w:val="19"/>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Item 6. Exhibits</w:t>
              </w:r>
            </w:hyperlink>
          </w:p>
        </w:tc>
        <w:tc>
          <w:tcPr>
            <w:tcW w:w="344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 w:name="page3"/>
    <w:bookmarkEnd w:id="2"/>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460" w:type="dxa"/>
            <w:vAlign w:val="bottom"/>
            <w:gridSpan w:val="3"/>
          </w:tcPr>
          <w:p>
            <w:pPr>
              <w:spacing w:after="0"/>
              <w:rPr>
                <w:sz w:val="20"/>
                <w:szCs w:val="20"/>
                <w:color w:val="auto"/>
              </w:rPr>
            </w:pPr>
            <w:r>
              <w:rPr>
                <w:rFonts w:ascii="Arial" w:cs="Arial" w:eastAsia="Arial" w:hAnsi="Arial"/>
                <w:sz w:val="18"/>
                <w:szCs w:val="18"/>
                <w:b w:val="1"/>
                <w:bCs w:val="1"/>
                <w:color w:val="auto"/>
              </w:rPr>
              <w:t>ITEM 1. FINANCIAL STATEMENTS</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20" w:type="dxa"/>
            <w:vAlign w:val="bottom"/>
          </w:tcPr>
          <w:p>
            <w:pPr>
              <w:spacing w:after="0"/>
              <w:rPr>
                <w:sz w:val="24"/>
                <w:szCs w:val="24"/>
                <w:color w:val="auto"/>
              </w:rPr>
            </w:pPr>
          </w:p>
        </w:tc>
        <w:tc>
          <w:tcPr>
            <w:tcW w:w="7440" w:type="dxa"/>
            <w:vAlign w:val="bottom"/>
            <w:gridSpan w:val="2"/>
          </w:tcPr>
          <w:p>
            <w:pPr>
              <w:jc w:val="center"/>
              <w:ind w:left="3850"/>
              <w:spacing w:after="0"/>
              <w:rPr>
                <w:sz w:val="20"/>
                <w:szCs w:val="20"/>
                <w:color w:val="auto"/>
              </w:rPr>
            </w:pPr>
            <w:r>
              <w:rPr>
                <w:rFonts w:ascii="Arial" w:cs="Arial" w:eastAsia="Arial" w:hAnsi="Arial"/>
                <w:sz w:val="18"/>
                <w:szCs w:val="18"/>
                <w:color w:val="auto"/>
                <w:w w:val="98"/>
              </w:rPr>
              <w:t>ALBANY INTERNATIONAL CORP.</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480" w:type="dxa"/>
            <w:vAlign w:val="bottom"/>
            <w:gridSpan w:val="4"/>
          </w:tcPr>
          <w:p>
            <w:pPr>
              <w:jc w:val="center"/>
              <w:ind w:left="2810"/>
              <w:spacing w:after="0" w:line="202" w:lineRule="exact"/>
              <w:rPr>
                <w:sz w:val="20"/>
                <w:szCs w:val="20"/>
                <w:color w:val="auto"/>
              </w:rPr>
            </w:pPr>
            <w:r>
              <w:rPr>
                <w:rFonts w:ascii="Arial" w:cs="Arial" w:eastAsia="Arial" w:hAnsi="Arial"/>
                <w:sz w:val="18"/>
                <w:szCs w:val="18"/>
                <w:color w:val="auto"/>
                <w:w w:val="98"/>
              </w:rPr>
              <w:t>CONSOLIDATED STATEMENTS OF INCOME</w:t>
            </w: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jc w:val="center"/>
              <w:ind w:left="3870"/>
              <w:spacing w:after="0" w:line="202" w:lineRule="exact"/>
              <w:rPr>
                <w:sz w:val="20"/>
                <w:szCs w:val="20"/>
                <w:color w:val="auto"/>
              </w:rPr>
            </w:pPr>
            <w:r>
              <w:rPr>
                <w:rFonts w:ascii="Arial" w:cs="Arial" w:eastAsia="Arial" w:hAnsi="Arial"/>
                <w:sz w:val="18"/>
                <w:szCs w:val="18"/>
                <w:color w:val="auto"/>
                <w:w w:val="99"/>
              </w:rPr>
              <w:t>(in thousands, except per share amounts)</w:t>
            </w: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40" w:type="dxa"/>
            <w:vAlign w:val="bottom"/>
            <w:gridSpan w:val="2"/>
          </w:tcPr>
          <w:p>
            <w:pPr>
              <w:jc w:val="center"/>
              <w:ind w:left="3850"/>
              <w:spacing w:after="0"/>
              <w:rPr>
                <w:sz w:val="20"/>
                <w:szCs w:val="20"/>
                <w:color w:val="auto"/>
              </w:rPr>
            </w:pPr>
            <w:r>
              <w:rPr>
                <w:rFonts w:ascii="Arial" w:cs="Arial" w:eastAsia="Arial" w:hAnsi="Arial"/>
                <w:sz w:val="18"/>
                <w:szCs w:val="18"/>
                <w:color w:val="auto"/>
                <w:w w:val="98"/>
              </w:rPr>
              <w:t>(unaudited)</w:t>
            </w: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3"/>
          </w:tcPr>
          <w:p>
            <w:pPr>
              <w:jc w:val="right"/>
              <w:ind w:right="1260"/>
              <w:spacing w:after="0"/>
              <w:rPr>
                <w:sz w:val="20"/>
                <w:szCs w:val="20"/>
                <w:color w:val="auto"/>
              </w:rPr>
            </w:pPr>
            <w:r>
              <w:rPr>
                <w:rFonts w:ascii="Arial" w:cs="Arial" w:eastAsia="Arial" w:hAnsi="Arial"/>
                <w:sz w:val="18"/>
                <w:szCs w:val="18"/>
                <w:color w:val="auto"/>
                <w:w w:val="98"/>
              </w:rPr>
              <w:t>Three Months Ended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940" w:type="dxa"/>
            <w:vAlign w:val="bottom"/>
            <w:gridSpan w:val="3"/>
          </w:tcPr>
          <w:p>
            <w:pPr>
              <w:jc w:val="right"/>
              <w:ind w:right="170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388"/>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24"/>
                <w:szCs w:val="24"/>
                <w:color w:val="auto"/>
              </w:rPr>
            </w:pPr>
          </w:p>
        </w:tc>
        <w:tc>
          <w:tcPr>
            <w:tcW w:w="2920" w:type="dxa"/>
            <w:vAlign w:val="bottom"/>
            <w:gridSpan w:val="2"/>
          </w:tcPr>
          <w:p>
            <w:pPr>
              <w:jc w:val="right"/>
              <w:ind w:right="3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Net sales</w:t>
            </w:r>
          </w:p>
        </w:tc>
        <w:tc>
          <w:tcPr>
            <w:tcW w:w="10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$251,373</w:t>
            </w:r>
          </w:p>
        </w:tc>
        <w:tc>
          <w:tcPr>
            <w:tcW w:w="29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$223,603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Cost of goods sold</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159,602</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145,821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tcBorders>
              <w:top w:val="single" w:sz="8" w:color="BFBFBF"/>
            </w:tcBorders>
            <w:shd w:val="clear" w:color="auto" w:fill="BFBFBF"/>
          </w:tcPr>
          <w:p>
            <w:pPr>
              <w:spacing w:after="0"/>
              <w:rPr>
                <w:sz w:val="17"/>
                <w:szCs w:val="17"/>
                <w:color w:val="auto"/>
              </w:rPr>
            </w:pPr>
          </w:p>
        </w:tc>
        <w:tc>
          <w:tcPr>
            <w:tcW w:w="480" w:type="dxa"/>
            <w:vAlign w:val="bottom"/>
            <w:tcBorders>
              <w:top w:val="single" w:sz="8" w:color="auto"/>
            </w:tcBorders>
            <w:shd w:val="clear" w:color="auto" w:fill="BFBFBF"/>
          </w:tcPr>
          <w:p>
            <w:pPr>
              <w:spacing w:after="0"/>
              <w:rPr>
                <w:sz w:val="17"/>
                <w:szCs w:val="17"/>
                <w:color w:val="auto"/>
              </w:rPr>
            </w:pPr>
          </w:p>
        </w:tc>
        <w:tc>
          <w:tcPr>
            <w:tcW w:w="1020" w:type="dxa"/>
            <w:vAlign w:val="bottom"/>
            <w:tcBorders>
              <w:top w:val="single" w:sz="8" w:color="auto"/>
            </w:tcBorders>
            <w:shd w:val="clear" w:color="auto" w:fill="BFBFBF"/>
          </w:tcPr>
          <w:p>
            <w:pPr>
              <w:spacing w:after="0"/>
              <w:rPr>
                <w:sz w:val="17"/>
                <w:szCs w:val="17"/>
                <w:color w:val="auto"/>
              </w:rPr>
            </w:pPr>
          </w:p>
        </w:tc>
        <w:tc>
          <w:tcPr>
            <w:tcW w:w="20" w:type="dxa"/>
            <w:vAlign w:val="bottom"/>
            <w:tcBorders>
              <w:top w:val="single" w:sz="8" w:color="BFBFBF"/>
            </w:tcBorders>
            <w:shd w:val="clear" w:color="auto" w:fill="BFBFBF"/>
          </w:tcPr>
          <w:p>
            <w:pPr>
              <w:spacing w:after="0"/>
              <w:rPr>
                <w:sz w:val="17"/>
                <w:szCs w:val="17"/>
                <w:color w:val="auto"/>
              </w:rPr>
            </w:pPr>
          </w:p>
        </w:tc>
        <w:tc>
          <w:tcPr>
            <w:tcW w:w="1680" w:type="dxa"/>
            <w:vAlign w:val="bottom"/>
            <w:tcBorders>
              <w:top w:val="single" w:sz="8" w:color="BFBFBF"/>
            </w:tcBorders>
            <w:shd w:val="clear" w:color="auto" w:fill="BFBFBF"/>
          </w:tcPr>
          <w:p>
            <w:pPr>
              <w:spacing w:after="0"/>
              <w:rPr>
                <w:sz w:val="17"/>
                <w:szCs w:val="17"/>
                <w:color w:val="auto"/>
              </w:rPr>
            </w:pPr>
          </w:p>
        </w:tc>
        <w:tc>
          <w:tcPr>
            <w:tcW w:w="1240" w:type="dxa"/>
            <w:vAlign w:val="bottom"/>
            <w:tcBorders>
              <w:top w:val="single" w:sz="8" w:color="auto"/>
            </w:tcBorders>
            <w:shd w:val="clear" w:color="auto" w:fill="BFBFB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Gross profit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91,771</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77,782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shd w:val="clear" w:color="auto" w:fill="BFBFBF"/>
          </w:tcPr>
          <w:p>
            <w:pPr>
              <w:ind w:left="8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0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40,945</w:t>
            </w:r>
          </w:p>
        </w:tc>
        <w:tc>
          <w:tcPr>
            <w:tcW w:w="29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41,888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Technical and research expenses</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10,249</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10,317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BFBFBF"/>
          </w:tcPr>
          <w:p>
            <w:pPr>
              <w:ind w:left="80"/>
              <w:spacing w:after="0" w:line="202" w:lineRule="exact"/>
              <w:rPr>
                <w:sz w:val="20"/>
                <w:szCs w:val="20"/>
                <w:color w:val="auto"/>
              </w:rPr>
            </w:pPr>
            <w:r>
              <w:rPr>
                <w:rFonts w:ascii="Arial" w:cs="Arial" w:eastAsia="Arial" w:hAnsi="Arial"/>
                <w:sz w:val="18"/>
                <w:szCs w:val="18"/>
                <w:color w:val="auto"/>
              </w:rPr>
              <w:t>Restructuring expenses, net</w:t>
            </w:r>
          </w:p>
        </w:tc>
        <w:tc>
          <w:tcPr>
            <w:tcW w:w="480" w:type="dxa"/>
            <w:vAlign w:val="bottom"/>
            <w:shd w:val="clear" w:color="auto" w:fill="BFBFBF"/>
          </w:tcPr>
          <w:p>
            <w:pPr>
              <w:spacing w:after="0"/>
              <w:rPr>
                <w:sz w:val="17"/>
                <w:szCs w:val="17"/>
                <w:color w:val="auto"/>
              </w:rPr>
            </w:pPr>
          </w:p>
        </w:tc>
        <w:tc>
          <w:tcPr>
            <w:tcW w:w="10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484</w:t>
            </w:r>
          </w:p>
        </w:tc>
        <w:tc>
          <w:tcPr>
            <w:tcW w:w="29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8,573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9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8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40,093</w:t>
            </w:r>
          </w:p>
        </w:tc>
        <w:tc>
          <w:tcPr>
            <w:tcW w:w="2940" w:type="dxa"/>
            <w:vAlign w:val="bottom"/>
            <w:gridSpan w:val="3"/>
          </w:tcPr>
          <w:p>
            <w:pPr>
              <w:jc w:val="right"/>
              <w:ind w:right="20"/>
              <w:spacing w:after="0"/>
              <w:rPr>
                <w:sz w:val="20"/>
                <w:szCs w:val="20"/>
                <w:color w:val="auto"/>
              </w:rPr>
            </w:pPr>
            <w:r>
              <w:rPr>
                <w:rFonts w:ascii="Arial" w:cs="Arial" w:eastAsia="Arial" w:hAnsi="Arial"/>
                <w:sz w:val="18"/>
                <w:szCs w:val="18"/>
                <w:color w:val="auto"/>
              </w:rPr>
              <w:t>17,004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shd w:val="clear" w:color="auto" w:fill="BFBFBF"/>
          </w:tcPr>
          <w:p>
            <w:pPr>
              <w:ind w:left="80"/>
              <w:spacing w:after="0" w:line="202" w:lineRule="exact"/>
              <w:rPr>
                <w:sz w:val="20"/>
                <w:szCs w:val="20"/>
                <w:color w:val="auto"/>
              </w:rPr>
            </w:pPr>
            <w:r>
              <w:rPr>
                <w:rFonts w:ascii="Arial" w:cs="Arial" w:eastAsia="Arial" w:hAnsi="Arial"/>
                <w:sz w:val="18"/>
                <w:szCs w:val="18"/>
                <w:color w:val="auto"/>
              </w:rPr>
              <w:t>Interest expense, net</w:t>
            </w:r>
          </w:p>
        </w:tc>
        <w:tc>
          <w:tcPr>
            <w:tcW w:w="10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4,417</w:t>
            </w:r>
          </w:p>
        </w:tc>
        <w:tc>
          <w:tcPr>
            <w:tcW w:w="29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4,288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Other (income)/expense, net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(1,208)</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960" w:type="dxa"/>
            <w:vAlign w:val="bottom"/>
            <w:tcBorders>
              <w:top w:val="single" w:sz="8" w:color="BFBFBF"/>
            </w:tcBorders>
            <w:shd w:val="clear" w:color="auto" w:fill="BFBFBF"/>
          </w:tcPr>
          <w:p>
            <w:pPr>
              <w:spacing w:after="0"/>
              <w:rPr>
                <w:sz w:val="17"/>
                <w:szCs w:val="17"/>
                <w:color w:val="auto"/>
              </w:rPr>
            </w:pPr>
          </w:p>
        </w:tc>
        <w:tc>
          <w:tcPr>
            <w:tcW w:w="480" w:type="dxa"/>
            <w:vAlign w:val="bottom"/>
            <w:tcBorders>
              <w:top w:val="single" w:sz="8" w:color="auto"/>
            </w:tcBorders>
            <w:shd w:val="clear" w:color="auto" w:fill="BFBFBF"/>
          </w:tcPr>
          <w:p>
            <w:pPr>
              <w:spacing w:after="0"/>
              <w:rPr>
                <w:sz w:val="17"/>
                <w:szCs w:val="17"/>
                <w:color w:val="auto"/>
              </w:rPr>
            </w:pPr>
          </w:p>
        </w:tc>
        <w:tc>
          <w:tcPr>
            <w:tcW w:w="1020" w:type="dxa"/>
            <w:vAlign w:val="bottom"/>
            <w:tcBorders>
              <w:top w:val="single" w:sz="8" w:color="auto"/>
            </w:tcBorders>
            <w:shd w:val="clear" w:color="auto" w:fill="BFBFBF"/>
          </w:tcPr>
          <w:p>
            <w:pPr>
              <w:spacing w:after="0"/>
              <w:rPr>
                <w:sz w:val="17"/>
                <w:szCs w:val="17"/>
                <w:color w:val="auto"/>
              </w:rPr>
            </w:pPr>
          </w:p>
        </w:tc>
        <w:tc>
          <w:tcPr>
            <w:tcW w:w="20" w:type="dxa"/>
            <w:vAlign w:val="bottom"/>
            <w:tcBorders>
              <w:top w:val="single" w:sz="8" w:color="BFBFBF"/>
            </w:tcBorders>
            <w:shd w:val="clear" w:color="auto" w:fill="BFBFBF"/>
          </w:tcPr>
          <w:p>
            <w:pPr>
              <w:spacing w:after="0"/>
              <w:rPr>
                <w:sz w:val="17"/>
                <w:szCs w:val="17"/>
                <w:color w:val="auto"/>
              </w:rPr>
            </w:pPr>
          </w:p>
        </w:tc>
        <w:tc>
          <w:tcPr>
            <w:tcW w:w="1680" w:type="dxa"/>
            <w:vAlign w:val="bottom"/>
            <w:tcBorders>
              <w:top w:val="single" w:sz="8" w:color="BFBFBF"/>
            </w:tcBorders>
            <w:shd w:val="clear" w:color="auto" w:fill="BFBFBF"/>
          </w:tcPr>
          <w:p>
            <w:pPr>
              <w:spacing w:after="0"/>
              <w:rPr>
                <w:sz w:val="17"/>
                <w:szCs w:val="17"/>
                <w:color w:val="auto"/>
              </w:rPr>
            </w:pPr>
          </w:p>
        </w:tc>
        <w:tc>
          <w:tcPr>
            <w:tcW w:w="1240" w:type="dxa"/>
            <w:vAlign w:val="bottom"/>
            <w:tcBorders>
              <w:top w:val="single" w:sz="8" w:color="auto"/>
            </w:tcBorders>
            <w:shd w:val="clear" w:color="auto" w:fill="BFBFB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Income before income taxes</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36,884</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11,264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shd w:val="clear" w:color="auto" w:fill="BFBFBF"/>
          </w:tcPr>
          <w:p>
            <w:pPr>
              <w:ind w:left="80"/>
              <w:spacing w:after="0" w:line="202" w:lineRule="exact"/>
              <w:rPr>
                <w:sz w:val="20"/>
                <w:szCs w:val="20"/>
                <w:color w:val="auto"/>
              </w:rPr>
            </w:pPr>
            <w:r>
              <w:rPr>
                <w:rFonts w:ascii="Arial" w:cs="Arial" w:eastAsia="Arial" w:hAnsi="Arial"/>
                <w:sz w:val="18"/>
                <w:szCs w:val="18"/>
                <w:color w:val="auto"/>
              </w:rPr>
              <w:t>Income tax expense</w:t>
            </w:r>
          </w:p>
        </w:tc>
        <w:tc>
          <w:tcPr>
            <w:tcW w:w="10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7,476</w:t>
            </w:r>
          </w:p>
        </w:tc>
        <w:tc>
          <w:tcPr>
            <w:tcW w:w="29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3,365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shd w:val="clear" w:color="auto" w:fill="BFBFBF"/>
          </w:tcPr>
          <w:p>
            <w:pPr>
              <w:ind w:left="40"/>
              <w:spacing w:after="0" w:line="202" w:lineRule="exact"/>
              <w:rPr>
                <w:sz w:val="20"/>
                <w:szCs w:val="20"/>
                <w:color w:val="auto"/>
              </w:rPr>
            </w:pPr>
            <w:r>
              <w:rPr>
                <w:rFonts w:ascii="Arial" w:cs="Arial" w:eastAsia="Arial" w:hAnsi="Arial"/>
                <w:sz w:val="18"/>
                <w:szCs w:val="18"/>
                <w:color w:val="auto"/>
              </w:rPr>
              <w:t>Net income</w:t>
            </w:r>
          </w:p>
        </w:tc>
        <w:tc>
          <w:tcPr>
            <w:tcW w:w="10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29,408</w:t>
            </w:r>
          </w:p>
        </w:tc>
        <w:tc>
          <w:tcPr>
            <w:tcW w:w="29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7,899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the noncontrolling interest</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218</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960" w:type="dxa"/>
            <w:vAlign w:val="bottom"/>
            <w:tcBorders>
              <w:top w:val="single" w:sz="8" w:color="BFBFBF"/>
              <w:bottom w:val="single" w:sz="8" w:color="BFBFBF"/>
            </w:tcBorders>
            <w:shd w:val="clear" w:color="auto" w:fill="BFBFBF"/>
          </w:tcPr>
          <w:p>
            <w:pPr>
              <w:ind w:left="40"/>
              <w:spacing w:after="0" w:line="196" w:lineRule="exact"/>
              <w:rPr>
                <w:sz w:val="20"/>
                <w:szCs w:val="20"/>
                <w:color w:val="auto"/>
              </w:rPr>
            </w:pPr>
            <w:r>
              <w:rPr>
                <w:rFonts w:ascii="Arial" w:cs="Arial" w:eastAsia="Arial" w:hAnsi="Arial"/>
                <w:sz w:val="18"/>
                <w:szCs w:val="18"/>
                <w:color w:val="auto"/>
              </w:rPr>
              <w:t>Net income attributable to the Company</w:t>
            </w:r>
          </w:p>
        </w:tc>
        <w:tc>
          <w:tcPr>
            <w:tcW w:w="480" w:type="dxa"/>
            <w:vAlign w:val="bottom"/>
            <w:tcBorders>
              <w:top w:val="single" w:sz="8" w:color="auto"/>
              <w:bottom w:val="single" w:sz="8" w:color="auto"/>
            </w:tcBorders>
            <w:shd w:val="clear" w:color="auto" w:fill="BFBFBF"/>
          </w:tcPr>
          <w:p>
            <w:pPr>
              <w:spacing w:after="0"/>
              <w:rPr>
                <w:sz w:val="17"/>
                <w:szCs w:val="17"/>
                <w:color w:val="auto"/>
              </w:rPr>
            </w:pPr>
          </w:p>
        </w:tc>
        <w:tc>
          <w:tcPr>
            <w:tcW w:w="10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$29,190</w:t>
            </w:r>
          </w:p>
        </w:tc>
        <w:tc>
          <w:tcPr>
            <w:tcW w:w="20" w:type="dxa"/>
            <w:vAlign w:val="bottom"/>
            <w:tcBorders>
              <w:top w:val="single" w:sz="8" w:color="BFBFBF"/>
              <w:bottom w:val="single" w:sz="8" w:color="BFBFBF"/>
            </w:tcBorders>
            <w:shd w:val="clear" w:color="auto" w:fill="BFBFBF"/>
          </w:tcPr>
          <w:p>
            <w:pPr>
              <w:spacing w:after="0"/>
              <w:rPr>
                <w:sz w:val="17"/>
                <w:szCs w:val="17"/>
                <w:color w:val="auto"/>
              </w:rPr>
            </w:pPr>
          </w:p>
        </w:tc>
        <w:tc>
          <w:tcPr>
            <w:tcW w:w="1680" w:type="dxa"/>
            <w:vAlign w:val="bottom"/>
            <w:tcBorders>
              <w:top w:val="single" w:sz="8" w:color="BFBFBF"/>
              <w:bottom w:val="single" w:sz="8" w:color="BFBFBF"/>
            </w:tcBorders>
            <w:shd w:val="clear" w:color="auto" w:fill="BFBFBF"/>
          </w:tcPr>
          <w:p>
            <w:pPr>
              <w:spacing w:after="0"/>
              <w:rPr>
                <w:sz w:val="17"/>
                <w:szCs w:val="17"/>
                <w:color w:val="auto"/>
              </w:rPr>
            </w:pPr>
          </w:p>
        </w:tc>
        <w:tc>
          <w:tcPr>
            <w:tcW w:w="124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$7,662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Earnings per share attributable to Company shareholders - Basic</w:t>
            </w:r>
          </w:p>
        </w:tc>
        <w:tc>
          <w:tcPr>
            <w:tcW w:w="10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$0.90</w:t>
            </w:r>
          </w:p>
        </w:tc>
        <w:tc>
          <w:tcPr>
            <w:tcW w:w="29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$0.24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Earnings per share attributable to Company shareholders - Diluted</w:t>
            </w:r>
          </w:p>
        </w:tc>
        <w:tc>
          <w:tcPr>
            <w:tcW w:w="1040" w:type="dxa"/>
            <w:vAlign w:val="bottom"/>
            <w:gridSpan w:val="2"/>
            <w:shd w:val="clear" w:color="auto" w:fill="BFBFBF"/>
          </w:tcPr>
          <w:p>
            <w:pPr>
              <w:jc w:val="right"/>
              <w:ind w:right="20"/>
              <w:spacing w:after="0" w:line="202" w:lineRule="exact"/>
              <w:rPr>
                <w:sz w:val="20"/>
                <w:szCs w:val="20"/>
                <w:color w:val="auto"/>
              </w:rPr>
            </w:pPr>
            <w:r>
              <w:rPr>
                <w:rFonts w:ascii="Arial" w:cs="Arial" w:eastAsia="Arial" w:hAnsi="Arial"/>
                <w:sz w:val="18"/>
                <w:szCs w:val="18"/>
                <w:color w:val="auto"/>
              </w:rPr>
              <w:t>$0.90</w:t>
            </w:r>
          </w:p>
        </w:tc>
        <w:tc>
          <w:tcPr>
            <w:tcW w:w="292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$0.24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gridSpan w:val="2"/>
            <w:shd w:val="clear" w:color="auto" w:fill="BFBFBF"/>
          </w:tcPr>
          <w:p>
            <w:pPr>
              <w:spacing w:after="0" w:line="202" w:lineRule="exact"/>
              <w:rPr>
                <w:sz w:val="20"/>
                <w:szCs w:val="20"/>
                <w:color w:val="auto"/>
              </w:rPr>
            </w:pPr>
            <w:r>
              <w:rPr>
                <w:rFonts w:ascii="Arial" w:cs="Arial" w:eastAsia="Arial" w:hAnsi="Arial"/>
                <w:sz w:val="18"/>
                <w:szCs w:val="18"/>
                <w:color w:val="auto"/>
              </w:rPr>
              <w:t>Shares of the Company used in computing earnings per share:</w:t>
            </w:r>
          </w:p>
        </w:tc>
        <w:tc>
          <w:tcPr>
            <w:tcW w:w="102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68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Basic</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32,272</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32,220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68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4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Diluted</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32,285</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32,236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96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68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440" w:type="dxa"/>
            <w:vAlign w:val="bottom"/>
            <w:gridSpan w:val="2"/>
          </w:tcPr>
          <w:p>
            <w:pPr>
              <w:spacing w:after="0" w:line="202" w:lineRule="exact"/>
              <w:rPr>
                <w:sz w:val="20"/>
                <w:szCs w:val="20"/>
                <w:color w:val="auto"/>
              </w:rPr>
            </w:pPr>
            <w:r>
              <w:rPr>
                <w:rFonts w:ascii="Arial" w:cs="Arial" w:eastAsia="Arial" w:hAnsi="Arial"/>
                <w:sz w:val="18"/>
                <w:szCs w:val="18"/>
                <w:color w:val="auto"/>
              </w:rPr>
              <w:t>Dividends declared per share, Class A and Class B</w:t>
            </w: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$0.18</w:t>
            </w:r>
          </w:p>
        </w:tc>
        <w:tc>
          <w:tcPr>
            <w:tcW w:w="2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$0.17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shd w:val="clear" w:color="auto" w:fill="BFBFBF"/>
          </w:tcPr>
          <w:p>
            <w:pPr>
              <w:spacing w:after="0"/>
              <w:rPr>
                <w:sz w:val="17"/>
                <w:szCs w:val="17"/>
                <w:color w:val="auto"/>
              </w:rPr>
            </w:pPr>
          </w:p>
        </w:tc>
        <w:tc>
          <w:tcPr>
            <w:tcW w:w="480" w:type="dxa"/>
            <w:vAlign w:val="bottom"/>
            <w:shd w:val="clear" w:color="auto" w:fill="BFBFBF"/>
          </w:tcPr>
          <w:p>
            <w:pPr>
              <w:spacing w:after="0"/>
              <w:rPr>
                <w:sz w:val="17"/>
                <w:szCs w:val="17"/>
                <w:color w:val="auto"/>
              </w:rPr>
            </w:pPr>
          </w:p>
        </w:tc>
        <w:tc>
          <w:tcPr>
            <w:tcW w:w="1020" w:type="dxa"/>
            <w:vAlign w:val="bottom"/>
            <w:shd w:val="clear" w:color="auto" w:fill="BFBFBF"/>
          </w:tcPr>
          <w:p>
            <w:pPr>
              <w:spacing w:after="0"/>
              <w:rPr>
                <w:sz w:val="17"/>
                <w:szCs w:val="17"/>
                <w:color w:val="auto"/>
              </w:rPr>
            </w:pPr>
          </w:p>
        </w:tc>
        <w:tc>
          <w:tcPr>
            <w:tcW w:w="20" w:type="dxa"/>
            <w:vAlign w:val="bottom"/>
            <w:shd w:val="clear" w:color="auto" w:fill="BFBFBF"/>
          </w:tcPr>
          <w:p>
            <w:pPr>
              <w:spacing w:after="0"/>
              <w:rPr>
                <w:sz w:val="17"/>
                <w:szCs w:val="17"/>
                <w:color w:val="auto"/>
              </w:rPr>
            </w:pPr>
          </w:p>
        </w:tc>
        <w:tc>
          <w:tcPr>
            <w:tcW w:w="1680" w:type="dxa"/>
            <w:vAlign w:val="bottom"/>
            <w:shd w:val="clear" w:color="auto" w:fill="BFBFBF"/>
          </w:tcPr>
          <w:p>
            <w:pPr>
              <w:spacing w:after="0"/>
              <w:rPr>
                <w:sz w:val="17"/>
                <w:szCs w:val="17"/>
                <w:color w:val="auto"/>
              </w:rPr>
            </w:pPr>
          </w:p>
        </w:tc>
        <w:tc>
          <w:tcPr>
            <w:tcW w:w="124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COMPREHENSIVE INCOME/(LOSS)</w:t>
      </w:r>
    </w:p>
    <w:p>
      <w:pPr>
        <w:jc w:val="center"/>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60" w:type="dxa"/>
            <w:vAlign w:val="bottom"/>
            <w:gridSpan w:val="3"/>
          </w:tcPr>
          <w:p>
            <w:pPr>
              <w:jc w:val="right"/>
              <w:ind w:right="1180"/>
              <w:spacing w:after="0"/>
              <w:rPr>
                <w:sz w:val="20"/>
                <w:szCs w:val="20"/>
                <w:color w:val="auto"/>
              </w:rPr>
            </w:pPr>
            <w:r>
              <w:rPr>
                <w:rFonts w:ascii="Arial" w:cs="Arial" w:eastAsia="Arial" w:hAnsi="Arial"/>
                <w:sz w:val="18"/>
                <w:szCs w:val="18"/>
                <w:color w:val="auto"/>
                <w:w w:val="98"/>
              </w:rPr>
              <w:t>Three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60" w:type="dxa"/>
            <w:vAlign w:val="bottom"/>
            <w:gridSpan w:val="3"/>
          </w:tcPr>
          <w:p>
            <w:pPr>
              <w:jc w:val="right"/>
              <w:ind w:right="162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80" w:type="dxa"/>
            <w:vAlign w:val="bottom"/>
          </w:tcPr>
          <w:p>
            <w:pPr>
              <w:spacing w:after="0"/>
              <w:rPr>
                <w:sz w:val="19"/>
                <w:szCs w:val="19"/>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2840" w:type="dxa"/>
            <w:vAlign w:val="bottom"/>
            <w:gridSpan w:val="2"/>
          </w:tcPr>
          <w:p>
            <w:pPr>
              <w:jc w:val="right"/>
              <w:ind w:right="2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1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$29,408</w:t>
            </w:r>
          </w:p>
        </w:tc>
        <w:tc>
          <w:tcPr>
            <w:tcW w:w="28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$7,899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3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Other comprehensive income/(loss), before tax:</w:t>
            </w:r>
          </w:p>
        </w:tc>
        <w:tc>
          <w:tcPr>
            <w:tcW w:w="1180" w:type="dxa"/>
            <w:vAlign w:val="bottom"/>
            <w:shd w:val="clear" w:color="auto" w:fill="BFBFBF"/>
          </w:tcPr>
          <w:p>
            <w:pPr>
              <w:spacing w:after="0"/>
              <w:rPr>
                <w:sz w:val="17"/>
                <w:szCs w:val="17"/>
                <w:color w:val="auto"/>
              </w:rPr>
            </w:pPr>
          </w:p>
        </w:tc>
        <w:tc>
          <w:tcPr>
            <w:tcW w:w="1680" w:type="dxa"/>
            <w:vAlign w:val="bottom"/>
            <w:shd w:val="clear" w:color="auto" w:fill="BFBFBF"/>
          </w:tcPr>
          <w:p>
            <w:pPr>
              <w:spacing w:after="0"/>
              <w:rPr>
                <w:sz w:val="17"/>
                <w:szCs w:val="17"/>
                <w:color w:val="auto"/>
              </w:rPr>
            </w:pPr>
          </w:p>
        </w:tc>
        <w:tc>
          <w:tcPr>
            <w:tcW w:w="11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60"/>
              <w:spacing w:after="0" w:line="202" w:lineRule="exact"/>
              <w:rPr>
                <w:sz w:val="20"/>
                <w:szCs w:val="20"/>
                <w:color w:val="auto"/>
              </w:rPr>
            </w:pPr>
            <w:r>
              <w:rPr>
                <w:rFonts w:ascii="Arial" w:cs="Arial" w:eastAsia="Arial" w:hAnsi="Arial"/>
                <w:sz w:val="18"/>
                <w:szCs w:val="18"/>
                <w:color w:val="auto"/>
              </w:rPr>
              <w:t>Foreign currency translation and other adjustments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(2,152)</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Amortization of pension liability adjustments:</w:t>
            </w:r>
          </w:p>
        </w:tc>
        <w:tc>
          <w:tcPr>
            <w:tcW w:w="1180" w:type="dxa"/>
            <w:vAlign w:val="bottom"/>
            <w:shd w:val="clear" w:color="auto" w:fill="BFBFBF"/>
          </w:tcPr>
          <w:p>
            <w:pPr>
              <w:spacing w:after="0"/>
              <w:rPr>
                <w:sz w:val="17"/>
                <w:szCs w:val="17"/>
                <w:color w:val="auto"/>
              </w:rPr>
            </w:pPr>
          </w:p>
        </w:tc>
        <w:tc>
          <w:tcPr>
            <w:tcW w:w="1680" w:type="dxa"/>
            <w:vAlign w:val="bottom"/>
            <w:shd w:val="clear" w:color="auto" w:fill="BFBFBF"/>
          </w:tcPr>
          <w:p>
            <w:pPr>
              <w:spacing w:after="0"/>
              <w:rPr>
                <w:sz w:val="17"/>
                <w:szCs w:val="17"/>
                <w:color w:val="auto"/>
              </w:rPr>
            </w:pPr>
          </w:p>
        </w:tc>
        <w:tc>
          <w:tcPr>
            <w:tcW w:w="116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260"/>
              <w:spacing w:after="0" w:line="202" w:lineRule="exact"/>
              <w:rPr>
                <w:sz w:val="20"/>
                <w:szCs w:val="20"/>
                <w:color w:val="auto"/>
              </w:rPr>
            </w:pPr>
            <w:r>
              <w:rPr>
                <w:rFonts w:ascii="Arial" w:cs="Arial" w:eastAsia="Arial" w:hAnsi="Arial"/>
                <w:sz w:val="18"/>
                <w:szCs w:val="18"/>
                <w:color w:val="auto"/>
              </w:rPr>
              <w:t>Prior service credit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(1,105)</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260"/>
              <w:spacing w:after="0" w:line="202" w:lineRule="exact"/>
              <w:rPr>
                <w:sz w:val="20"/>
                <w:szCs w:val="20"/>
                <w:color w:val="auto"/>
              </w:rPr>
            </w:pPr>
            <w:r>
              <w:rPr>
                <w:rFonts w:ascii="Arial" w:cs="Arial" w:eastAsia="Arial" w:hAnsi="Arial"/>
                <w:sz w:val="18"/>
                <w:szCs w:val="18"/>
                <w:color w:val="auto"/>
              </w:rPr>
              <w:t>Net actuarial loss</w:t>
            </w:r>
          </w:p>
        </w:tc>
        <w:tc>
          <w:tcPr>
            <w:tcW w:w="11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1,121</w:t>
            </w:r>
          </w:p>
        </w:tc>
        <w:tc>
          <w:tcPr>
            <w:tcW w:w="28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1,297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60"/>
              <w:spacing w:after="0" w:line="202" w:lineRule="exact"/>
              <w:rPr>
                <w:sz w:val="20"/>
                <w:szCs w:val="20"/>
                <w:color w:val="auto"/>
              </w:rPr>
            </w:pPr>
            <w:r>
              <w:rPr>
                <w:rFonts w:ascii="Arial" w:cs="Arial" w:eastAsia="Arial" w:hAnsi="Arial"/>
                <w:sz w:val="18"/>
                <w:szCs w:val="18"/>
                <w:color w:val="auto"/>
              </w:rPr>
              <w:t>Payments and amortization related to interest rate swaps included in earnings</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(452)</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Derivative valuation adjustment</w:t>
            </w:r>
          </w:p>
        </w:tc>
        <w:tc>
          <w:tcPr>
            <w:tcW w:w="11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(3,377)</w:t>
            </w:r>
          </w:p>
        </w:tc>
        <w:tc>
          <w:tcPr>
            <w:tcW w:w="28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5,715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7400" w:type="dxa"/>
            <w:vAlign w:val="bottom"/>
            <w:gridSpan w:val="2"/>
          </w:tcPr>
          <w:p>
            <w:pPr>
              <w:spacing w:after="0"/>
              <w:rPr>
                <w:sz w:val="20"/>
                <w:szCs w:val="20"/>
                <w:color w:val="auto"/>
              </w:rPr>
            </w:pPr>
            <w:r>
              <w:rPr>
                <w:rFonts w:ascii="Arial" w:cs="Arial" w:eastAsia="Arial" w:hAnsi="Arial"/>
                <w:sz w:val="18"/>
                <w:szCs w:val="18"/>
                <w:color w:val="auto"/>
              </w:rPr>
              <w:t>Income taxes related to items of other comprehensive income/(loss):</w:t>
            </w: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380" w:type="dxa"/>
            <w:vAlign w:val="bottom"/>
          </w:tcPr>
          <w:p>
            <w:pPr>
              <w:ind w:left="160"/>
              <w:spacing w:after="0"/>
              <w:rPr>
                <w:sz w:val="20"/>
                <w:szCs w:val="20"/>
                <w:color w:val="auto"/>
              </w:rPr>
            </w:pPr>
            <w:r>
              <w:rPr>
                <w:rFonts w:ascii="Arial" w:cs="Arial" w:eastAsia="Arial" w:hAnsi="Arial"/>
                <w:sz w:val="18"/>
                <w:szCs w:val="18"/>
                <w:color w:val="auto"/>
              </w:rPr>
              <w:t>Amortization of pension liability adjustment</w:t>
            </w:r>
          </w:p>
        </w:tc>
        <w:tc>
          <w:tcPr>
            <w:tcW w:w="1180" w:type="dxa"/>
            <w:vAlign w:val="bottom"/>
          </w:tcPr>
          <w:p>
            <w:pPr>
              <w:jc w:val="right"/>
              <w:spacing w:after="0"/>
              <w:rPr>
                <w:sz w:val="20"/>
                <w:szCs w:val="20"/>
                <w:color w:val="auto"/>
              </w:rPr>
            </w:pPr>
            <w:r>
              <w:rPr>
                <w:rFonts w:ascii="Arial" w:cs="Arial" w:eastAsia="Arial" w:hAnsi="Arial"/>
                <w:sz w:val="18"/>
                <w:szCs w:val="18"/>
                <w:color w:val="auto"/>
              </w:rPr>
              <w:t>(5)</w:t>
            </w:r>
          </w:p>
        </w:tc>
        <w:tc>
          <w:tcPr>
            <w:tcW w:w="2860" w:type="dxa"/>
            <w:vAlign w:val="bottom"/>
            <w:gridSpan w:val="3"/>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shd w:val="clear" w:color="auto" w:fill="BFBFBF"/>
          </w:tcPr>
          <w:p>
            <w:pPr>
              <w:ind w:left="160"/>
              <w:spacing w:after="0" w:line="202" w:lineRule="exact"/>
              <w:rPr>
                <w:sz w:val="20"/>
                <w:szCs w:val="20"/>
                <w:color w:val="auto"/>
              </w:rPr>
            </w:pPr>
            <w:r>
              <w:rPr>
                <w:rFonts w:ascii="Arial" w:cs="Arial" w:eastAsia="Arial" w:hAnsi="Arial"/>
                <w:sz w:val="18"/>
                <w:szCs w:val="18"/>
                <w:color w:val="auto"/>
              </w:rPr>
              <w:t>Payments related to interest rate swaps included in earnings</w:t>
            </w:r>
          </w:p>
        </w:tc>
        <w:tc>
          <w:tcPr>
            <w:tcW w:w="118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115</w:t>
            </w:r>
          </w:p>
        </w:tc>
        <w:tc>
          <w:tcPr>
            <w:tcW w:w="2840" w:type="dxa"/>
            <w:vAlign w:val="bottom"/>
            <w:gridSpan w:val="2"/>
            <w:shd w:val="clear" w:color="auto" w:fill="BFBFBF"/>
          </w:tcPr>
          <w:p>
            <w:pPr>
              <w:jc w:val="right"/>
              <w:spacing w:after="0" w:line="202"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ind w:left="160"/>
              <w:spacing w:after="0" w:line="202" w:lineRule="exact"/>
              <w:rPr>
                <w:sz w:val="20"/>
                <w:szCs w:val="20"/>
                <w:color w:val="auto"/>
              </w:rPr>
            </w:pPr>
            <w:r>
              <w:rPr>
                <w:rFonts w:ascii="Arial" w:cs="Arial" w:eastAsia="Arial" w:hAnsi="Arial"/>
                <w:sz w:val="18"/>
                <w:szCs w:val="18"/>
                <w:color w:val="auto"/>
              </w:rPr>
              <w:t>Derivative valuation adjustment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863</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BFBFBF"/>
            </w:tcBorders>
            <w:shd w:val="clear" w:color="auto" w:fill="BFBFBF"/>
          </w:tcPr>
          <w:p>
            <w:pPr>
              <w:ind w:left="160"/>
              <w:spacing w:after="0" w:line="196" w:lineRule="exact"/>
              <w:rPr>
                <w:sz w:val="20"/>
                <w:szCs w:val="20"/>
                <w:color w:val="auto"/>
              </w:rPr>
            </w:pPr>
            <w:r>
              <w:rPr>
                <w:rFonts w:ascii="Arial" w:cs="Arial" w:eastAsia="Arial" w:hAnsi="Arial"/>
                <w:sz w:val="18"/>
                <w:szCs w:val="18"/>
                <w:color w:val="auto"/>
              </w:rPr>
              <w:t>Comprehensive income</w:t>
            </w:r>
          </w:p>
        </w:tc>
        <w:tc>
          <w:tcPr>
            <w:tcW w:w="118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24,416</w:t>
            </w:r>
          </w:p>
        </w:tc>
        <w:tc>
          <w:tcPr>
            <w:tcW w:w="1680" w:type="dxa"/>
            <w:vAlign w:val="bottom"/>
            <w:tcBorders>
              <w:top w:val="single" w:sz="8" w:color="BFBFBF"/>
            </w:tcBorders>
            <w:shd w:val="clear" w:color="auto" w:fill="BFBFBF"/>
          </w:tcPr>
          <w:p>
            <w:pPr>
              <w:spacing w:after="0"/>
              <w:rPr>
                <w:sz w:val="17"/>
                <w:szCs w:val="17"/>
                <w:color w:val="auto"/>
              </w:rPr>
            </w:pPr>
          </w:p>
        </w:tc>
        <w:tc>
          <w:tcPr>
            <w:tcW w:w="116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30,012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380" w:type="dxa"/>
            <w:vAlign w:val="bottom"/>
          </w:tcPr>
          <w:p>
            <w:pPr>
              <w:spacing w:after="0" w:line="202" w:lineRule="exact"/>
              <w:rPr>
                <w:sz w:val="20"/>
                <w:szCs w:val="20"/>
                <w:color w:val="auto"/>
              </w:rPr>
            </w:pPr>
            <w:r>
              <w:rPr>
                <w:rFonts w:ascii="Arial" w:cs="Arial" w:eastAsia="Arial" w:hAnsi="Arial"/>
                <w:sz w:val="18"/>
                <w:szCs w:val="18"/>
                <w:color w:val="auto"/>
              </w:rPr>
              <w:t>Comprehensive income/(loss) attributable to the noncontrolling interest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210</w:t>
            </w:r>
          </w:p>
        </w:tc>
        <w:tc>
          <w:tcPr>
            <w:tcW w:w="2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BFBFBF"/>
              <w:bottom w:val="single" w:sz="8" w:color="BFBFBF"/>
            </w:tcBorders>
            <w:shd w:val="clear" w:color="auto" w:fill="BFBFBF"/>
          </w:tcPr>
          <w:p>
            <w:pPr>
              <w:spacing w:after="0" w:line="196" w:lineRule="exact"/>
              <w:rPr>
                <w:sz w:val="20"/>
                <w:szCs w:val="20"/>
                <w:color w:val="auto"/>
              </w:rPr>
            </w:pPr>
            <w:r>
              <w:rPr>
                <w:rFonts w:ascii="Arial" w:cs="Arial" w:eastAsia="Arial" w:hAnsi="Arial"/>
                <w:sz w:val="18"/>
                <w:szCs w:val="18"/>
                <w:color w:val="auto"/>
              </w:rPr>
              <w:t>Comprehensive income attributable to the Company</w:t>
            </w:r>
          </w:p>
        </w:tc>
        <w:tc>
          <w:tcPr>
            <w:tcW w:w="118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$24,206</w:t>
            </w:r>
          </w:p>
        </w:tc>
        <w:tc>
          <w:tcPr>
            <w:tcW w:w="1680" w:type="dxa"/>
            <w:vAlign w:val="bottom"/>
            <w:tcBorders>
              <w:top w:val="single" w:sz="8" w:color="BFBFBF"/>
              <w:bottom w:val="single" w:sz="8" w:color="BFBFBF"/>
            </w:tcBorders>
            <w:shd w:val="clear" w:color="auto" w:fill="BFBFBF"/>
          </w:tcPr>
          <w:p>
            <w:pPr>
              <w:spacing w:after="0"/>
              <w:rPr>
                <w:sz w:val="17"/>
                <w:szCs w:val="17"/>
                <w:color w:val="auto"/>
              </w:rPr>
            </w:pPr>
          </w:p>
        </w:tc>
        <w:tc>
          <w:tcPr>
            <w:tcW w:w="116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$29,782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8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jc w:val="center"/>
        <w:spacing w:after="0" w:line="234"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spacing w:after="0"/>
              <w:rPr>
                <w:sz w:val="19"/>
                <w:szCs w:val="19"/>
                <w:color w:val="auto"/>
              </w:rPr>
            </w:pPr>
          </w:p>
        </w:tc>
        <w:tc>
          <w:tcPr>
            <w:tcW w:w="1960" w:type="dxa"/>
            <w:vAlign w:val="bottom"/>
            <w:gridSpan w:val="2"/>
          </w:tcPr>
          <w:p>
            <w:pPr>
              <w:jc w:val="right"/>
              <w:ind w:right="700"/>
              <w:spacing w:after="0"/>
              <w:rPr>
                <w:sz w:val="20"/>
                <w:szCs w:val="20"/>
                <w:color w:val="auto"/>
              </w:rPr>
            </w:pPr>
            <w:r>
              <w:rPr>
                <w:rFonts w:ascii="Arial" w:cs="Arial" w:eastAsia="Arial" w:hAnsi="Arial"/>
                <w:sz w:val="18"/>
                <w:szCs w:val="18"/>
                <w:color w:val="auto"/>
              </w:rPr>
              <w:t>March 31,</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5"/>
        </w:trPr>
        <w:tc>
          <w:tcPr>
            <w:tcW w:w="776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7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19"/>
                <w:szCs w:val="19"/>
                <w:color w:val="auto"/>
              </w:rPr>
            </w:pPr>
          </w:p>
        </w:tc>
        <w:tc>
          <w:tcPr>
            <w:tcW w:w="17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60" w:type="dxa"/>
            <w:vAlign w:val="bottom"/>
            <w:vMerge w:val="continue"/>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9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$187,385</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$197,755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234,127</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223,176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Contract assets</w:t>
            </w:r>
          </w:p>
        </w:tc>
        <w:tc>
          <w:tcPr>
            <w:tcW w:w="19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57,869</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57,447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102,379</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85,904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Income taxes prepaid and receivable</w:t>
            </w:r>
          </w:p>
        </w:tc>
        <w:tc>
          <w:tcPr>
            <w:tcW w:w="19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6,818</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7,473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23,696</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21,294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C0C0C0"/>
            </w:tcBorders>
            <w:shd w:val="clear" w:color="auto" w:fill="C0C0C0"/>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700" w:type="dxa"/>
            <w:vAlign w:val="bottom"/>
            <w:tcBorders>
              <w:top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612,274</w:t>
            </w:r>
          </w:p>
        </w:tc>
        <w:tc>
          <w:tcPr>
            <w:tcW w:w="260" w:type="dxa"/>
            <w:vAlign w:val="bottom"/>
            <w:tcBorders>
              <w:top w:val="single" w:sz="8" w:color="C0C0C0"/>
            </w:tcBorders>
            <w:shd w:val="clear" w:color="auto" w:fill="C0C0C0"/>
          </w:tcPr>
          <w:p>
            <w:pPr>
              <w:spacing w:after="0"/>
              <w:rPr>
                <w:sz w:val="17"/>
                <w:szCs w:val="17"/>
                <w:color w:val="auto"/>
              </w:rPr>
            </w:pPr>
          </w:p>
        </w:tc>
        <w:tc>
          <w:tcPr>
            <w:tcW w:w="1700" w:type="dxa"/>
            <w:vAlign w:val="bottom"/>
            <w:tcBorders>
              <w:top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593,049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Property, plant and equipment, net</w:t>
            </w:r>
          </w:p>
        </w:tc>
        <w:tc>
          <w:tcPr>
            <w:tcW w:w="19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460,520</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462,055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Intangibles, net</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47,646</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49,206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Goodwill</w:t>
            </w:r>
          </w:p>
        </w:tc>
        <w:tc>
          <w:tcPr>
            <w:tcW w:w="19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163,438</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164,382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63,736</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62,622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Noncurrent receivables</w:t>
            </w:r>
          </w:p>
        </w:tc>
        <w:tc>
          <w:tcPr>
            <w:tcW w:w="19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45,354</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45,061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Other assets</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50,313</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41,617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BFBFBF"/>
              <w:bottom w:val="single" w:sz="8" w:color="BFBFBF"/>
            </w:tcBorders>
            <w:shd w:val="clear" w:color="auto" w:fill="BFBFBF"/>
          </w:tcPr>
          <w:p>
            <w:pPr>
              <w:ind w:left="200"/>
              <w:spacing w:after="0" w:line="196" w:lineRule="exact"/>
              <w:rPr>
                <w:sz w:val="20"/>
                <w:szCs w:val="20"/>
                <w:color w:val="auto"/>
              </w:rPr>
            </w:pPr>
            <w:r>
              <w:rPr>
                <w:rFonts w:ascii="Arial" w:cs="Arial" w:eastAsia="Arial" w:hAnsi="Arial"/>
                <w:sz w:val="18"/>
                <w:szCs w:val="18"/>
                <w:color w:val="auto"/>
              </w:rPr>
              <w:t>Total assets</w:t>
            </w:r>
          </w:p>
        </w:tc>
        <w:tc>
          <w:tcPr>
            <w:tcW w:w="17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$1,443,281</w:t>
            </w:r>
          </w:p>
        </w:tc>
        <w:tc>
          <w:tcPr>
            <w:tcW w:w="260" w:type="dxa"/>
            <w:vAlign w:val="bottom"/>
            <w:tcBorders>
              <w:top w:val="single" w:sz="8" w:color="BFBFBF"/>
              <w:bottom w:val="single" w:sz="8" w:color="BFBFBF"/>
            </w:tcBorders>
            <w:shd w:val="clear" w:color="auto" w:fill="BFBFBF"/>
          </w:tcPr>
          <w:p>
            <w:pPr>
              <w:spacing w:after="0"/>
              <w:rPr>
                <w:sz w:val="17"/>
                <w:szCs w:val="17"/>
                <w:color w:val="auto"/>
              </w:rPr>
            </w:pPr>
          </w:p>
        </w:tc>
        <w:tc>
          <w:tcPr>
            <w:tcW w:w="17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$1,417,992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76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9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$74,050</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$52,246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122,342</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129,030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1960" w:type="dxa"/>
            <w:vAlign w:val="bottom"/>
            <w:gridSpan w:val="2"/>
            <w:shd w:val="clear" w:color="auto" w:fill="C0C0C0"/>
          </w:tcPr>
          <w:p>
            <w:pPr>
              <w:jc w:val="right"/>
              <w:ind w:right="260"/>
              <w:spacing w:after="0" w:line="202" w:lineRule="exact"/>
              <w:rPr>
                <w:sz w:val="20"/>
                <w:szCs w:val="20"/>
                <w:color w:val="auto"/>
              </w:rPr>
            </w:pPr>
            <w:r>
              <w:rPr>
                <w:rFonts w:ascii="Arial" w:cs="Arial" w:eastAsia="Arial" w:hAnsi="Arial"/>
                <w:sz w:val="18"/>
                <w:szCs w:val="18"/>
                <w:color w:val="auto"/>
              </w:rPr>
              <w:t>19</w:t>
            </w:r>
          </w:p>
        </w:tc>
        <w:tc>
          <w:tcPr>
            <w:tcW w:w="1700" w:type="dxa"/>
            <w:vAlign w:val="bottom"/>
            <w:shd w:val="clear" w:color="auto" w:fill="C0C0C0"/>
          </w:tcPr>
          <w:p>
            <w:pPr>
              <w:jc w:val="right"/>
              <w:spacing w:after="0" w:line="202" w:lineRule="exact"/>
              <w:rPr>
                <w:sz w:val="20"/>
                <w:szCs w:val="20"/>
                <w:color w:val="auto"/>
              </w:rPr>
            </w:pPr>
            <w:r>
              <w:rPr>
                <w:rFonts w:ascii="Arial" w:cs="Arial" w:eastAsia="Arial" w:hAnsi="Arial"/>
                <w:sz w:val="18"/>
                <w:szCs w:val="18"/>
                <w:color w:val="auto"/>
              </w:rPr>
              <w:t>1,224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Income taxes payable</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8,387</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6,806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C0C0C0"/>
            </w:tcBorders>
            <w:shd w:val="clear" w:color="auto" w:fill="C0C0C0"/>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700" w:type="dxa"/>
            <w:vAlign w:val="bottom"/>
            <w:tcBorders>
              <w:top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204,798</w:t>
            </w:r>
          </w:p>
        </w:tc>
        <w:tc>
          <w:tcPr>
            <w:tcW w:w="260" w:type="dxa"/>
            <w:vAlign w:val="bottom"/>
            <w:tcBorders>
              <w:top w:val="single" w:sz="8" w:color="C0C0C0"/>
            </w:tcBorders>
            <w:shd w:val="clear" w:color="auto" w:fill="C0C0C0"/>
          </w:tcPr>
          <w:p>
            <w:pPr>
              <w:spacing w:after="0"/>
              <w:rPr>
                <w:sz w:val="17"/>
                <w:szCs w:val="17"/>
                <w:color w:val="auto"/>
              </w:rPr>
            </w:pPr>
          </w:p>
        </w:tc>
        <w:tc>
          <w:tcPr>
            <w:tcW w:w="1700" w:type="dxa"/>
            <w:vAlign w:val="bottom"/>
            <w:tcBorders>
              <w:top w:val="single" w:sz="8" w:color="auto"/>
            </w:tcBorders>
            <w:shd w:val="clear" w:color="auto" w:fill="C0C0C0"/>
          </w:tcPr>
          <w:p>
            <w:pPr>
              <w:jc w:val="right"/>
              <w:spacing w:after="0" w:line="196" w:lineRule="exact"/>
              <w:rPr>
                <w:sz w:val="20"/>
                <w:szCs w:val="20"/>
                <w:color w:val="auto"/>
              </w:rPr>
            </w:pPr>
            <w:r>
              <w:rPr>
                <w:rFonts w:ascii="Arial" w:cs="Arial" w:eastAsia="Arial" w:hAnsi="Arial"/>
                <w:sz w:val="18"/>
                <w:szCs w:val="18"/>
                <w:color w:val="auto"/>
              </w:rPr>
              <w:t>189,306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776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491,022</w:t>
            </w:r>
          </w:p>
        </w:tc>
        <w:tc>
          <w:tcPr>
            <w:tcW w:w="1700" w:type="dxa"/>
            <w:vAlign w:val="bottom"/>
          </w:tcPr>
          <w:p>
            <w:pPr>
              <w:jc w:val="right"/>
              <w:spacing w:after="0"/>
              <w:rPr>
                <w:sz w:val="20"/>
                <w:szCs w:val="20"/>
                <w:color w:val="auto"/>
              </w:rPr>
            </w:pPr>
            <w:r>
              <w:rPr>
                <w:rFonts w:ascii="Arial" w:cs="Arial" w:eastAsia="Arial" w:hAnsi="Arial"/>
                <w:sz w:val="18"/>
                <w:szCs w:val="18"/>
                <w:color w:val="auto"/>
              </w:rPr>
              <w:t>523,707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112,726</w:t>
            </w:r>
          </w:p>
        </w:tc>
        <w:tc>
          <w:tcPr>
            <w:tcW w:w="260" w:type="dxa"/>
            <w:vAlign w:val="bottom"/>
            <w:shd w:val="clear" w:color="auto" w:fill="BFBFBF"/>
          </w:tcPr>
          <w:p>
            <w:pPr>
              <w:spacing w:after="0"/>
              <w:rPr>
                <w:sz w:val="17"/>
                <w:szCs w:val="17"/>
                <w:color w:val="auto"/>
              </w:rPr>
            </w:pP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88,277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Deferred taxes and other liabilities</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8,328</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8,422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BFBFBF"/>
            </w:tcBorders>
            <w:shd w:val="clear" w:color="auto" w:fill="BFBFBF"/>
          </w:tcPr>
          <w:p>
            <w:pPr>
              <w:ind w:left="200"/>
              <w:spacing w:after="0" w:line="196" w:lineRule="exact"/>
              <w:rPr>
                <w:sz w:val="20"/>
                <w:szCs w:val="20"/>
                <w:color w:val="auto"/>
              </w:rPr>
            </w:pPr>
            <w:r>
              <w:rPr>
                <w:rFonts w:ascii="Arial" w:cs="Arial" w:eastAsia="Arial" w:hAnsi="Arial"/>
                <w:sz w:val="18"/>
                <w:szCs w:val="18"/>
                <w:color w:val="auto"/>
              </w:rPr>
              <w:t>Total liabilities</w:t>
            </w:r>
          </w:p>
        </w:tc>
        <w:tc>
          <w:tcPr>
            <w:tcW w:w="17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816,874</w:t>
            </w:r>
          </w:p>
        </w:tc>
        <w:tc>
          <w:tcPr>
            <w:tcW w:w="260" w:type="dxa"/>
            <w:vAlign w:val="bottom"/>
            <w:tcBorders>
              <w:top w:val="single" w:sz="8" w:color="BFBFBF"/>
            </w:tcBorders>
            <w:shd w:val="clear" w:color="auto" w:fill="BFBFBF"/>
          </w:tcPr>
          <w:p>
            <w:pPr>
              <w:spacing w:after="0"/>
              <w:rPr>
                <w:sz w:val="17"/>
                <w:szCs w:val="17"/>
                <w:color w:val="auto"/>
              </w:rPr>
            </w:pPr>
          </w:p>
        </w:tc>
        <w:tc>
          <w:tcPr>
            <w:tcW w:w="17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809,712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7760" w:type="dxa"/>
            <w:vAlign w:val="bottom"/>
          </w:tcPr>
          <w:p>
            <w:pPr>
              <w:spacing w:after="0"/>
              <w:rPr>
                <w:sz w:val="20"/>
                <w:szCs w:val="20"/>
                <w:color w:val="auto"/>
              </w:rPr>
            </w:pPr>
            <w:r>
              <w:rPr>
                <w:rFonts w:ascii="Arial" w:cs="Arial" w:eastAsia="Arial" w:hAnsi="Arial"/>
                <w:sz w:val="18"/>
                <w:szCs w:val="18"/>
                <w:color w:val="auto"/>
              </w:rPr>
              <w:t>SHAREHOLDERS' EQUITY</w:t>
            </w:r>
          </w:p>
        </w:tc>
        <w:tc>
          <w:tcPr>
            <w:tcW w:w="1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760" w:type="dxa"/>
            <w:vAlign w:val="bottom"/>
            <w:shd w:val="clear" w:color="auto" w:fill="BFBFBF"/>
          </w:tcPr>
          <w:p>
            <w:pPr>
              <w:ind w:left="100"/>
              <w:spacing w:after="0" w:line="180" w:lineRule="exact"/>
              <w:rPr>
                <w:sz w:val="20"/>
                <w:szCs w:val="20"/>
                <w:color w:val="auto"/>
              </w:rPr>
            </w:pPr>
            <w:r>
              <w:rPr>
                <w:rFonts w:ascii="Arial" w:cs="Arial" w:eastAsia="Arial" w:hAnsi="Arial"/>
                <w:sz w:val="18"/>
                <w:szCs w:val="18"/>
                <w:color w:val="auto"/>
              </w:rPr>
              <w:t>Preferred stock, par value $5.00 per share;</w:t>
            </w:r>
          </w:p>
        </w:tc>
        <w:tc>
          <w:tcPr>
            <w:tcW w:w="1700" w:type="dxa"/>
            <w:vAlign w:val="bottom"/>
            <w:shd w:val="clear" w:color="auto" w:fill="BFBFBF"/>
          </w:tcPr>
          <w:p>
            <w:pPr>
              <w:spacing w:after="0"/>
              <w:rPr>
                <w:sz w:val="15"/>
                <w:szCs w:val="15"/>
                <w:color w:val="auto"/>
              </w:rPr>
            </w:pPr>
          </w:p>
        </w:tc>
        <w:tc>
          <w:tcPr>
            <w:tcW w:w="260" w:type="dxa"/>
            <w:vAlign w:val="bottom"/>
            <w:shd w:val="clear" w:color="auto" w:fill="BFBFBF"/>
          </w:tcPr>
          <w:p>
            <w:pPr>
              <w:spacing w:after="0"/>
              <w:rPr>
                <w:sz w:val="15"/>
                <w:szCs w:val="15"/>
                <w:color w:val="auto"/>
              </w:rPr>
            </w:pPr>
          </w:p>
        </w:tc>
        <w:tc>
          <w:tcPr>
            <w:tcW w:w="1700" w:type="dxa"/>
            <w:vAlign w:val="bottom"/>
            <w:shd w:val="clear" w:color="auto" w:fill="BFBFB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BFBFBF"/>
          </w:tcPr>
          <w:p>
            <w:pPr>
              <w:ind w:left="200"/>
              <w:spacing w:after="0"/>
              <w:rPr>
                <w:sz w:val="20"/>
                <w:szCs w:val="20"/>
                <w:color w:val="auto"/>
              </w:rPr>
            </w:pPr>
            <w:r>
              <w:rPr>
                <w:rFonts w:ascii="Arial" w:cs="Arial" w:eastAsia="Arial" w:hAnsi="Arial"/>
                <w:sz w:val="18"/>
                <w:szCs w:val="18"/>
                <w:color w:val="auto"/>
              </w:rPr>
              <w:t>authorized 2,000,000 shares; none issued</w:t>
            </w:r>
          </w:p>
        </w:tc>
        <w:tc>
          <w:tcPr>
            <w:tcW w:w="1960" w:type="dxa"/>
            <w:vAlign w:val="bottom"/>
            <w:gridSpan w:val="2"/>
            <w:shd w:val="clear" w:color="auto" w:fill="BFBFBF"/>
          </w:tcPr>
          <w:p>
            <w:pPr>
              <w:jc w:val="right"/>
              <w:ind w:right="260"/>
              <w:spacing w:after="0"/>
              <w:rPr>
                <w:sz w:val="20"/>
                <w:szCs w:val="20"/>
                <w:color w:val="auto"/>
              </w:rPr>
            </w:pPr>
            <w:r>
              <w:rPr>
                <w:rFonts w:ascii="Arial" w:cs="Arial" w:eastAsia="Arial" w:hAnsi="Arial"/>
                <w:sz w:val="18"/>
                <w:szCs w:val="18"/>
                <w:color w:val="auto"/>
              </w:rPr>
              <w:t>-</w:t>
            </w:r>
          </w:p>
        </w:tc>
        <w:tc>
          <w:tcPr>
            <w:tcW w:w="17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7760" w:type="dxa"/>
            <w:vAlign w:val="bottom"/>
          </w:tcPr>
          <w:p>
            <w:pPr>
              <w:ind w:left="100"/>
              <w:spacing w:after="0" w:line="180" w:lineRule="exact"/>
              <w:rPr>
                <w:sz w:val="20"/>
                <w:szCs w:val="20"/>
                <w:color w:val="auto"/>
              </w:rPr>
            </w:pPr>
            <w:r>
              <w:rPr>
                <w:rFonts w:ascii="Arial" w:cs="Arial" w:eastAsia="Arial" w:hAnsi="Arial"/>
                <w:sz w:val="18"/>
                <w:szCs w:val="18"/>
                <w:color w:val="auto"/>
              </w:rPr>
              <w:t>Class A Common Stock, par value $.001 per share;</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authorized 100,000,000 shares; issued 37,478,402 in 2019</w:t>
            </w: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8"/>
                <w:szCs w:val="18"/>
                <w:color w:val="auto"/>
              </w:rPr>
              <w:t>and 37,450,329 in 2018</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37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0"/>
        </w:trPr>
        <w:tc>
          <w:tcPr>
            <w:tcW w:w="7760" w:type="dxa"/>
            <w:vAlign w:val="bottom"/>
            <w:shd w:val="clear" w:color="auto" w:fill="BFBFBF"/>
          </w:tcPr>
          <w:p>
            <w:pPr>
              <w:ind w:left="100"/>
              <w:spacing w:after="0" w:line="180" w:lineRule="exact"/>
              <w:rPr>
                <w:sz w:val="20"/>
                <w:szCs w:val="20"/>
                <w:color w:val="auto"/>
              </w:rPr>
            </w:pPr>
            <w:r>
              <w:rPr>
                <w:rFonts w:ascii="Arial" w:cs="Arial" w:eastAsia="Arial" w:hAnsi="Arial"/>
                <w:sz w:val="18"/>
                <w:szCs w:val="18"/>
                <w:color w:val="auto"/>
              </w:rPr>
              <w:t>Class B Common Stock, par value $.001 per share;</w:t>
            </w:r>
          </w:p>
        </w:tc>
        <w:tc>
          <w:tcPr>
            <w:tcW w:w="1700" w:type="dxa"/>
            <w:vAlign w:val="bottom"/>
            <w:shd w:val="clear" w:color="auto" w:fill="BFBFBF"/>
          </w:tcPr>
          <w:p>
            <w:pPr>
              <w:spacing w:after="0"/>
              <w:rPr>
                <w:sz w:val="15"/>
                <w:szCs w:val="15"/>
                <w:color w:val="auto"/>
              </w:rPr>
            </w:pPr>
          </w:p>
        </w:tc>
        <w:tc>
          <w:tcPr>
            <w:tcW w:w="260" w:type="dxa"/>
            <w:vAlign w:val="bottom"/>
            <w:shd w:val="clear" w:color="auto" w:fill="BFBFBF"/>
          </w:tcPr>
          <w:p>
            <w:pPr>
              <w:spacing w:after="0"/>
              <w:rPr>
                <w:sz w:val="15"/>
                <w:szCs w:val="15"/>
                <w:color w:val="auto"/>
              </w:rPr>
            </w:pPr>
          </w:p>
        </w:tc>
        <w:tc>
          <w:tcPr>
            <w:tcW w:w="1700" w:type="dxa"/>
            <w:vAlign w:val="bottom"/>
            <w:shd w:val="clear" w:color="auto" w:fill="BFBFB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authorized 25,000,000 shares; issued and</w:t>
            </w:r>
          </w:p>
        </w:tc>
        <w:tc>
          <w:tcPr>
            <w:tcW w:w="1700" w:type="dxa"/>
            <w:vAlign w:val="bottom"/>
            <w:shd w:val="clear" w:color="auto" w:fill="BFBFBF"/>
          </w:tcPr>
          <w:p>
            <w:pPr>
              <w:spacing w:after="0"/>
              <w:rPr>
                <w:sz w:val="17"/>
                <w:szCs w:val="17"/>
                <w:color w:val="auto"/>
              </w:rPr>
            </w:pPr>
          </w:p>
        </w:tc>
        <w:tc>
          <w:tcPr>
            <w:tcW w:w="260" w:type="dxa"/>
            <w:vAlign w:val="bottom"/>
            <w:shd w:val="clear" w:color="auto" w:fill="BFBFBF"/>
          </w:tcPr>
          <w:p>
            <w:pPr>
              <w:spacing w:after="0"/>
              <w:rPr>
                <w:sz w:val="17"/>
                <w:szCs w:val="17"/>
                <w:color w:val="auto"/>
              </w:rPr>
            </w:pPr>
          </w:p>
        </w:tc>
        <w:tc>
          <w:tcPr>
            <w:tcW w:w="170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BFBFBF"/>
          </w:tcPr>
          <w:p>
            <w:pPr>
              <w:ind w:left="200"/>
              <w:spacing w:after="0"/>
              <w:rPr>
                <w:sz w:val="20"/>
                <w:szCs w:val="20"/>
                <w:color w:val="auto"/>
              </w:rPr>
            </w:pPr>
            <w:r>
              <w:rPr>
                <w:rFonts w:ascii="Arial" w:cs="Arial" w:eastAsia="Arial" w:hAnsi="Arial"/>
                <w:sz w:val="18"/>
                <w:szCs w:val="18"/>
                <w:color w:val="auto"/>
              </w:rPr>
              <w:t>outstanding 3,233,998 in 2019 and 2018</w:t>
            </w:r>
          </w:p>
        </w:tc>
        <w:tc>
          <w:tcPr>
            <w:tcW w:w="17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w:t>
            </w:r>
          </w:p>
        </w:tc>
        <w:tc>
          <w:tcPr>
            <w:tcW w:w="260" w:type="dxa"/>
            <w:vAlign w:val="bottom"/>
            <w:shd w:val="clear" w:color="auto" w:fill="BFBFBF"/>
          </w:tcPr>
          <w:p>
            <w:pPr>
              <w:spacing w:after="0"/>
              <w:rPr>
                <w:sz w:val="19"/>
                <w:szCs w:val="19"/>
                <w:color w:val="auto"/>
              </w:rPr>
            </w:pPr>
          </w:p>
        </w:tc>
        <w:tc>
          <w:tcPr>
            <w:tcW w:w="1700" w:type="dxa"/>
            <w:vAlign w:val="bottom"/>
            <w:shd w:val="clear" w:color="auto" w:fill="BFBFB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430,052</w:t>
            </w:r>
          </w:p>
        </w:tc>
        <w:tc>
          <w:tcPr>
            <w:tcW w:w="26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430,555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BFBFBF"/>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196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613,057</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589,645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Accumulated items of other comprehensive income:</w:t>
            </w:r>
          </w:p>
        </w:tc>
        <w:tc>
          <w:tcPr>
            <w:tcW w:w="1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Translation adjustments</w:t>
            </w:r>
          </w:p>
        </w:tc>
        <w:tc>
          <w:tcPr>
            <w:tcW w:w="196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(116,630)</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(115,976)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(48,596)</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(47,109)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shd w:val="clear" w:color="auto" w:fill="BFBFBF"/>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1960" w:type="dxa"/>
            <w:vAlign w:val="bottom"/>
            <w:gridSpan w:val="2"/>
            <w:shd w:val="clear" w:color="auto" w:fill="BFBFBF"/>
          </w:tcPr>
          <w:p>
            <w:pPr>
              <w:jc w:val="right"/>
              <w:ind w:right="260"/>
              <w:spacing w:after="0" w:line="202" w:lineRule="exact"/>
              <w:rPr>
                <w:sz w:val="20"/>
                <w:szCs w:val="20"/>
                <w:color w:val="auto"/>
              </w:rPr>
            </w:pPr>
            <w:r>
              <w:rPr>
                <w:rFonts w:ascii="Arial" w:cs="Arial" w:eastAsia="Arial" w:hAnsi="Arial"/>
                <w:sz w:val="18"/>
                <w:szCs w:val="18"/>
                <w:color w:val="auto"/>
              </w:rPr>
              <w:t>1,846</w:t>
            </w:r>
          </w:p>
        </w:tc>
        <w:tc>
          <w:tcPr>
            <w:tcW w:w="170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4,697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7760" w:type="dxa"/>
            <w:vAlign w:val="bottom"/>
          </w:tcPr>
          <w:p>
            <w:pPr>
              <w:ind w:left="100"/>
              <w:spacing w:after="0" w:line="180" w:lineRule="exact"/>
              <w:rPr>
                <w:sz w:val="20"/>
                <w:szCs w:val="20"/>
                <w:color w:val="auto"/>
              </w:rPr>
            </w:pPr>
            <w:r>
              <w:rPr>
                <w:rFonts w:ascii="Arial" w:cs="Arial" w:eastAsia="Arial" w:hAnsi="Arial"/>
                <w:sz w:val="18"/>
                <w:szCs w:val="18"/>
                <w:color w:val="auto"/>
              </w:rPr>
              <w:t>Treasury stock (Class A), at cost; 8,418,620 shares in 2019</w:t>
            </w:r>
          </w:p>
        </w:tc>
        <w:tc>
          <w:tcPr>
            <w:tcW w:w="1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760" w:type="dxa"/>
            <w:vAlign w:val="bottom"/>
          </w:tcPr>
          <w:p>
            <w:pPr>
              <w:ind w:left="200"/>
              <w:spacing w:after="0"/>
              <w:rPr>
                <w:sz w:val="20"/>
                <w:szCs w:val="20"/>
                <w:color w:val="auto"/>
              </w:rPr>
            </w:pPr>
            <w:r>
              <w:rPr>
                <w:rFonts w:ascii="Arial" w:cs="Arial" w:eastAsia="Arial" w:hAnsi="Arial"/>
                <w:sz w:val="18"/>
                <w:szCs w:val="18"/>
                <w:color w:val="auto"/>
              </w:rPr>
              <w:t>and in 2018</w:t>
            </w:r>
          </w:p>
        </w:tc>
        <w:tc>
          <w:tcPr>
            <w:tcW w:w="1960" w:type="dxa"/>
            <w:vAlign w:val="bottom"/>
            <w:gridSpan w:val="2"/>
          </w:tcPr>
          <w:p>
            <w:pPr>
              <w:jc w:val="right"/>
              <w:ind w:right="260"/>
              <w:spacing w:after="0"/>
              <w:rPr>
                <w:sz w:val="20"/>
                <w:szCs w:val="20"/>
                <w:color w:val="auto"/>
              </w:rPr>
            </w:pPr>
            <w:r>
              <w:rPr>
                <w:rFonts w:ascii="Arial" w:cs="Arial" w:eastAsia="Arial" w:hAnsi="Arial"/>
                <w:sz w:val="18"/>
                <w:szCs w:val="18"/>
                <w:color w:val="auto"/>
              </w:rPr>
              <w:t>(256,603)</w:t>
            </w:r>
          </w:p>
        </w:tc>
        <w:tc>
          <w:tcPr>
            <w:tcW w:w="1700" w:type="dxa"/>
            <w:vAlign w:val="bottom"/>
          </w:tcPr>
          <w:p>
            <w:pPr>
              <w:jc w:val="right"/>
              <w:spacing w:after="0"/>
              <w:rPr>
                <w:sz w:val="20"/>
                <w:szCs w:val="20"/>
                <w:color w:val="auto"/>
              </w:rPr>
            </w:pPr>
            <w:r>
              <w:rPr>
                <w:rFonts w:ascii="Arial" w:cs="Arial" w:eastAsia="Arial" w:hAnsi="Arial"/>
                <w:sz w:val="18"/>
                <w:szCs w:val="18"/>
                <w:color w:val="auto"/>
              </w:rPr>
              <w:t>(256,603)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BFBFBF"/>
            </w:tcBorders>
            <w:shd w:val="clear" w:color="auto" w:fill="BFBFBF"/>
          </w:tcPr>
          <w:p>
            <w:pPr>
              <w:ind w:left="200"/>
              <w:spacing w:after="0" w:line="196" w:lineRule="exact"/>
              <w:rPr>
                <w:sz w:val="20"/>
                <w:szCs w:val="20"/>
                <w:color w:val="auto"/>
              </w:rPr>
            </w:pPr>
            <w:r>
              <w:rPr>
                <w:rFonts w:ascii="Arial" w:cs="Arial" w:eastAsia="Arial" w:hAnsi="Arial"/>
                <w:sz w:val="18"/>
                <w:szCs w:val="18"/>
                <w:color w:val="auto"/>
              </w:rPr>
              <w:t>Total Company shareholders' equity</w:t>
            </w:r>
          </w:p>
        </w:tc>
        <w:tc>
          <w:tcPr>
            <w:tcW w:w="17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623,166</w:t>
            </w:r>
          </w:p>
        </w:tc>
        <w:tc>
          <w:tcPr>
            <w:tcW w:w="260" w:type="dxa"/>
            <w:vAlign w:val="bottom"/>
            <w:tcBorders>
              <w:top w:val="single" w:sz="8" w:color="BFBFBF"/>
            </w:tcBorders>
            <w:shd w:val="clear" w:color="auto" w:fill="BFBFBF"/>
          </w:tcPr>
          <w:p>
            <w:pPr>
              <w:spacing w:after="0"/>
              <w:rPr>
                <w:sz w:val="17"/>
                <w:szCs w:val="17"/>
                <w:color w:val="auto"/>
              </w:rPr>
            </w:pPr>
          </w:p>
        </w:tc>
        <w:tc>
          <w:tcPr>
            <w:tcW w:w="1700" w:type="dxa"/>
            <w:vAlign w:val="bottom"/>
            <w:tcBorders>
              <w:top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605,249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100"/>
              <w:spacing w:after="0" w:line="202" w:lineRule="exact"/>
              <w:rPr>
                <w:sz w:val="20"/>
                <w:szCs w:val="20"/>
                <w:color w:val="auto"/>
              </w:rPr>
            </w:pPr>
            <w:r>
              <w:rPr>
                <w:rFonts w:ascii="Arial" w:cs="Arial" w:eastAsia="Arial" w:hAnsi="Arial"/>
                <w:sz w:val="18"/>
                <w:szCs w:val="18"/>
                <w:color w:val="auto"/>
              </w:rPr>
              <w:t>Noncontrolling interest</w:t>
            </w:r>
          </w:p>
        </w:tc>
        <w:tc>
          <w:tcPr>
            <w:tcW w:w="196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3,241</w:t>
            </w: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3,031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Borders>
              <w:top w:val="single" w:sz="8" w:color="BFBFBF"/>
            </w:tcBorders>
            <w:shd w:val="clear" w:color="auto" w:fill="BFBFBF"/>
          </w:tcPr>
          <w:p>
            <w:pPr>
              <w:ind w:left="60"/>
              <w:spacing w:after="0" w:line="196" w:lineRule="exact"/>
              <w:rPr>
                <w:sz w:val="20"/>
                <w:szCs w:val="20"/>
                <w:color w:val="auto"/>
              </w:rPr>
            </w:pPr>
            <w:r>
              <w:rPr>
                <w:rFonts w:ascii="Arial" w:cs="Arial" w:eastAsia="Arial" w:hAnsi="Arial"/>
                <w:sz w:val="18"/>
                <w:szCs w:val="18"/>
                <w:color w:val="auto"/>
              </w:rPr>
              <w:t>Total equity</w:t>
            </w:r>
          </w:p>
        </w:tc>
        <w:tc>
          <w:tcPr>
            <w:tcW w:w="17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626,407</w:t>
            </w:r>
          </w:p>
        </w:tc>
        <w:tc>
          <w:tcPr>
            <w:tcW w:w="260" w:type="dxa"/>
            <w:vAlign w:val="bottom"/>
            <w:tcBorders>
              <w:top w:val="single" w:sz="8" w:color="BFBFBF"/>
            </w:tcBorders>
            <w:shd w:val="clear" w:color="auto" w:fill="BFBFBF"/>
          </w:tcPr>
          <w:p>
            <w:pPr>
              <w:spacing w:after="0"/>
              <w:rPr>
                <w:sz w:val="17"/>
                <w:szCs w:val="17"/>
                <w:color w:val="auto"/>
              </w:rPr>
            </w:pPr>
          </w:p>
        </w:tc>
        <w:tc>
          <w:tcPr>
            <w:tcW w:w="170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608,280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760" w:type="dxa"/>
            <w:vAlign w:val="bottom"/>
          </w:tcPr>
          <w:p>
            <w:pPr>
              <w:ind w:left="10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$1,443,281</w:t>
            </w:r>
          </w:p>
        </w:tc>
        <w:tc>
          <w:tcPr>
            <w:tcW w:w="260" w:type="dxa"/>
            <w:vAlign w:val="bottom"/>
          </w:tcPr>
          <w:p>
            <w:pPr>
              <w:spacing w:after="0"/>
              <w:rPr>
                <w:sz w:val="17"/>
                <w:szCs w:val="17"/>
                <w:color w:val="auto"/>
              </w:rPr>
            </w:pPr>
          </w:p>
        </w:tc>
        <w:tc>
          <w:tcPr>
            <w:tcW w:w="1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$1,417,992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jc w:val="center"/>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p>
      <w:pPr>
        <w:jc w:val="center"/>
        <w:ind w:left="9200"/>
        <w:spacing w:after="0"/>
        <w:rPr>
          <w:sz w:val="20"/>
          <w:szCs w:val="20"/>
          <w:color w:val="auto"/>
        </w:rPr>
      </w:pPr>
      <w:r>
        <w:rPr>
          <w:rFonts w:ascii="Arial" w:cs="Arial" w:eastAsia="Arial" w:hAnsi="Arial"/>
          <w:sz w:val="18"/>
          <w:szCs w:val="18"/>
          <w:color w:val="auto"/>
        </w:rPr>
        <w:t>Three Months Ended</w:t>
      </w:r>
    </w:p>
    <w:p>
      <w:pPr>
        <w:spacing w:after="0" w:line="18" w:lineRule="exact"/>
        <w:rPr>
          <w:sz w:val="20"/>
          <w:szCs w:val="20"/>
          <w:color w:val="auto"/>
        </w:rPr>
      </w:pPr>
    </w:p>
    <w:p>
      <w:pPr>
        <w:jc w:val="center"/>
        <w:ind w:left="9200"/>
        <w:spacing w:after="0"/>
        <w:rPr>
          <w:sz w:val="20"/>
          <w:szCs w:val="20"/>
          <w:color w:val="auto"/>
        </w:rPr>
      </w:pPr>
      <w:r>
        <w:rPr>
          <w:rFonts w:ascii="Arial" w:cs="Arial" w:eastAsia="Arial" w:hAnsi="Arial"/>
          <w:sz w:val="18"/>
          <w:szCs w:val="18"/>
          <w:color w:val="auto"/>
        </w:rPr>
        <w:t>March 31,</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OPERATING ACTIVITIES</w:t>
            </w:r>
          </w:p>
        </w:tc>
        <w:tc>
          <w:tcPr>
            <w:tcW w:w="8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2019</w:t>
            </w:r>
          </w:p>
        </w:tc>
        <w:tc>
          <w:tcPr>
            <w:tcW w:w="580" w:type="dxa"/>
            <w:vAlign w:val="bottom"/>
          </w:tcPr>
          <w:p>
            <w:pPr>
              <w:spacing w:after="0"/>
              <w:rPr>
                <w:sz w:val="19"/>
                <w:szCs w:val="19"/>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200" w:type="dxa"/>
            <w:vAlign w:val="bottom"/>
            <w:gridSpan w:val="2"/>
            <w:vMerge w:val="continue"/>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Net income</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$29,408</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$7,899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line="202" w:lineRule="exact"/>
              <w:rPr>
                <w:sz w:val="20"/>
                <w:szCs w:val="20"/>
                <w:color w:val="auto"/>
              </w:rPr>
            </w:pPr>
            <w:r>
              <w:rPr>
                <w:rFonts w:ascii="Arial" w:cs="Arial" w:eastAsia="Arial" w:hAnsi="Arial"/>
                <w:sz w:val="18"/>
                <w:szCs w:val="18"/>
                <w:color w:val="auto"/>
              </w:rPr>
              <w:t>Adjustments to reconcile net income to net cash provided by/(used in) operating activities:</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Depreciation</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15,642</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18,302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Amortization</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2,314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Change in deferred taxes and other liabilities</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(1,065)</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(2,028)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Provision for write-off of property, plant and equipment</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386</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Non-cash interest expense</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151</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Compensation and benefits paid or payable in Class A Common Stock</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(547)</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Fair value adjustment on foreign currency option</w:t>
            </w:r>
          </w:p>
        </w:tc>
        <w:tc>
          <w:tcPr>
            <w:tcW w:w="820" w:type="dxa"/>
            <w:vAlign w:val="bottom"/>
            <w:shd w:val="clear" w:color="auto" w:fill="BFBFB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BFBFBF"/>
          </w:tcPr>
          <w:p>
            <w:pPr>
              <w:spacing w:after="0"/>
              <w:rPr>
                <w:sz w:val="17"/>
                <w:szCs w:val="17"/>
                <w:color w:val="auto"/>
              </w:rPr>
            </w:pP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40"/>
              <w:spacing w:after="0" w:line="202" w:lineRule="exact"/>
              <w:rPr>
                <w:sz w:val="20"/>
                <w:szCs w:val="20"/>
                <w:color w:val="auto"/>
              </w:rPr>
            </w:pPr>
            <w:r>
              <w:rPr>
                <w:rFonts w:ascii="Arial" w:cs="Arial" w:eastAsia="Arial" w:hAnsi="Arial"/>
                <w:sz w:val="18"/>
                <w:szCs w:val="18"/>
                <w:color w:val="auto"/>
              </w:rPr>
              <w:t>Changes in operating assets and liabilities that (used)/provided cash:</w:t>
            </w:r>
          </w:p>
        </w:tc>
        <w:tc>
          <w:tcPr>
            <w:tcW w:w="82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Accounts receivable</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(11,624)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(25,089)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Contract assets</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(481)</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2,116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Inventories</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(16,662)</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(11,753)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(2,804)</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(4,063)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Income taxes prepaid and receivable</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674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Accounts payable</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21,750</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(2,538)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Accrued liabilities</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(11,095)</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Income taxes payable</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1,506</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(3,431)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Noncurrent receivables</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(294)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Other noncurrent liabilities</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(1,679)</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(377)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Other, net</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(1,014)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2,424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BFBFBF"/>
            </w:tcBorders>
            <w:shd w:val="clear" w:color="auto" w:fill="BFBFBF"/>
          </w:tcPr>
          <w:p>
            <w:pPr>
              <w:ind w:left="540"/>
              <w:spacing w:after="0" w:line="196" w:lineRule="exact"/>
              <w:rPr>
                <w:sz w:val="20"/>
                <w:szCs w:val="20"/>
                <w:color w:val="auto"/>
              </w:rPr>
            </w:pPr>
            <w:r>
              <w:rPr>
                <w:rFonts w:ascii="Arial" w:cs="Arial" w:eastAsia="Arial" w:hAnsi="Arial"/>
                <w:sz w:val="18"/>
                <w:szCs w:val="18"/>
                <w:color w:val="auto"/>
              </w:rPr>
              <w:t>Net cash provided by/(used in) operating activities</w:t>
            </w:r>
          </w:p>
        </w:tc>
        <w:tc>
          <w:tcPr>
            <w:tcW w:w="8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24,566</w:t>
            </w:r>
          </w:p>
        </w:tc>
        <w:tc>
          <w:tcPr>
            <w:tcW w:w="580" w:type="dxa"/>
            <w:vAlign w:val="bottom"/>
            <w:tcBorders>
              <w:top w:val="single" w:sz="8" w:color="BFBFBF"/>
            </w:tcBorders>
            <w:shd w:val="clear" w:color="auto" w:fill="BFBFBF"/>
          </w:tcPr>
          <w:p>
            <w:pPr>
              <w:spacing w:after="0"/>
              <w:rPr>
                <w:sz w:val="17"/>
                <w:szCs w:val="17"/>
                <w:color w:val="auto"/>
              </w:rPr>
            </w:pPr>
          </w:p>
        </w:tc>
        <w:tc>
          <w:tcPr>
            <w:tcW w:w="820" w:type="dxa"/>
            <w:vAlign w:val="bottom"/>
            <w:tcBorders>
              <w:top w:val="single" w:sz="8" w:color="auto"/>
              <w:bottom w:val="single" w:sz="8" w:color="auto"/>
            </w:tcBorders>
            <w:shd w:val="clear" w:color="auto" w:fill="BFBFBF"/>
          </w:tcPr>
          <w:p>
            <w:pPr>
              <w:jc w:val="right"/>
              <w:spacing w:after="0" w:line="196" w:lineRule="exact"/>
              <w:rPr>
                <w:sz w:val="20"/>
                <w:szCs w:val="20"/>
                <w:color w:val="auto"/>
              </w:rPr>
            </w:pPr>
            <w:r>
              <w:rPr>
                <w:rFonts w:ascii="Arial" w:cs="Arial" w:eastAsia="Arial" w:hAnsi="Arial"/>
                <w:sz w:val="18"/>
                <w:szCs w:val="18"/>
                <w:color w:val="auto"/>
              </w:rPr>
              <w:t>(18,947)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INVESTING ACTIVITIES</w:t>
            </w:r>
          </w:p>
        </w:tc>
        <w:tc>
          <w:tcPr>
            <w:tcW w:w="82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(20,798)</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(15,771)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Purchased software</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(22)</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Pr>
          <w:p>
            <w:pPr>
              <w:ind w:left="540"/>
              <w:spacing w:after="0" w:line="196" w:lineRule="exact"/>
              <w:rPr>
                <w:sz w:val="20"/>
                <w:szCs w:val="20"/>
                <w:color w:val="auto"/>
              </w:rPr>
            </w:pPr>
            <w:r>
              <w:rPr>
                <w:rFonts w:ascii="Arial" w:cs="Arial" w:eastAsia="Arial" w:hAnsi="Arial"/>
                <w:sz w:val="18"/>
                <w:szCs w:val="18"/>
                <w:color w:val="auto"/>
              </w:rPr>
              <w:t>Net cash used in investing activities</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(20,820)</w:t>
            </w:r>
          </w:p>
        </w:tc>
        <w:tc>
          <w:tcPr>
            <w:tcW w:w="5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(15,800)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FINANCING ACTIVITIES</w:t>
            </w:r>
          </w:p>
        </w:tc>
        <w:tc>
          <w:tcPr>
            <w:tcW w:w="820" w:type="dxa"/>
            <w:vAlign w:val="bottom"/>
            <w:shd w:val="clear" w:color="auto" w:fill="BFBFBF"/>
          </w:tcPr>
          <w:p>
            <w:pPr>
              <w:spacing w:after="0"/>
              <w:rPr>
                <w:sz w:val="17"/>
                <w:szCs w:val="17"/>
                <w:color w:val="auto"/>
              </w:rPr>
            </w:pPr>
          </w:p>
        </w:tc>
        <w:tc>
          <w:tcPr>
            <w:tcW w:w="580" w:type="dxa"/>
            <w:vAlign w:val="bottom"/>
            <w:shd w:val="clear" w:color="auto" w:fill="BFBFBF"/>
          </w:tcPr>
          <w:p>
            <w:pPr>
              <w:spacing w:after="0"/>
              <w:rPr>
                <w:sz w:val="17"/>
                <w:szCs w:val="17"/>
                <w:color w:val="auto"/>
              </w:rPr>
            </w:pPr>
          </w:p>
        </w:tc>
        <w:tc>
          <w:tcPr>
            <w:tcW w:w="820" w:type="dxa"/>
            <w:vAlign w:val="bottom"/>
            <w:shd w:val="clear" w:color="auto" w:fill="BFBFB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Proceeds from borrowings</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20,000</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13,011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Principal payments on debt</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(28,004)</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(8,490)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Principal payments on finance lease liabilities</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(400)</w:t>
            </w:r>
          </w:p>
        </w:tc>
        <w:tc>
          <w:tcPr>
            <w:tcW w:w="8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Taxes paid in lieu of share issuance</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(971)</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(1,652)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tcPr>
          <w:p>
            <w:pPr>
              <w:ind w:left="540"/>
              <w:spacing w:after="0" w:line="202" w:lineRule="exact"/>
              <w:rPr>
                <w:sz w:val="20"/>
                <w:szCs w:val="20"/>
                <w:color w:val="auto"/>
              </w:rPr>
            </w:pPr>
            <w:r>
              <w:rPr>
                <w:rFonts w:ascii="Arial" w:cs="Arial" w:eastAsia="Arial" w:hAnsi="Arial"/>
                <w:sz w:val="18"/>
                <w:szCs w:val="18"/>
                <w:color w:val="auto"/>
              </w:rPr>
              <w:t>Proceeds from options exercised</w:t>
            </w:r>
          </w:p>
        </w:tc>
        <w:tc>
          <w:tcPr>
            <w:tcW w:w="140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44</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ind w:left="540"/>
              <w:spacing w:after="0" w:line="202" w:lineRule="exact"/>
              <w:rPr>
                <w:sz w:val="20"/>
                <w:szCs w:val="20"/>
                <w:color w:val="auto"/>
              </w:rPr>
            </w:pPr>
            <w:r>
              <w:rPr>
                <w:rFonts w:ascii="Arial" w:cs="Arial" w:eastAsia="Arial" w:hAnsi="Arial"/>
                <w:sz w:val="18"/>
                <w:szCs w:val="18"/>
                <w:color w:val="auto"/>
              </w:rPr>
              <w:t>Dividends paid</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(5,808)</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(5,474)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Pr>
          <w:p>
            <w:pPr>
              <w:ind w:left="540"/>
              <w:spacing w:after="0" w:line="196" w:lineRule="exact"/>
              <w:rPr>
                <w:sz w:val="20"/>
                <w:szCs w:val="20"/>
                <w:color w:val="auto"/>
              </w:rPr>
            </w:pPr>
            <w:r>
              <w:rPr>
                <w:rFonts w:ascii="Arial" w:cs="Arial" w:eastAsia="Arial" w:hAnsi="Arial"/>
                <w:sz w:val="18"/>
                <w:szCs w:val="18"/>
                <w:color w:val="auto"/>
              </w:rPr>
              <w:t>Net cash used in financing activities</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(15,139)</w:t>
            </w:r>
          </w:p>
        </w:tc>
        <w:tc>
          <w:tcPr>
            <w:tcW w:w="5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9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91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Effect of exchange rate changes on cash and cash equivalents</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1,023</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4,904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9200" w:type="dxa"/>
            <w:vAlign w:val="bottom"/>
            <w:gridSpan w:val="2"/>
          </w:tcPr>
          <w:p>
            <w:pPr>
              <w:spacing w:after="0"/>
              <w:rPr>
                <w:sz w:val="20"/>
                <w:szCs w:val="20"/>
                <w:color w:val="auto"/>
              </w:rPr>
            </w:pPr>
            <w:r>
              <w:rPr>
                <w:rFonts w:ascii="Arial" w:cs="Arial" w:eastAsia="Arial" w:hAnsi="Arial"/>
                <w:sz w:val="18"/>
                <w:szCs w:val="18"/>
                <w:color w:val="auto"/>
              </w:rPr>
              <w:t>Decrease in cash and cash equivalents</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(10,370)</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(32,301)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180" w:type="dxa"/>
            <w:vAlign w:val="bottom"/>
            <w:shd w:val="clear" w:color="auto" w:fill="BFBFBF"/>
          </w:tcPr>
          <w:p>
            <w:pPr>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1400" w:type="dxa"/>
            <w:vAlign w:val="bottom"/>
            <w:gridSpan w:val="2"/>
            <w:shd w:val="clear" w:color="auto" w:fill="BFBFBF"/>
          </w:tcPr>
          <w:p>
            <w:pPr>
              <w:jc w:val="right"/>
              <w:ind w:right="580"/>
              <w:spacing w:after="0" w:line="202" w:lineRule="exact"/>
              <w:rPr>
                <w:sz w:val="20"/>
                <w:szCs w:val="20"/>
                <w:color w:val="auto"/>
              </w:rPr>
            </w:pPr>
            <w:r>
              <w:rPr>
                <w:rFonts w:ascii="Arial" w:cs="Arial" w:eastAsia="Arial" w:hAnsi="Arial"/>
                <w:sz w:val="18"/>
                <w:szCs w:val="18"/>
                <w:color w:val="auto"/>
              </w:rPr>
              <w:t>197,755</w:t>
            </w:r>
          </w:p>
        </w:tc>
        <w:tc>
          <w:tcPr>
            <w:tcW w:w="820" w:type="dxa"/>
            <w:vAlign w:val="bottom"/>
            <w:shd w:val="clear" w:color="auto" w:fill="BFBFBF"/>
          </w:tcPr>
          <w:p>
            <w:pPr>
              <w:jc w:val="right"/>
              <w:spacing w:after="0" w:line="202" w:lineRule="exact"/>
              <w:rPr>
                <w:sz w:val="20"/>
                <w:szCs w:val="20"/>
                <w:color w:val="auto"/>
              </w:rPr>
            </w:pPr>
            <w:r>
              <w:rPr>
                <w:rFonts w:ascii="Arial" w:cs="Arial" w:eastAsia="Arial" w:hAnsi="Arial"/>
                <w:sz w:val="18"/>
                <w:szCs w:val="18"/>
                <w:color w:val="auto"/>
              </w:rPr>
              <w:t>183,727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0" w:type="dxa"/>
            <w:vAlign w:val="bottom"/>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187,385</w:t>
            </w:r>
          </w:p>
        </w:tc>
        <w:tc>
          <w:tcPr>
            <w:tcW w:w="5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151,426</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62"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p>
      <w:pPr>
        <w:ind w:right="8520" w:firstLine="8"/>
        <w:spacing w:after="0" w:line="438" w:lineRule="auto"/>
        <w:tabs>
          <w:tab w:leader="none" w:pos="20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Significant Accounting Policies Basis of Presentation</w:t>
      </w:r>
    </w:p>
    <w:p>
      <w:pPr>
        <w:spacing w:after="0" w:line="1"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adjustments necessary for a fair presentation of results for such periods. Albany International Corp. (Albany, the Registrant, the Company, we, us, or our) consolidates the financial results of its subsidiaries for all periods presented. The results for any interim period are not necessarily indicative of results for the full year.</w:t>
      </w:r>
    </w:p>
    <w:p>
      <w:pPr>
        <w:spacing w:after="0" w:line="144" w:lineRule="exact"/>
        <w:rPr>
          <w:sz w:val="20"/>
          <w:szCs w:val="20"/>
          <w:color w:val="auto"/>
        </w:rPr>
      </w:pPr>
    </w:p>
    <w:p>
      <w:pPr>
        <w:ind w:right="520" w:firstLine="648"/>
        <w:spacing w:after="0" w:line="255" w:lineRule="auto"/>
        <w:rPr>
          <w:sz w:val="20"/>
          <w:szCs w:val="20"/>
          <w:color w:val="auto"/>
        </w:rPr>
      </w:pPr>
      <w:r>
        <w:rPr>
          <w:rFonts w:ascii="Arial" w:cs="Arial" w:eastAsia="Arial" w:hAnsi="Arial"/>
          <w:sz w:val="18"/>
          <w:szCs w:val="18"/>
          <w:color w:val="auto"/>
        </w:rPr>
        <w:t>The preparation of financial statements in accordance with U.S. generally accepted accounting principles (“GAAP”) requires management to make estimates and assumptions that affect the amounts reported in Albany International Corp.’s Consolidated Financial Statements and accompanying Notes. Actual results could differ materially from those estimates.</w:t>
      </w:r>
    </w:p>
    <w:p>
      <w:pPr>
        <w:spacing w:after="0" w:line="124"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The information included in this Quarterly Report on Form 10-Q should be read in conjunction with “Risk Factors,” “Legal Proceedings,” “Management’s Discussion and Analysis of Financial Condition and Results of Operation,” “Quantitative and Qualitative Disclosures about Market Risk” and the Consolidated Financial Statements and Notes thereto included in Items 1A, 3, 7, 7A and 8, respectively, of the Albany International Corp. Annual Report on Form 10-K for the year ended December 31, 2018. Certain quarterly results for 2018 contained within this report have been revised to correct immaterial errors, as described in Note 24 of Item 8 in that same Annual Report on Form 10-K.</w:t>
      </w:r>
    </w:p>
    <w:p>
      <w:pPr>
        <w:spacing w:after="0" w:line="13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Effective January 1, 2019, we adopted the provisions of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effective date approach for transition as discussed in Note 3, Leases. Accounting policies have been applied consistently to periods presented, except for the application of ASC 842, as further described in Note 3.</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 Reportable Segments</w:t>
      </w:r>
    </w:p>
    <w:p>
      <w:pPr>
        <w:spacing w:after="0" w:line="171" w:lineRule="exact"/>
        <w:rPr>
          <w:sz w:val="20"/>
          <w:szCs w:val="20"/>
          <w:color w:val="auto"/>
        </w:rPr>
      </w:pPr>
    </w:p>
    <w:p>
      <w:pPr>
        <w:ind w:right="380" w:firstLine="648"/>
        <w:spacing w:after="0" w:line="276" w:lineRule="auto"/>
        <w:rPr>
          <w:sz w:val="20"/>
          <w:szCs w:val="20"/>
          <w:color w:val="auto"/>
        </w:rPr>
      </w:pPr>
      <w:r>
        <w:rPr>
          <w:rFonts w:ascii="Arial" w:cs="Arial" w:eastAsia="Arial" w:hAnsi="Arial"/>
          <w:sz w:val="18"/>
          <w:szCs w:val="18"/>
          <w:color w:val="auto"/>
        </w:rPr>
        <w:t>In accordance with applicable disclosure guidance for enterprise segments and related information, the internal organization that is used by management for making operating decisions and assessing performance is used as the basis for our reportable segments.</w:t>
      </w:r>
    </w:p>
    <w:p>
      <w:pPr>
        <w:spacing w:after="0" w:line="105"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The Machine Clothing (MC) segment designs and manufactures fabrics and process felts used in the manufacture of all grades of paper products and other industrial products. We sell our MC products directly to customer end-users in countries across the globe. Our products, manufacturing processes, and distribution channels for MC are substantially the same in each region of the world in which we operate. We design, manufacture, and market paper machine clothing (used in the manufacturing of paper, paperboard, tissue and towel) for each section of the paper machine and for every grade of paper. Paper machine clothing products are customized, consumable products of technologically sophisticated design that utilize polymeric materials in a complex structure.</w:t>
      </w:r>
    </w:p>
    <w:p>
      <w:pPr>
        <w:spacing w:after="0" w:line="147"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The Albany Engineered Composites (AEC) segment, including Albany Safran Composites, LLC (ASC), in which our customer SAFRAN Group (Safran) owns a 10 percent noncontrolling interest, is a designer and manufacturer of advanced materials-based engineered components for jet engine and airframe applications, supporting both commercial and military platforms provides highly engineered, advanced composite structures to customers in the commercial and defense aerospace industries. AEC’s largest program relates to CFM International’s LEAP engine. Under this program,</w:t>
      </w: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643" w:right="239" w:bottom="1440" w:gutter="0" w:footer="0" w:header="0"/>
        </w:sectPr>
      </w:pPr>
    </w:p>
    <w:bookmarkStart w:id="7" w:name="page8"/>
    <w:bookmarkEnd w:id="7"/>
    <w:p>
      <w:pPr>
        <w:spacing w:after="0" w:line="243" w:lineRule="auto"/>
        <w:rPr>
          <w:sz w:val="20"/>
          <w:szCs w:val="20"/>
          <w:color w:val="auto"/>
        </w:rPr>
      </w:pPr>
      <w:r>
        <w:rPr>
          <w:rFonts w:ascii="Arial" w:cs="Arial" w:eastAsia="Arial" w:hAnsi="Arial"/>
          <w:sz w:val="18"/>
          <w:szCs w:val="18"/>
          <w:color w:val="auto"/>
        </w:rPr>
        <w:t>AEC through ASC, is the exclusive supplier of advanced composite fan blades and cases under a long-term supply contract. The manufacturing spaces used for the production of parts under the long-term supply agreement are owned by Safran, and leased to the Company at either a market rent or a minimal cost. All lease expense is reimbursable by Safran to the Company due to the cost-plus nature of the supply agreement. AEC net sales to Safran were $56.0 million and $40.8 million in the first quarter of 2019 and 2018, respectively. The total of invoiced receivables, Contract assets and Noncurrent receivables due from Safran amounted to $107.8 million and $96.2 million as of March 31, 2019 and December 31, 2018, respectively.</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data by reportable segment, reconciled to consolidated totals included in the financial statements: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340" w:type="dxa"/>
            <w:vAlign w:val="bottom"/>
            <w:tcBorders>
              <w:top w:val="single" w:sz="8" w:color="auto"/>
            </w:tcBorders>
          </w:tcPr>
          <w:p>
            <w:pPr>
              <w:spacing w:after="0"/>
              <w:rPr>
                <w:sz w:val="16"/>
                <w:szCs w:val="16"/>
                <w:color w:val="auto"/>
              </w:rPr>
            </w:pPr>
          </w:p>
        </w:tc>
        <w:tc>
          <w:tcPr>
            <w:tcW w:w="5920" w:type="dxa"/>
            <w:vAlign w:val="bottom"/>
            <w:tcBorders>
              <w:top w:val="single" w:sz="8" w:color="auto"/>
            </w:tcBorders>
            <w:gridSpan w:val="2"/>
          </w:tcPr>
          <w:p>
            <w:pPr>
              <w:jc w:val="right"/>
              <w:ind w:right="1150"/>
              <w:spacing w:after="0" w:line="191" w:lineRule="exact"/>
              <w:rPr>
                <w:sz w:val="20"/>
                <w:szCs w:val="20"/>
                <w:color w:val="auto"/>
              </w:rPr>
            </w:pPr>
            <w:r>
              <w:rPr>
                <w:rFonts w:ascii="Arial" w:cs="Arial" w:eastAsia="Arial" w:hAnsi="Arial"/>
                <w:sz w:val="18"/>
                <w:szCs w:val="18"/>
                <w:b w:val="1"/>
                <w:bCs w:val="1"/>
                <w:color w:val="auto"/>
              </w:rPr>
              <w:t>Three months ended 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820" w:type="dxa"/>
            <w:vAlign w:val="bottom"/>
            <w:tcBorders>
              <w:bottom w:val="single" w:sz="8" w:color="auto"/>
            </w:tcBorders>
          </w:tcPr>
          <w:p>
            <w:pPr>
              <w:jc w:val="right"/>
              <w:ind w:right="1510"/>
              <w:spacing w:after="0"/>
              <w:rPr>
                <w:sz w:val="20"/>
                <w:szCs w:val="20"/>
                <w:color w:val="auto"/>
              </w:rPr>
            </w:pPr>
            <w:r>
              <w:rPr>
                <w:rFonts w:ascii="Arial" w:cs="Arial" w:eastAsia="Arial" w:hAnsi="Arial"/>
                <w:sz w:val="18"/>
                <w:szCs w:val="18"/>
                <w:b w:val="1"/>
                <w:bCs w:val="1"/>
                <w:color w:val="auto"/>
              </w:rPr>
              <w:t>2019</w:t>
            </w:r>
          </w:p>
        </w:tc>
        <w:tc>
          <w:tcPr>
            <w:tcW w:w="210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Net sales</w:t>
            </w:r>
          </w:p>
        </w:tc>
        <w:tc>
          <w:tcPr>
            <w:tcW w:w="38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$144,334</w:t>
            </w:r>
          </w:p>
        </w:tc>
        <w:tc>
          <w:tcPr>
            <w:tcW w:w="2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Machine Clothing</w:t>
            </w:r>
          </w:p>
        </w:tc>
        <w:tc>
          <w:tcPr>
            <w:tcW w:w="3820" w:type="dxa"/>
            <w:vAlign w:val="bottom"/>
            <w:vMerge w:val="continue"/>
          </w:tcPr>
          <w:p>
            <w:pPr>
              <w:spacing w:after="0"/>
              <w:rPr>
                <w:sz w:val="17"/>
                <w:szCs w:val="17"/>
                <w:color w:val="auto"/>
              </w:rPr>
            </w:pPr>
          </w:p>
        </w:tc>
        <w:tc>
          <w:tcPr>
            <w:tcW w:w="21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$141,773</w:t>
            </w:r>
          </w:p>
        </w:tc>
        <w:tc>
          <w:tcPr>
            <w:tcW w:w="0" w:type="dxa"/>
            <w:vAlign w:val="bottom"/>
          </w:tcPr>
          <w:p>
            <w:pPr>
              <w:spacing w:after="0"/>
              <w:rPr>
                <w:sz w:val="1"/>
                <w:szCs w:val="1"/>
                <w:color w:val="auto"/>
              </w:rPr>
            </w:pPr>
          </w:p>
        </w:tc>
      </w:tr>
      <w:tr>
        <w:trPr>
          <w:trHeight w:val="227"/>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107,039</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81,830</w:t>
            </w:r>
          </w:p>
        </w:tc>
        <w:tc>
          <w:tcPr>
            <w:tcW w:w="0" w:type="dxa"/>
            <w:vAlign w:val="bottom"/>
          </w:tcPr>
          <w:p>
            <w:pPr>
              <w:spacing w:after="0"/>
              <w:rPr>
                <w:sz w:val="1"/>
                <w:szCs w:val="1"/>
                <w:color w:val="auto"/>
              </w:rPr>
            </w:pPr>
          </w:p>
        </w:tc>
      </w:tr>
      <w:tr>
        <w:trPr>
          <w:trHeight w:val="196"/>
        </w:trPr>
        <w:tc>
          <w:tcPr>
            <w:tcW w:w="4360" w:type="dxa"/>
            <w:vAlign w:val="bottom"/>
            <w:gridSpan w:val="2"/>
          </w:tcPr>
          <w:p>
            <w:pPr>
              <w:spacing w:after="0" w:line="196" w:lineRule="exact"/>
              <w:rPr>
                <w:sz w:val="20"/>
                <w:szCs w:val="20"/>
                <w:color w:val="auto"/>
              </w:rPr>
            </w:pPr>
            <w:r>
              <w:rPr>
                <w:rFonts w:ascii="Arial" w:cs="Arial" w:eastAsia="Arial" w:hAnsi="Arial"/>
                <w:sz w:val="18"/>
                <w:szCs w:val="18"/>
                <w:color w:val="auto"/>
              </w:rPr>
              <w:t>Consolidated total</w:t>
            </w:r>
          </w:p>
        </w:tc>
        <w:tc>
          <w:tcPr>
            <w:tcW w:w="3820" w:type="dxa"/>
            <w:vAlign w:val="bottom"/>
          </w:tcPr>
          <w:p>
            <w:pPr>
              <w:jc w:val="right"/>
              <w:ind w:right="470"/>
              <w:spacing w:after="0" w:line="196" w:lineRule="exact"/>
              <w:rPr>
                <w:sz w:val="20"/>
                <w:szCs w:val="20"/>
                <w:color w:val="auto"/>
              </w:rPr>
            </w:pPr>
            <w:r>
              <w:rPr>
                <w:rFonts w:ascii="Arial" w:cs="Arial" w:eastAsia="Arial" w:hAnsi="Arial"/>
                <w:sz w:val="18"/>
                <w:szCs w:val="18"/>
                <w:b w:val="1"/>
                <w:bCs w:val="1"/>
                <w:color w:val="auto"/>
              </w:rPr>
              <w:t>$251,373</w:t>
            </w:r>
          </w:p>
        </w:tc>
        <w:tc>
          <w:tcPr>
            <w:tcW w:w="21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$223,603</w:t>
            </w:r>
          </w:p>
        </w:tc>
        <w:tc>
          <w:tcPr>
            <w:tcW w:w="0" w:type="dxa"/>
            <w:vAlign w:val="bottom"/>
          </w:tcPr>
          <w:p>
            <w:pPr>
              <w:spacing w:after="0"/>
              <w:rPr>
                <w:sz w:val="1"/>
                <w:szCs w:val="1"/>
                <w:color w:val="auto"/>
              </w:rPr>
            </w:pPr>
          </w:p>
        </w:tc>
      </w:tr>
      <w:tr>
        <w:trPr>
          <w:trHeight w:val="173"/>
        </w:trPr>
        <w:tc>
          <w:tcPr>
            <w:tcW w:w="43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b w:val="1"/>
                <w:bCs w:val="1"/>
                <w:color w:val="auto"/>
              </w:rPr>
              <w:t>Operating income/(loss)</w:t>
            </w:r>
          </w:p>
        </w:tc>
        <w:tc>
          <w:tcPr>
            <w:tcW w:w="3820" w:type="dxa"/>
            <w:vAlign w:val="bottom"/>
            <w:tcBorders>
              <w:top w:val="single" w:sz="8" w:color="auto"/>
            </w:tcBorders>
            <w:vMerge w:val="restart"/>
          </w:tcPr>
          <w:p>
            <w:pPr>
              <w:jc w:val="right"/>
              <w:ind w:right="470"/>
              <w:spacing w:after="0"/>
              <w:rPr>
                <w:sz w:val="20"/>
                <w:szCs w:val="20"/>
                <w:color w:val="auto"/>
              </w:rPr>
            </w:pPr>
            <w:r>
              <w:rPr>
                <w:rFonts w:ascii="Arial" w:cs="Arial" w:eastAsia="Arial" w:hAnsi="Arial"/>
                <w:sz w:val="18"/>
                <w:szCs w:val="18"/>
                <w:b w:val="1"/>
                <w:bCs w:val="1"/>
                <w:color w:val="auto"/>
              </w:rPr>
              <w:t>$44,243</w:t>
            </w:r>
          </w:p>
        </w:tc>
        <w:tc>
          <w:tcPr>
            <w:tcW w:w="2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360" w:type="dxa"/>
            <w:vAlign w:val="bottom"/>
            <w:gridSpan w:val="2"/>
          </w:tcPr>
          <w:p>
            <w:pPr>
              <w:spacing w:after="0" w:line="201" w:lineRule="exact"/>
              <w:rPr>
                <w:sz w:val="20"/>
                <w:szCs w:val="20"/>
                <w:color w:val="auto"/>
              </w:rPr>
            </w:pPr>
            <w:r>
              <w:rPr>
                <w:rFonts w:ascii="Arial" w:cs="Arial" w:eastAsia="Arial" w:hAnsi="Arial"/>
                <w:sz w:val="18"/>
                <w:szCs w:val="18"/>
                <w:color w:val="auto"/>
              </w:rPr>
              <w:t>Machine Clothing</w:t>
            </w:r>
          </w:p>
        </w:tc>
        <w:tc>
          <w:tcPr>
            <w:tcW w:w="3820" w:type="dxa"/>
            <w:vAlign w:val="bottom"/>
            <w:vMerge w:val="continue"/>
          </w:tcPr>
          <w:p>
            <w:pPr>
              <w:spacing w:after="0"/>
              <w:rPr>
                <w:sz w:val="17"/>
                <w:szCs w:val="17"/>
                <w:color w:val="auto"/>
              </w:rPr>
            </w:pPr>
          </w:p>
        </w:tc>
        <w:tc>
          <w:tcPr>
            <w:tcW w:w="2100" w:type="dxa"/>
            <w:vAlign w:val="bottom"/>
          </w:tcPr>
          <w:p>
            <w:pPr>
              <w:jc w:val="right"/>
              <w:spacing w:after="0" w:line="201" w:lineRule="exact"/>
              <w:rPr>
                <w:sz w:val="20"/>
                <w:szCs w:val="20"/>
                <w:color w:val="auto"/>
              </w:rPr>
            </w:pPr>
            <w:r>
              <w:rPr>
                <w:rFonts w:ascii="Arial" w:cs="Arial" w:eastAsia="Arial" w:hAnsi="Arial"/>
                <w:sz w:val="18"/>
                <w:szCs w:val="18"/>
                <w:color w:val="auto"/>
              </w:rPr>
              <w:t>$26,942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82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9,522</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2,275</w:t>
            </w:r>
          </w:p>
        </w:tc>
        <w:tc>
          <w:tcPr>
            <w:tcW w:w="0" w:type="dxa"/>
            <w:vAlign w:val="bottom"/>
          </w:tcPr>
          <w:p>
            <w:pPr>
              <w:spacing w:after="0"/>
              <w:rPr>
                <w:sz w:val="1"/>
                <w:szCs w:val="1"/>
                <w:color w:val="auto"/>
              </w:rPr>
            </w:pPr>
          </w:p>
        </w:tc>
      </w:tr>
      <w:tr>
        <w:trPr>
          <w:trHeight w:val="227"/>
        </w:trPr>
        <w:tc>
          <w:tcPr>
            <w:tcW w:w="43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Corporate expenses</w:t>
            </w:r>
          </w:p>
        </w:tc>
        <w:tc>
          <w:tcPr>
            <w:tcW w:w="38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(13,672)</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360" w:type="dxa"/>
            <w:vAlign w:val="bottom"/>
            <w:gridSpan w:val="2"/>
          </w:tcPr>
          <w:p>
            <w:pPr>
              <w:spacing w:after="0" w:line="173" w:lineRule="exact"/>
              <w:rPr>
                <w:sz w:val="20"/>
                <w:szCs w:val="20"/>
                <w:color w:val="auto"/>
              </w:rPr>
            </w:pPr>
            <w:r>
              <w:rPr>
                <w:rFonts w:ascii="Arial" w:cs="Arial" w:eastAsia="Arial" w:hAnsi="Arial"/>
                <w:sz w:val="18"/>
                <w:szCs w:val="18"/>
                <w:color w:val="auto"/>
              </w:rPr>
              <w:t>Operating income</w:t>
            </w:r>
          </w:p>
        </w:tc>
        <w:tc>
          <w:tcPr>
            <w:tcW w:w="3820" w:type="dxa"/>
            <w:vAlign w:val="bottom"/>
          </w:tcPr>
          <w:p>
            <w:pPr>
              <w:jc w:val="right"/>
              <w:ind w:right="470"/>
              <w:spacing w:after="0" w:line="173" w:lineRule="exact"/>
              <w:rPr>
                <w:sz w:val="20"/>
                <w:szCs w:val="20"/>
                <w:color w:val="auto"/>
              </w:rPr>
            </w:pPr>
            <w:r>
              <w:rPr>
                <w:rFonts w:ascii="Arial" w:cs="Arial" w:eastAsia="Arial" w:hAnsi="Arial"/>
                <w:sz w:val="18"/>
                <w:szCs w:val="18"/>
                <w:b w:val="1"/>
                <w:bCs w:val="1"/>
                <w:color w:val="auto"/>
              </w:rPr>
              <w:t>$40,093</w:t>
            </w:r>
          </w:p>
        </w:tc>
        <w:tc>
          <w:tcPr>
            <w:tcW w:w="2100" w:type="dxa"/>
            <w:vAlign w:val="bottom"/>
          </w:tcPr>
          <w:p>
            <w:pPr>
              <w:jc w:val="right"/>
              <w:spacing w:after="0" w:line="173" w:lineRule="exact"/>
              <w:rPr>
                <w:sz w:val="20"/>
                <w:szCs w:val="20"/>
                <w:color w:val="auto"/>
              </w:rPr>
            </w:pPr>
            <w:r>
              <w:rPr>
                <w:rFonts w:ascii="Arial" w:cs="Arial" w:eastAsia="Arial" w:hAnsi="Arial"/>
                <w:sz w:val="18"/>
                <w:szCs w:val="18"/>
                <w:color w:val="auto"/>
              </w:rPr>
              <w:t>$17,004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60" w:type="dxa"/>
            <w:vAlign w:val="bottom"/>
            <w:gridSpan w:val="2"/>
          </w:tcPr>
          <w:p>
            <w:pPr>
              <w:spacing w:after="0" w:line="202" w:lineRule="exact"/>
              <w:rPr>
                <w:sz w:val="20"/>
                <w:szCs w:val="20"/>
                <w:color w:val="auto"/>
              </w:rPr>
            </w:pPr>
            <w:r>
              <w:rPr>
                <w:rFonts w:ascii="Arial" w:cs="Arial" w:eastAsia="Arial" w:hAnsi="Arial"/>
                <w:sz w:val="18"/>
                <w:szCs w:val="18"/>
                <w:color w:val="auto"/>
              </w:rPr>
              <w:t>Reconciling items:</w:t>
            </w:r>
          </w:p>
        </w:tc>
        <w:tc>
          <w:tcPr>
            <w:tcW w:w="38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(599)</w:t>
            </w: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340" w:type="dxa"/>
            <w:vAlign w:val="bottom"/>
          </w:tcPr>
          <w:p>
            <w:pPr>
              <w:ind w:left="160"/>
              <w:spacing w:after="0" w:line="201" w:lineRule="exact"/>
              <w:rPr>
                <w:sz w:val="20"/>
                <w:szCs w:val="20"/>
                <w:color w:val="auto"/>
              </w:rPr>
            </w:pPr>
            <w:r>
              <w:rPr>
                <w:rFonts w:ascii="Arial" w:cs="Arial" w:eastAsia="Arial" w:hAnsi="Arial"/>
                <w:sz w:val="18"/>
                <w:szCs w:val="18"/>
                <w:color w:val="auto"/>
              </w:rPr>
              <w:t>Interest income</w:t>
            </w:r>
          </w:p>
        </w:tc>
        <w:tc>
          <w:tcPr>
            <w:tcW w:w="3820" w:type="dxa"/>
            <w:vAlign w:val="bottom"/>
            <w:vMerge w:val="continue"/>
          </w:tcPr>
          <w:p>
            <w:pPr>
              <w:spacing w:after="0"/>
              <w:rPr>
                <w:sz w:val="17"/>
                <w:szCs w:val="17"/>
                <w:color w:val="auto"/>
              </w:rPr>
            </w:pPr>
          </w:p>
        </w:tc>
        <w:tc>
          <w:tcPr>
            <w:tcW w:w="2100" w:type="dxa"/>
            <w:vAlign w:val="bottom"/>
          </w:tcPr>
          <w:p>
            <w:pPr>
              <w:jc w:val="right"/>
              <w:spacing w:after="0" w:line="201" w:lineRule="exact"/>
              <w:rPr>
                <w:sz w:val="20"/>
                <w:szCs w:val="20"/>
                <w:color w:val="auto"/>
              </w:rPr>
            </w:pPr>
            <w:r>
              <w:rPr>
                <w:rFonts w:ascii="Arial" w:cs="Arial" w:eastAsia="Arial" w:hAnsi="Arial"/>
                <w:sz w:val="18"/>
                <w:szCs w:val="18"/>
                <w:color w:val="auto"/>
              </w:rPr>
              <w:t>(382)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40" w:type="dxa"/>
            <w:vAlign w:val="bottom"/>
          </w:tcPr>
          <w:p>
            <w:pPr>
              <w:ind w:left="160"/>
              <w:spacing w:after="0" w:line="202" w:lineRule="exact"/>
              <w:rPr>
                <w:sz w:val="20"/>
                <w:szCs w:val="20"/>
                <w:color w:val="auto"/>
              </w:rPr>
            </w:pPr>
            <w:r>
              <w:rPr>
                <w:rFonts w:ascii="Arial" w:cs="Arial" w:eastAsia="Arial" w:hAnsi="Arial"/>
                <w:sz w:val="18"/>
                <w:szCs w:val="18"/>
                <w:color w:val="auto"/>
              </w:rPr>
              <w:t>Interest expense</w:t>
            </w:r>
          </w:p>
        </w:tc>
        <w:tc>
          <w:tcPr>
            <w:tcW w:w="382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5,016</w:t>
            </w:r>
          </w:p>
        </w:tc>
        <w:tc>
          <w:tcPr>
            <w:tcW w:w="2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Other (income)/expense, net</w:t>
            </w:r>
          </w:p>
        </w:tc>
        <w:tc>
          <w:tcPr>
            <w:tcW w:w="3820" w:type="dxa"/>
            <w:vAlign w:val="bottom"/>
          </w:tcPr>
          <w:p>
            <w:pPr>
              <w:jc w:val="right"/>
              <w:ind w:right="470"/>
              <w:spacing w:after="0"/>
              <w:rPr>
                <w:sz w:val="20"/>
                <w:szCs w:val="20"/>
                <w:color w:val="auto"/>
              </w:rPr>
            </w:pPr>
            <w:r>
              <w:rPr>
                <w:rFonts w:ascii="Arial" w:cs="Arial" w:eastAsia="Arial" w:hAnsi="Arial"/>
                <w:sz w:val="18"/>
                <w:szCs w:val="18"/>
                <w:b w:val="1"/>
                <w:bCs w:val="1"/>
                <w:color w:val="auto"/>
              </w:rPr>
              <w:t>(1,208)</w:t>
            </w:r>
          </w:p>
        </w:tc>
        <w:tc>
          <w:tcPr>
            <w:tcW w:w="2120" w:type="dxa"/>
            <w:vAlign w:val="bottom"/>
            <w:gridSpan w:val="2"/>
          </w:tcPr>
          <w:p>
            <w:pPr>
              <w:jc w:val="right"/>
              <w:ind w:right="20"/>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3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Income before income taxes</w:t>
            </w:r>
          </w:p>
        </w:tc>
        <w:tc>
          <w:tcPr>
            <w:tcW w:w="382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$36,884</w:t>
            </w:r>
          </w:p>
        </w:tc>
        <w:tc>
          <w:tcPr>
            <w:tcW w:w="2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$11,264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table below presents restructuring costs by reportable segment (also see Note 5):</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00" w:type="dxa"/>
            <w:vAlign w:val="bottom"/>
          </w:tcPr>
          <w:p>
            <w:pPr>
              <w:spacing w:after="0"/>
              <w:rPr>
                <w:sz w:val="16"/>
                <w:szCs w:val="16"/>
                <w:color w:val="auto"/>
              </w:rPr>
            </w:pPr>
          </w:p>
        </w:tc>
        <w:tc>
          <w:tcPr>
            <w:tcW w:w="344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gridSpan w:val="2"/>
          </w:tcPr>
          <w:p>
            <w:pPr>
              <w:jc w:val="right"/>
              <w:ind w:right="370"/>
              <w:spacing w:after="0" w:line="191"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3240" w:type="dxa"/>
            <w:vAlign w:val="bottom"/>
          </w:tcPr>
          <w:p>
            <w:pPr>
              <w:spacing w:after="0"/>
              <w:rPr>
                <w:sz w:val="16"/>
                <w:szCs w:val="16"/>
                <w:color w:val="auto"/>
              </w:rPr>
            </w:pPr>
          </w:p>
        </w:tc>
      </w:tr>
      <w:tr>
        <w:trPr>
          <w:trHeight w:val="203"/>
        </w:trPr>
        <w:tc>
          <w:tcPr>
            <w:tcW w:w="13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25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40" w:type="dxa"/>
            <w:vAlign w:val="bottom"/>
          </w:tcPr>
          <w:p>
            <w:pPr>
              <w:spacing w:after="0"/>
              <w:rPr>
                <w:sz w:val="17"/>
                <w:szCs w:val="17"/>
                <w:color w:val="auto"/>
              </w:rPr>
            </w:pPr>
          </w:p>
        </w:tc>
      </w:tr>
      <w:tr>
        <w:trPr>
          <w:trHeight w:val="227"/>
        </w:trPr>
        <w:tc>
          <w:tcPr>
            <w:tcW w:w="130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54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3240" w:type="dxa"/>
            <w:vAlign w:val="bottom"/>
          </w:tcPr>
          <w:p>
            <w:pPr>
              <w:spacing w:after="0"/>
              <w:rPr>
                <w:sz w:val="19"/>
                <w:szCs w:val="19"/>
                <w:color w:val="auto"/>
              </w:rPr>
            </w:pPr>
          </w:p>
        </w:tc>
      </w:tr>
      <w:tr>
        <w:trPr>
          <w:trHeight w:val="171"/>
        </w:trPr>
        <w:tc>
          <w:tcPr>
            <w:tcW w:w="1300" w:type="dxa"/>
            <w:vAlign w:val="bottom"/>
          </w:tcPr>
          <w:p>
            <w:pPr>
              <w:spacing w:after="0"/>
              <w:rPr>
                <w:sz w:val="14"/>
                <w:szCs w:val="14"/>
                <w:color w:val="auto"/>
              </w:rPr>
            </w:pPr>
          </w:p>
        </w:tc>
        <w:tc>
          <w:tcPr>
            <w:tcW w:w="344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254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rPr>
              <w:t>$401</w:t>
            </w:r>
          </w:p>
        </w:tc>
        <w:tc>
          <w:tcPr>
            <w:tcW w:w="880" w:type="dxa"/>
            <w:vAlign w:val="bottom"/>
          </w:tcPr>
          <w:p>
            <w:pPr>
              <w:jc w:val="right"/>
              <w:spacing w:after="0" w:line="171" w:lineRule="exact"/>
              <w:rPr>
                <w:sz w:val="20"/>
                <w:szCs w:val="20"/>
                <w:color w:val="auto"/>
              </w:rPr>
            </w:pPr>
            <w:r>
              <w:rPr>
                <w:rFonts w:ascii="Arial" w:cs="Arial" w:eastAsia="Arial" w:hAnsi="Arial"/>
                <w:sz w:val="18"/>
                <w:szCs w:val="18"/>
                <w:color w:val="auto"/>
              </w:rPr>
              <w:t>$8,352</w:t>
            </w:r>
          </w:p>
        </w:tc>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227"/>
        </w:trPr>
        <w:tc>
          <w:tcPr>
            <w:tcW w:w="1300" w:type="dxa"/>
            <w:vAlign w:val="bottom"/>
          </w:tcPr>
          <w:p>
            <w:pPr>
              <w:spacing w:after="0"/>
              <w:rPr>
                <w:sz w:val="19"/>
                <w:szCs w:val="19"/>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83</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221</w:t>
            </w:r>
          </w:p>
        </w:tc>
        <w:tc>
          <w:tcPr>
            <w:tcW w:w="3240" w:type="dxa"/>
            <w:vAlign w:val="bottom"/>
          </w:tcPr>
          <w:p>
            <w:pPr>
              <w:spacing w:after="0"/>
              <w:rPr>
                <w:sz w:val="19"/>
                <w:szCs w:val="19"/>
                <w:color w:val="auto"/>
              </w:rPr>
            </w:pPr>
          </w:p>
        </w:tc>
      </w:tr>
      <w:tr>
        <w:trPr>
          <w:trHeight w:val="203"/>
        </w:trPr>
        <w:tc>
          <w:tcPr>
            <w:tcW w:w="1300" w:type="dxa"/>
            <w:vAlign w:val="bottom"/>
          </w:tcPr>
          <w:p>
            <w:pPr>
              <w:spacing w:after="0"/>
              <w:rPr>
                <w:sz w:val="17"/>
                <w:szCs w:val="17"/>
                <w:color w:val="auto"/>
              </w:rPr>
            </w:pPr>
          </w:p>
        </w:tc>
        <w:tc>
          <w:tcPr>
            <w:tcW w:w="344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2540" w:type="dxa"/>
            <w:vAlign w:val="bottom"/>
          </w:tcPr>
          <w:p>
            <w:pPr>
              <w:jc w:val="right"/>
              <w:ind w:right="270"/>
              <w:spacing w:after="0" w:line="196" w:lineRule="exact"/>
              <w:rPr>
                <w:sz w:val="20"/>
                <w:szCs w:val="20"/>
                <w:color w:val="auto"/>
              </w:rPr>
            </w:pPr>
            <w:r>
              <w:rPr>
                <w:rFonts w:ascii="Arial" w:cs="Arial" w:eastAsia="Arial" w:hAnsi="Arial"/>
                <w:sz w:val="18"/>
                <w:szCs w:val="18"/>
                <w:b w:val="1"/>
                <w:bCs w:val="1"/>
                <w:color w:val="auto"/>
              </w:rPr>
              <w:t>$484</w:t>
            </w:r>
          </w:p>
        </w:tc>
        <w:tc>
          <w:tcPr>
            <w:tcW w:w="9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$8,573</w:t>
            </w:r>
          </w:p>
        </w:tc>
        <w:tc>
          <w:tcPr>
            <w:tcW w:w="3240" w:type="dxa"/>
            <w:vAlign w:val="bottom"/>
          </w:tcPr>
          <w:p>
            <w:pPr>
              <w:spacing w:after="0"/>
              <w:rPr>
                <w:sz w:val="17"/>
                <w:szCs w:val="17"/>
                <w:color w:val="auto"/>
              </w:rPr>
            </w:pPr>
          </w:p>
        </w:tc>
      </w:tr>
      <w:tr>
        <w:trPr>
          <w:trHeight w:val="324"/>
        </w:trPr>
        <w:tc>
          <w:tcPr>
            <w:tcW w:w="1300" w:type="dxa"/>
            <w:vAlign w:val="bottom"/>
          </w:tcPr>
          <w:p>
            <w:pPr>
              <w:spacing w:after="0"/>
              <w:rPr>
                <w:sz w:val="24"/>
                <w:szCs w:val="24"/>
                <w:color w:val="auto"/>
              </w:rPr>
            </w:pPr>
          </w:p>
        </w:tc>
        <w:tc>
          <w:tcPr>
            <w:tcW w:w="34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color w:val="auto"/>
              </w:rPr>
              <w:t>8</w:t>
            </w:r>
          </w:p>
        </w:tc>
        <w:tc>
          <w:tcPr>
            <w:tcW w:w="8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42"/>
        </w:trPr>
        <w:tc>
          <w:tcPr>
            <w:tcW w:w="1300" w:type="dxa"/>
            <w:vAlign w:val="bottom"/>
            <w:tcBorders>
              <w:bottom w:val="single" w:sz="8" w:color="auto"/>
            </w:tcBorders>
          </w:tcPr>
          <w:p>
            <w:pPr>
              <w:spacing w:after="0"/>
              <w:rPr>
                <w:sz w:val="12"/>
                <w:szCs w:val="12"/>
                <w:color w:val="auto"/>
              </w:rPr>
            </w:pPr>
          </w:p>
        </w:tc>
        <w:tc>
          <w:tcPr>
            <w:tcW w:w="3440" w:type="dxa"/>
            <w:vAlign w:val="bottom"/>
            <w:tcBorders>
              <w:bottom w:val="single" w:sz="8" w:color="auto"/>
            </w:tcBorders>
          </w:tcPr>
          <w:p>
            <w:pPr>
              <w:spacing w:after="0"/>
              <w:rPr>
                <w:sz w:val="12"/>
                <w:szCs w:val="12"/>
                <w:color w:val="auto"/>
              </w:rPr>
            </w:pPr>
          </w:p>
        </w:tc>
        <w:tc>
          <w:tcPr>
            <w:tcW w:w="2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24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468" w:right="239" w:bottom="1440" w:gutter="0" w:footer="0" w:header="0"/>
        </w:sectPr>
      </w:pPr>
    </w:p>
    <w:bookmarkStart w:id="8" w:name="page9"/>
    <w:bookmarkEnd w:id="8"/>
    <w:p>
      <w:pPr>
        <w:ind w:right="220" w:firstLine="648"/>
        <w:spacing w:after="0" w:line="276" w:lineRule="auto"/>
        <w:rPr>
          <w:sz w:val="20"/>
          <w:szCs w:val="20"/>
          <w:color w:val="auto"/>
        </w:rPr>
      </w:pPr>
      <w:r>
        <w:rPr>
          <w:rFonts w:ascii="Arial" w:cs="Arial" w:eastAsia="Arial" w:hAnsi="Arial"/>
          <w:sz w:val="18"/>
          <w:szCs w:val="18"/>
          <w:color w:val="auto"/>
        </w:rPr>
        <w:t>We disaggregate revenue earned from contracts with customers for each of our business segments and reporting units based on the timing of revenue recognition, and groupings used for internal review purposes.</w:t>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table disaggregates revenue for each reporting unit by timing of revenue recognition: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840" w:type="dxa"/>
            <w:vAlign w:val="bottom"/>
            <w:tcBorders>
              <w:top w:val="single" w:sz="8" w:color="auto"/>
            </w:tcBorders>
          </w:tcPr>
          <w:p>
            <w:pPr>
              <w:spacing w:after="0"/>
              <w:rPr>
                <w:sz w:val="17"/>
                <w:szCs w:val="17"/>
                <w:color w:val="auto"/>
              </w:rPr>
            </w:pPr>
          </w:p>
        </w:tc>
        <w:tc>
          <w:tcPr>
            <w:tcW w:w="5740" w:type="dxa"/>
            <w:vAlign w:val="bottom"/>
            <w:tcBorders>
              <w:top w:val="single" w:sz="8" w:color="auto"/>
            </w:tcBorders>
            <w:gridSpan w:val="2"/>
          </w:tcPr>
          <w:p>
            <w:pPr>
              <w:jc w:val="right"/>
              <w:ind w:right="790"/>
              <w:spacing w:after="0" w:line="205" w:lineRule="exact"/>
              <w:rPr>
                <w:sz w:val="20"/>
                <w:szCs w:val="20"/>
                <w:color w:val="auto"/>
              </w:rPr>
            </w:pPr>
            <w:r>
              <w:rPr>
                <w:rFonts w:ascii="Arial" w:cs="Arial" w:eastAsia="Arial" w:hAnsi="Arial"/>
                <w:sz w:val="18"/>
                <w:szCs w:val="18"/>
                <w:b w:val="1"/>
                <w:bCs w:val="1"/>
                <w:color w:val="auto"/>
              </w:rPr>
              <w:t>For the three months ended March 31, 2019</w:t>
            </w:r>
          </w:p>
        </w:tc>
        <w:tc>
          <w:tcPr>
            <w:tcW w:w="18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140" w:type="dxa"/>
            <w:vAlign w:val="bottom"/>
          </w:tcPr>
          <w:p>
            <w:pPr>
              <w:jc w:val="center"/>
              <w:ind w:left="490"/>
              <w:spacing w:after="0" w:line="202" w:lineRule="exact"/>
              <w:rPr>
                <w:sz w:val="20"/>
                <w:szCs w:val="20"/>
                <w:color w:val="auto"/>
              </w:rPr>
            </w:pPr>
            <w:r>
              <w:rPr>
                <w:rFonts w:ascii="Arial" w:cs="Arial" w:eastAsia="Arial" w:hAnsi="Arial"/>
                <w:sz w:val="18"/>
                <w:szCs w:val="18"/>
                <w:b w:val="1"/>
                <w:bCs w:val="1"/>
                <w:color w:val="auto"/>
                <w:w w:val="99"/>
              </w:rPr>
              <w:t>Point in Time Revenue</w:t>
            </w:r>
          </w:p>
        </w:tc>
        <w:tc>
          <w:tcPr>
            <w:tcW w:w="2600" w:type="dxa"/>
            <w:vAlign w:val="bottom"/>
          </w:tcPr>
          <w:p>
            <w:pPr>
              <w:jc w:val="center"/>
              <w:ind w:right="550"/>
              <w:spacing w:after="0" w:line="202" w:lineRule="exact"/>
              <w:rPr>
                <w:sz w:val="20"/>
                <w:szCs w:val="20"/>
                <w:color w:val="auto"/>
              </w:rPr>
            </w:pPr>
            <w:r>
              <w:rPr>
                <w:rFonts w:ascii="Arial" w:cs="Arial" w:eastAsia="Arial" w:hAnsi="Arial"/>
                <w:sz w:val="18"/>
                <w:szCs w:val="18"/>
                <w:b w:val="1"/>
                <w:bCs w:val="1"/>
                <w:color w:val="auto"/>
                <w:w w:val="99"/>
              </w:rPr>
              <w:t>Over Time Revenue</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1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9"/>
              </w:rPr>
              <w:t>Recognition</w:t>
            </w:r>
          </w:p>
        </w:tc>
        <w:tc>
          <w:tcPr>
            <w:tcW w:w="26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9"/>
              </w:rPr>
              <w:t>Recognition</w:t>
            </w:r>
          </w:p>
        </w:tc>
        <w:tc>
          <w:tcPr>
            <w:tcW w:w="1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Machine Clothing</w:t>
            </w:r>
          </w:p>
        </w:tc>
        <w:tc>
          <w:tcPr>
            <w:tcW w:w="3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$143,534</w:t>
            </w:r>
          </w:p>
        </w:tc>
        <w:tc>
          <w:tcPr>
            <w:tcW w:w="2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$800</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3860" w:type="dxa"/>
            <w:vAlign w:val="bottom"/>
            <w:gridSpan w:val="2"/>
          </w:tcPr>
          <w:p>
            <w:pPr>
              <w:spacing w:after="0"/>
              <w:rPr>
                <w:sz w:val="20"/>
                <w:szCs w:val="20"/>
                <w:color w:val="auto"/>
              </w:rPr>
            </w:pPr>
            <w:r>
              <w:rPr>
                <w:rFonts w:ascii="Arial" w:cs="Arial" w:eastAsia="Arial" w:hAnsi="Arial"/>
                <w:sz w:val="18"/>
                <w:szCs w:val="18"/>
                <w:color w:val="auto"/>
              </w:rPr>
              <w:t>Albany Engineered Composites</w:t>
            </w:r>
          </w:p>
        </w:tc>
        <w:tc>
          <w:tcPr>
            <w:tcW w:w="31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260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55,442</w:t>
            </w:r>
          </w:p>
        </w:tc>
        <w:tc>
          <w:tcPr>
            <w:tcW w:w="18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55,442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840" w:type="dxa"/>
            <w:vAlign w:val="bottom"/>
          </w:tcPr>
          <w:p>
            <w:pPr>
              <w:ind w:left="440"/>
              <w:spacing w:after="0" w:line="201" w:lineRule="exact"/>
              <w:rPr>
                <w:sz w:val="20"/>
                <w:szCs w:val="20"/>
                <w:color w:val="auto"/>
              </w:rPr>
            </w:pPr>
            <w:r>
              <w:rPr>
                <w:rFonts w:ascii="Arial" w:cs="Arial" w:eastAsia="Arial" w:hAnsi="Arial"/>
                <w:sz w:val="18"/>
                <w:szCs w:val="18"/>
                <w:color w:val="auto"/>
              </w:rPr>
              <w:t>ASC</w:t>
            </w:r>
          </w:p>
        </w:tc>
        <w:tc>
          <w:tcPr>
            <w:tcW w:w="3140" w:type="dxa"/>
            <w:vAlign w:val="bottom"/>
            <w:vMerge w:val="continue"/>
          </w:tcPr>
          <w:p>
            <w:pPr>
              <w:spacing w:after="0"/>
              <w:rPr>
                <w:sz w:val="17"/>
                <w:szCs w:val="17"/>
                <w:color w:val="auto"/>
              </w:rPr>
            </w:pPr>
          </w:p>
        </w:tc>
        <w:tc>
          <w:tcPr>
            <w:tcW w:w="2600" w:type="dxa"/>
            <w:vAlign w:val="bottom"/>
            <w:vMerge w:val="continue"/>
          </w:tcPr>
          <w:p>
            <w:pPr>
              <w:spacing w:after="0"/>
              <w:rPr>
                <w:sz w:val="17"/>
                <w:szCs w:val="17"/>
                <w:color w:val="auto"/>
              </w:rPr>
            </w:pPr>
          </w:p>
        </w:tc>
        <w:tc>
          <w:tcPr>
            <w:tcW w:w="18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840" w:type="dxa"/>
            <w:vAlign w:val="bottom"/>
          </w:tcPr>
          <w:p>
            <w:pPr>
              <w:ind w:left="440"/>
              <w:spacing w:after="0"/>
              <w:rPr>
                <w:sz w:val="20"/>
                <w:szCs w:val="20"/>
                <w:color w:val="auto"/>
              </w:rPr>
            </w:pPr>
            <w:r>
              <w:rPr>
                <w:rFonts w:ascii="Arial" w:cs="Arial" w:eastAsia="Arial" w:hAnsi="Arial"/>
                <w:sz w:val="18"/>
                <w:szCs w:val="18"/>
                <w:color w:val="auto"/>
              </w:rPr>
              <w:t>Other AEC</w:t>
            </w:r>
          </w:p>
        </w:tc>
        <w:tc>
          <w:tcPr>
            <w:tcW w:w="3140" w:type="dxa"/>
            <w:vAlign w:val="bottom"/>
          </w:tcPr>
          <w:p>
            <w:pPr>
              <w:jc w:val="right"/>
              <w:ind w:right="50"/>
              <w:spacing w:after="0"/>
              <w:rPr>
                <w:sz w:val="20"/>
                <w:szCs w:val="20"/>
                <w:color w:val="auto"/>
              </w:rPr>
            </w:pPr>
            <w:r>
              <w:rPr>
                <w:rFonts w:ascii="Arial" w:cs="Arial" w:eastAsia="Arial" w:hAnsi="Arial"/>
                <w:sz w:val="18"/>
                <w:szCs w:val="18"/>
                <w:b w:val="1"/>
                <w:bCs w:val="1"/>
                <w:color w:val="auto"/>
              </w:rPr>
              <w:t>6,245</w:t>
            </w:r>
          </w:p>
        </w:tc>
        <w:tc>
          <w:tcPr>
            <w:tcW w:w="2600" w:type="dxa"/>
            <w:vAlign w:val="bottom"/>
          </w:tcPr>
          <w:p>
            <w:pPr>
              <w:jc w:val="right"/>
              <w:ind w:right="370"/>
              <w:spacing w:after="0"/>
              <w:rPr>
                <w:sz w:val="20"/>
                <w:szCs w:val="20"/>
                <w:color w:val="auto"/>
              </w:rPr>
            </w:pPr>
            <w:r>
              <w:rPr>
                <w:rFonts w:ascii="Arial" w:cs="Arial" w:eastAsia="Arial" w:hAnsi="Arial"/>
                <w:sz w:val="18"/>
                <w:szCs w:val="18"/>
                <w:b w:val="1"/>
                <w:bCs w:val="1"/>
                <w:color w:val="auto"/>
              </w:rPr>
              <w:t>45,352</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51,597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Total Albany Engineered Composites</w:t>
            </w:r>
          </w:p>
        </w:tc>
        <w:tc>
          <w:tcPr>
            <w:tcW w:w="31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6,245</w:t>
            </w:r>
          </w:p>
        </w:tc>
        <w:tc>
          <w:tcPr>
            <w:tcW w:w="2600" w:type="dxa"/>
            <w:vAlign w:val="bottom"/>
            <w:tcBorders>
              <w:top w:val="single" w:sz="8" w:color="auto"/>
              <w:bottom w:val="single" w:sz="8" w:color="auto"/>
            </w:tcBorders>
          </w:tcPr>
          <w:p>
            <w:pPr>
              <w:jc w:val="right"/>
              <w:ind w:right="370"/>
              <w:spacing w:after="0" w:line="196" w:lineRule="exact"/>
              <w:rPr>
                <w:sz w:val="20"/>
                <w:szCs w:val="20"/>
                <w:color w:val="auto"/>
              </w:rPr>
            </w:pPr>
            <w:r>
              <w:rPr>
                <w:rFonts w:ascii="Arial" w:cs="Arial" w:eastAsia="Arial" w:hAnsi="Arial"/>
                <w:sz w:val="18"/>
                <w:szCs w:val="18"/>
                <w:b w:val="1"/>
                <w:bCs w:val="1"/>
                <w:color w:val="auto"/>
              </w:rPr>
              <w:t>100,794</w:t>
            </w:r>
          </w:p>
        </w:tc>
        <w:tc>
          <w:tcPr>
            <w:tcW w:w="1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107,039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860" w:type="dxa"/>
            <w:vAlign w:val="bottom"/>
            <w:gridSpan w:val="2"/>
          </w:tcPr>
          <w:p>
            <w:pPr>
              <w:spacing w:after="0" w:line="209" w:lineRule="exact"/>
              <w:rPr>
                <w:sz w:val="20"/>
                <w:szCs w:val="20"/>
                <w:color w:val="auto"/>
              </w:rPr>
            </w:pPr>
            <w:r>
              <w:rPr>
                <w:rFonts w:ascii="Arial" w:cs="Arial" w:eastAsia="Arial" w:hAnsi="Arial"/>
                <w:sz w:val="20"/>
                <w:szCs w:val="20"/>
                <w:color w:val="auto"/>
              </w:rPr>
              <w:t>Total revenue</w:t>
            </w:r>
          </w:p>
        </w:tc>
        <w:tc>
          <w:tcPr>
            <w:tcW w:w="3140" w:type="dxa"/>
            <w:vAlign w:val="bottom"/>
          </w:tcPr>
          <w:p>
            <w:pPr>
              <w:jc w:val="right"/>
              <w:ind w:right="50"/>
              <w:spacing w:after="0"/>
              <w:rPr>
                <w:sz w:val="20"/>
                <w:szCs w:val="20"/>
                <w:color w:val="auto"/>
              </w:rPr>
            </w:pPr>
            <w:r>
              <w:rPr>
                <w:rFonts w:ascii="Arial" w:cs="Arial" w:eastAsia="Arial" w:hAnsi="Arial"/>
                <w:sz w:val="18"/>
                <w:szCs w:val="18"/>
                <w:b w:val="1"/>
                <w:bCs w:val="1"/>
                <w:color w:val="auto"/>
              </w:rPr>
              <w:t>$149,779</w:t>
            </w:r>
          </w:p>
        </w:tc>
        <w:tc>
          <w:tcPr>
            <w:tcW w:w="2600" w:type="dxa"/>
            <w:vAlign w:val="bottom"/>
          </w:tcPr>
          <w:p>
            <w:pPr>
              <w:jc w:val="right"/>
              <w:ind w:right="370"/>
              <w:spacing w:after="0"/>
              <w:rPr>
                <w:sz w:val="20"/>
                <w:szCs w:val="20"/>
                <w:color w:val="auto"/>
              </w:rPr>
            </w:pPr>
            <w:r>
              <w:rPr>
                <w:rFonts w:ascii="Arial" w:cs="Arial" w:eastAsia="Arial" w:hAnsi="Arial"/>
                <w:sz w:val="18"/>
                <w:szCs w:val="18"/>
                <w:b w:val="1"/>
                <w:bCs w:val="1"/>
                <w:color w:val="auto"/>
              </w:rPr>
              <w:t>$101,594</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$251,373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3840" w:type="dxa"/>
            <w:vAlign w:val="bottom"/>
            <w:tcBorders>
              <w:top w:val="single" w:sz="8" w:color="auto"/>
              <w:bottom w:val="single" w:sz="8" w:color="auto"/>
            </w:tcBorders>
          </w:tcPr>
          <w:p>
            <w:pPr>
              <w:spacing w:after="0"/>
              <w:rPr>
                <w:sz w:val="24"/>
                <w:szCs w:val="24"/>
                <w:color w:val="auto"/>
              </w:rPr>
            </w:pPr>
          </w:p>
        </w:tc>
        <w:tc>
          <w:tcPr>
            <w:tcW w:w="5740" w:type="dxa"/>
            <w:vAlign w:val="bottom"/>
            <w:tcBorders>
              <w:top w:val="single" w:sz="8" w:color="auto"/>
              <w:bottom w:val="single" w:sz="8" w:color="auto"/>
            </w:tcBorders>
            <w:gridSpan w:val="2"/>
          </w:tcPr>
          <w:p>
            <w:pPr>
              <w:spacing w:after="0"/>
              <w:rPr>
                <w:sz w:val="24"/>
                <w:szCs w:val="24"/>
                <w:color w:val="auto"/>
              </w:rPr>
            </w:pPr>
          </w:p>
        </w:tc>
        <w:tc>
          <w:tcPr>
            <w:tcW w:w="182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5740" w:type="dxa"/>
            <w:vAlign w:val="bottom"/>
            <w:gridSpan w:val="2"/>
          </w:tcPr>
          <w:p>
            <w:pPr>
              <w:jc w:val="right"/>
              <w:ind w:right="790"/>
              <w:spacing w:after="0" w:line="185" w:lineRule="exact"/>
              <w:rPr>
                <w:sz w:val="20"/>
                <w:szCs w:val="20"/>
                <w:color w:val="auto"/>
              </w:rPr>
            </w:pPr>
            <w:r>
              <w:rPr>
                <w:rFonts w:ascii="Arial" w:cs="Arial" w:eastAsia="Arial" w:hAnsi="Arial"/>
                <w:sz w:val="18"/>
                <w:szCs w:val="18"/>
                <w:b w:val="1"/>
                <w:bCs w:val="1"/>
                <w:color w:val="auto"/>
              </w:rPr>
              <w:t>For the three months ended March 31, 2018</w:t>
            </w:r>
          </w:p>
        </w:tc>
        <w:tc>
          <w:tcPr>
            <w:tcW w:w="1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140" w:type="dxa"/>
            <w:vAlign w:val="bottom"/>
          </w:tcPr>
          <w:p>
            <w:pPr>
              <w:jc w:val="center"/>
              <w:ind w:left="490"/>
              <w:spacing w:after="0" w:line="202" w:lineRule="exact"/>
              <w:rPr>
                <w:sz w:val="20"/>
                <w:szCs w:val="20"/>
                <w:color w:val="auto"/>
              </w:rPr>
            </w:pPr>
            <w:r>
              <w:rPr>
                <w:rFonts w:ascii="Arial" w:cs="Arial" w:eastAsia="Arial" w:hAnsi="Arial"/>
                <w:sz w:val="18"/>
                <w:szCs w:val="18"/>
                <w:b w:val="1"/>
                <w:bCs w:val="1"/>
                <w:color w:val="auto"/>
                <w:w w:val="99"/>
              </w:rPr>
              <w:t>Point in Time Revenue</w:t>
            </w:r>
          </w:p>
        </w:tc>
        <w:tc>
          <w:tcPr>
            <w:tcW w:w="2600" w:type="dxa"/>
            <w:vAlign w:val="bottom"/>
          </w:tcPr>
          <w:p>
            <w:pPr>
              <w:jc w:val="center"/>
              <w:ind w:right="510"/>
              <w:spacing w:after="0" w:line="202" w:lineRule="exact"/>
              <w:rPr>
                <w:sz w:val="20"/>
                <w:szCs w:val="20"/>
                <w:color w:val="auto"/>
              </w:rPr>
            </w:pPr>
            <w:r>
              <w:rPr>
                <w:rFonts w:ascii="Arial" w:cs="Arial" w:eastAsia="Arial" w:hAnsi="Arial"/>
                <w:sz w:val="18"/>
                <w:szCs w:val="18"/>
                <w:b w:val="1"/>
                <w:bCs w:val="1"/>
                <w:color w:val="auto"/>
                <w:w w:val="99"/>
              </w:rPr>
              <w:t>Over Time Revenue</w:t>
            </w:r>
          </w:p>
        </w:tc>
        <w:tc>
          <w:tcPr>
            <w:tcW w:w="1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140" w:type="dxa"/>
            <w:vAlign w:val="bottom"/>
            <w:tcBorders>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9"/>
              </w:rPr>
              <w:t>Recognition</w:t>
            </w:r>
          </w:p>
        </w:tc>
        <w:tc>
          <w:tcPr>
            <w:tcW w:w="26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9"/>
              </w:rPr>
              <w:t>Recognition</w:t>
            </w:r>
          </w:p>
        </w:tc>
        <w:tc>
          <w:tcPr>
            <w:tcW w:w="18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860" w:type="dxa"/>
            <w:vAlign w:val="bottom"/>
            <w:gridSpan w:val="2"/>
          </w:tcPr>
          <w:p>
            <w:pPr>
              <w:spacing w:after="0"/>
              <w:rPr>
                <w:sz w:val="20"/>
                <w:szCs w:val="20"/>
                <w:color w:val="auto"/>
              </w:rPr>
            </w:pPr>
            <w:r>
              <w:rPr>
                <w:rFonts w:ascii="Arial" w:cs="Arial" w:eastAsia="Arial" w:hAnsi="Arial"/>
                <w:sz w:val="18"/>
                <w:szCs w:val="18"/>
                <w:color w:val="auto"/>
              </w:rPr>
              <w:t>Machine Clothing</w:t>
            </w:r>
          </w:p>
        </w:tc>
        <w:tc>
          <w:tcPr>
            <w:tcW w:w="3140" w:type="dxa"/>
            <w:vAlign w:val="bottom"/>
          </w:tcPr>
          <w:p>
            <w:pPr>
              <w:jc w:val="right"/>
              <w:ind w:right="50"/>
              <w:spacing w:after="0"/>
              <w:rPr>
                <w:sz w:val="20"/>
                <w:szCs w:val="20"/>
                <w:color w:val="auto"/>
              </w:rPr>
            </w:pPr>
            <w:r>
              <w:rPr>
                <w:rFonts w:ascii="Arial" w:cs="Arial" w:eastAsia="Arial" w:hAnsi="Arial"/>
                <w:sz w:val="18"/>
                <w:szCs w:val="18"/>
                <w:color w:val="auto"/>
              </w:rPr>
              <w:t>$140,973</w:t>
            </w:r>
          </w:p>
        </w:tc>
        <w:tc>
          <w:tcPr>
            <w:tcW w:w="2600" w:type="dxa"/>
            <w:vAlign w:val="bottom"/>
          </w:tcPr>
          <w:p>
            <w:pPr>
              <w:jc w:val="right"/>
              <w:ind w:right="370"/>
              <w:spacing w:after="0"/>
              <w:rPr>
                <w:sz w:val="20"/>
                <w:szCs w:val="20"/>
                <w:color w:val="auto"/>
              </w:rPr>
            </w:pPr>
            <w:r>
              <w:rPr>
                <w:rFonts w:ascii="Arial" w:cs="Arial" w:eastAsia="Arial" w:hAnsi="Arial"/>
                <w:sz w:val="18"/>
                <w:szCs w:val="18"/>
                <w:color w:val="auto"/>
              </w:rPr>
              <w:t>$800</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$141,773</w:t>
            </w:r>
          </w:p>
        </w:tc>
        <w:tc>
          <w:tcPr>
            <w:tcW w:w="0" w:type="dxa"/>
            <w:vAlign w:val="bottom"/>
          </w:tcPr>
          <w:p>
            <w:pPr>
              <w:spacing w:after="0"/>
              <w:rPr>
                <w:sz w:val="1"/>
                <w:szCs w:val="1"/>
                <w:color w:val="auto"/>
              </w:rPr>
            </w:pPr>
          </w:p>
        </w:tc>
      </w:tr>
      <w:tr>
        <w:trPr>
          <w:trHeight w:val="376"/>
        </w:trPr>
        <w:tc>
          <w:tcPr>
            <w:tcW w:w="38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140" w:type="dxa"/>
            <w:vAlign w:val="bottom"/>
            <w:tcBorders>
              <w:top w:val="single" w:sz="8" w:color="auto"/>
            </w:tcBorders>
          </w:tcPr>
          <w:p>
            <w:pPr>
              <w:spacing w:after="0"/>
              <w:rPr>
                <w:sz w:val="24"/>
                <w:szCs w:val="24"/>
                <w:color w:val="auto"/>
              </w:rPr>
            </w:pPr>
          </w:p>
        </w:tc>
        <w:tc>
          <w:tcPr>
            <w:tcW w:w="260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40" w:type="dxa"/>
            <w:vAlign w:val="bottom"/>
          </w:tcPr>
          <w:p>
            <w:pPr>
              <w:ind w:left="440"/>
              <w:spacing w:after="0" w:line="202" w:lineRule="exact"/>
              <w:rPr>
                <w:sz w:val="20"/>
                <w:szCs w:val="20"/>
                <w:color w:val="auto"/>
              </w:rPr>
            </w:pPr>
            <w:r>
              <w:rPr>
                <w:rFonts w:ascii="Arial" w:cs="Arial" w:eastAsia="Arial" w:hAnsi="Arial"/>
                <w:sz w:val="18"/>
                <w:szCs w:val="18"/>
                <w:color w:val="auto"/>
              </w:rPr>
              <w:t>ASC</w:t>
            </w:r>
          </w:p>
        </w:tc>
        <w:tc>
          <w:tcPr>
            <w:tcW w:w="31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260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40,781</w:t>
            </w:r>
          </w:p>
        </w:tc>
        <w:tc>
          <w:tcPr>
            <w:tcW w:w="18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40,781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8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 AEC</w:t>
            </w:r>
          </w:p>
        </w:tc>
        <w:tc>
          <w:tcPr>
            <w:tcW w:w="3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6,040</w:t>
            </w:r>
          </w:p>
        </w:tc>
        <w:tc>
          <w:tcPr>
            <w:tcW w:w="2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35,009</w:t>
            </w: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41,049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Pr>
          <w:p>
            <w:pPr>
              <w:spacing w:after="0" w:line="196" w:lineRule="exact"/>
              <w:rPr>
                <w:sz w:val="20"/>
                <w:szCs w:val="20"/>
                <w:color w:val="auto"/>
              </w:rPr>
            </w:pPr>
            <w:r>
              <w:rPr>
                <w:rFonts w:ascii="Arial" w:cs="Arial" w:eastAsia="Arial" w:hAnsi="Arial"/>
                <w:sz w:val="18"/>
                <w:szCs w:val="18"/>
                <w:color w:val="auto"/>
              </w:rPr>
              <w:t>Total Albany Engineered Composites</w:t>
            </w:r>
          </w:p>
        </w:tc>
        <w:tc>
          <w:tcPr>
            <w:tcW w:w="3140" w:type="dxa"/>
            <w:vAlign w:val="bottom"/>
          </w:tcPr>
          <w:p>
            <w:pPr>
              <w:jc w:val="right"/>
              <w:ind w:right="50"/>
              <w:spacing w:after="0" w:line="196" w:lineRule="exact"/>
              <w:rPr>
                <w:sz w:val="20"/>
                <w:szCs w:val="20"/>
                <w:color w:val="auto"/>
              </w:rPr>
            </w:pPr>
            <w:r>
              <w:rPr>
                <w:rFonts w:ascii="Arial" w:cs="Arial" w:eastAsia="Arial" w:hAnsi="Arial"/>
                <w:sz w:val="18"/>
                <w:szCs w:val="18"/>
                <w:color w:val="auto"/>
              </w:rPr>
              <w:t>6,040</w:t>
            </w:r>
          </w:p>
        </w:tc>
        <w:tc>
          <w:tcPr>
            <w:tcW w:w="2600" w:type="dxa"/>
            <w:vAlign w:val="bottom"/>
          </w:tcPr>
          <w:p>
            <w:pPr>
              <w:jc w:val="right"/>
              <w:ind w:right="370"/>
              <w:spacing w:after="0" w:line="196" w:lineRule="exact"/>
              <w:rPr>
                <w:sz w:val="20"/>
                <w:szCs w:val="20"/>
                <w:color w:val="auto"/>
              </w:rPr>
            </w:pPr>
            <w:r>
              <w:rPr>
                <w:rFonts w:ascii="Arial" w:cs="Arial" w:eastAsia="Arial" w:hAnsi="Arial"/>
                <w:sz w:val="18"/>
                <w:szCs w:val="18"/>
                <w:color w:val="auto"/>
              </w:rPr>
              <w:t>75,790</w:t>
            </w:r>
          </w:p>
        </w:tc>
        <w:tc>
          <w:tcPr>
            <w:tcW w:w="18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81,830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840" w:type="dxa"/>
            <w:vAlign w:val="bottom"/>
            <w:tcBorders>
              <w:top w:val="single" w:sz="8" w:color="auto"/>
              <w:bottom w:val="single" w:sz="8" w:color="auto"/>
            </w:tcBorders>
          </w:tcPr>
          <w:p>
            <w:pPr>
              <w:spacing w:after="0"/>
              <w:rPr>
                <w:sz w:val="17"/>
                <w:szCs w:val="17"/>
                <w:color w:val="auto"/>
              </w:rPr>
            </w:pPr>
          </w:p>
        </w:tc>
        <w:tc>
          <w:tcPr>
            <w:tcW w:w="3140" w:type="dxa"/>
            <w:vAlign w:val="bottom"/>
            <w:tcBorders>
              <w:top w:val="single" w:sz="8" w:color="auto"/>
              <w:bottom w:val="single" w:sz="8" w:color="auto"/>
            </w:tcBorders>
          </w:tcPr>
          <w:p>
            <w:pPr>
              <w:spacing w:after="0"/>
              <w:rPr>
                <w:sz w:val="17"/>
                <w:szCs w:val="17"/>
                <w:color w:val="auto"/>
              </w:rPr>
            </w:pPr>
          </w:p>
        </w:tc>
        <w:tc>
          <w:tcPr>
            <w:tcW w:w="2600" w:type="dxa"/>
            <w:vAlign w:val="bottom"/>
            <w:tcBorders>
              <w:top w:val="single" w:sz="8" w:color="auto"/>
              <w:bottom w:val="single" w:sz="8" w:color="auto"/>
            </w:tcBorders>
          </w:tcPr>
          <w:p>
            <w:pPr>
              <w:spacing w:after="0"/>
              <w:rPr>
                <w:sz w:val="17"/>
                <w:szCs w:val="17"/>
                <w:color w:val="auto"/>
              </w:rPr>
            </w:pPr>
          </w:p>
        </w:tc>
        <w:tc>
          <w:tcPr>
            <w:tcW w:w="1820" w:type="dxa"/>
            <w:vAlign w:val="bottom"/>
            <w:tcBorders>
              <w:top w:val="single" w:sz="8" w:color="auto"/>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auto"/>
            </w:tcBorders>
            <w:gridSpan w:val="2"/>
          </w:tcPr>
          <w:p>
            <w:pPr>
              <w:spacing w:after="0" w:line="209" w:lineRule="exact"/>
              <w:rPr>
                <w:sz w:val="20"/>
                <w:szCs w:val="20"/>
                <w:color w:val="auto"/>
              </w:rPr>
            </w:pPr>
            <w:r>
              <w:rPr>
                <w:rFonts w:ascii="Arial" w:cs="Arial" w:eastAsia="Arial" w:hAnsi="Arial"/>
                <w:sz w:val="20"/>
                <w:szCs w:val="20"/>
                <w:color w:val="auto"/>
              </w:rPr>
              <w:t>Total revenue</w:t>
            </w:r>
          </w:p>
        </w:tc>
        <w:tc>
          <w:tcPr>
            <w:tcW w:w="3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$147,013</w:t>
            </w:r>
          </w:p>
        </w:tc>
        <w:tc>
          <w:tcPr>
            <w:tcW w:w="26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$76,590</w:t>
            </w:r>
          </w:p>
        </w:tc>
        <w:tc>
          <w:tcPr>
            <w:tcW w:w="1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$223,603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840" w:firstLine="648"/>
        <w:spacing w:after="0" w:line="276" w:lineRule="auto"/>
        <w:rPr>
          <w:sz w:val="20"/>
          <w:szCs w:val="20"/>
          <w:color w:val="auto"/>
        </w:rPr>
      </w:pPr>
      <w:r>
        <w:rPr>
          <w:rFonts w:ascii="Arial" w:cs="Arial" w:eastAsia="Arial" w:hAnsi="Arial"/>
          <w:sz w:val="18"/>
          <w:szCs w:val="18"/>
          <w:color w:val="auto"/>
        </w:rPr>
        <w:t>The following table disaggregates MC segment revenue by significant product groupings (paper machine clothing (PMC) and engineered fabrics), and, for PMC, the geographical region to which the paper machine clothing was sold:</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1"/>
        </w:trPr>
        <w:tc>
          <w:tcPr>
            <w:tcW w:w="4840" w:type="dxa"/>
            <w:vAlign w:val="bottom"/>
            <w:tcBorders>
              <w:top w:val="single" w:sz="8" w:color="auto"/>
            </w:tcBorders>
          </w:tcPr>
          <w:p>
            <w:pPr>
              <w:spacing w:after="0"/>
              <w:rPr>
                <w:sz w:val="16"/>
                <w:szCs w:val="16"/>
                <w:color w:val="auto"/>
              </w:rPr>
            </w:pPr>
          </w:p>
        </w:tc>
        <w:tc>
          <w:tcPr>
            <w:tcW w:w="6580" w:type="dxa"/>
            <w:vAlign w:val="bottom"/>
            <w:tcBorders>
              <w:top w:val="single" w:sz="8" w:color="auto"/>
            </w:tcBorders>
            <w:gridSpan w:val="2"/>
          </w:tcPr>
          <w:p>
            <w:pPr>
              <w:jc w:val="right"/>
              <w:ind w:right="1010"/>
              <w:spacing w:after="0" w:line="191" w:lineRule="exact"/>
              <w:rPr>
                <w:sz w:val="20"/>
                <w:szCs w:val="20"/>
                <w:color w:val="auto"/>
              </w:rPr>
            </w:pPr>
            <w:r>
              <w:rPr>
                <w:rFonts w:ascii="Arial" w:cs="Arial" w:eastAsia="Arial" w:hAnsi="Arial"/>
                <w:sz w:val="18"/>
                <w:szCs w:val="18"/>
                <w:b w:val="1"/>
                <w:bCs w:val="1"/>
                <w:color w:val="auto"/>
              </w:rPr>
              <w:t>For the three months ended March 31,</w:t>
            </w:r>
          </w:p>
        </w:tc>
        <w:tc>
          <w:tcPr>
            <w:tcW w:w="20" w:type="dxa"/>
            <w:vAlign w:val="bottom"/>
          </w:tcPr>
          <w:p>
            <w:pPr>
              <w:spacing w:after="0"/>
              <w:rPr>
                <w:sz w:val="16"/>
                <w:szCs w:val="16"/>
                <w:color w:val="auto"/>
              </w:rPr>
            </w:pPr>
          </w:p>
        </w:tc>
      </w:tr>
      <w:tr>
        <w:trPr>
          <w:trHeight w:val="22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44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b w:val="1"/>
                <w:bCs w:val="1"/>
                <w:color w:val="auto"/>
              </w:rPr>
              <w:t>2019</w:t>
            </w:r>
          </w:p>
        </w:tc>
        <w:tc>
          <w:tcPr>
            <w:tcW w:w="21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r>
      <w:tr>
        <w:trPr>
          <w:trHeight w:val="374"/>
        </w:trPr>
        <w:tc>
          <w:tcPr>
            <w:tcW w:w="4840" w:type="dxa"/>
            <w:vAlign w:val="bottom"/>
          </w:tcPr>
          <w:p>
            <w:pPr>
              <w:spacing w:after="0"/>
              <w:rPr>
                <w:sz w:val="20"/>
                <w:szCs w:val="20"/>
                <w:color w:val="auto"/>
              </w:rPr>
            </w:pPr>
            <w:r>
              <w:rPr>
                <w:rFonts w:ascii="Arial" w:cs="Arial" w:eastAsia="Arial" w:hAnsi="Arial"/>
                <w:sz w:val="18"/>
                <w:szCs w:val="18"/>
                <w:color w:val="auto"/>
              </w:rPr>
              <w:t>Americas PMC</w:t>
            </w:r>
          </w:p>
        </w:tc>
        <w:tc>
          <w:tcPr>
            <w:tcW w:w="4440" w:type="dxa"/>
            <w:vAlign w:val="bottom"/>
          </w:tcPr>
          <w:p>
            <w:pPr>
              <w:jc w:val="right"/>
              <w:ind w:right="490"/>
              <w:spacing w:after="0"/>
              <w:rPr>
                <w:sz w:val="20"/>
                <w:szCs w:val="20"/>
                <w:color w:val="auto"/>
              </w:rPr>
            </w:pPr>
            <w:r>
              <w:rPr>
                <w:rFonts w:ascii="Arial" w:cs="Arial" w:eastAsia="Arial" w:hAnsi="Arial"/>
                <w:sz w:val="18"/>
                <w:szCs w:val="18"/>
                <w:b w:val="1"/>
                <w:bCs w:val="1"/>
                <w:color w:val="auto"/>
              </w:rPr>
              <w:t>$75,341</w:t>
            </w:r>
          </w:p>
        </w:tc>
        <w:tc>
          <w:tcPr>
            <w:tcW w:w="2160" w:type="dxa"/>
            <w:vAlign w:val="bottom"/>
            <w:gridSpan w:val="2"/>
          </w:tcPr>
          <w:p>
            <w:pPr>
              <w:jc w:val="right"/>
              <w:ind w:right="20"/>
              <w:spacing w:after="0"/>
              <w:rPr>
                <w:sz w:val="20"/>
                <w:szCs w:val="20"/>
                <w:color w:val="auto"/>
              </w:rPr>
            </w:pPr>
            <w:r>
              <w:rPr>
                <w:rFonts w:ascii="Arial" w:cs="Arial" w:eastAsia="Arial" w:hAnsi="Arial"/>
                <w:sz w:val="18"/>
                <w:szCs w:val="18"/>
                <w:color w:val="auto"/>
              </w:rPr>
              <w:t>$67,629</w:t>
            </w:r>
          </w:p>
        </w:tc>
      </w:tr>
      <w:tr>
        <w:trPr>
          <w:trHeight w:val="203"/>
        </w:trPr>
        <w:tc>
          <w:tcPr>
            <w:tcW w:w="4840" w:type="dxa"/>
            <w:vAlign w:val="bottom"/>
          </w:tcPr>
          <w:p>
            <w:pPr>
              <w:spacing w:after="0" w:line="202" w:lineRule="exact"/>
              <w:rPr>
                <w:sz w:val="20"/>
                <w:szCs w:val="20"/>
                <w:color w:val="auto"/>
              </w:rPr>
            </w:pPr>
            <w:r>
              <w:rPr>
                <w:rFonts w:ascii="Arial" w:cs="Arial" w:eastAsia="Arial" w:hAnsi="Arial"/>
                <w:sz w:val="18"/>
                <w:szCs w:val="18"/>
                <w:color w:val="auto"/>
              </w:rPr>
              <w:t>Eurasia PMC</w:t>
            </w:r>
          </w:p>
        </w:tc>
        <w:tc>
          <w:tcPr>
            <w:tcW w:w="4440" w:type="dxa"/>
            <w:vAlign w:val="bottom"/>
          </w:tcPr>
          <w:p>
            <w:pPr>
              <w:jc w:val="right"/>
              <w:ind w:right="490"/>
              <w:spacing w:after="0" w:line="202" w:lineRule="exact"/>
              <w:rPr>
                <w:sz w:val="20"/>
                <w:szCs w:val="20"/>
                <w:color w:val="auto"/>
              </w:rPr>
            </w:pPr>
            <w:r>
              <w:rPr>
                <w:rFonts w:ascii="Arial" w:cs="Arial" w:eastAsia="Arial" w:hAnsi="Arial"/>
                <w:sz w:val="18"/>
                <w:szCs w:val="18"/>
                <w:b w:val="1"/>
                <w:bCs w:val="1"/>
                <w:color w:val="auto"/>
              </w:rPr>
              <w:t>51,438</w:t>
            </w:r>
          </w:p>
        </w:tc>
        <w:tc>
          <w:tcPr>
            <w:tcW w:w="21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53,811</w:t>
            </w:r>
          </w:p>
        </w:tc>
      </w:tr>
      <w:tr>
        <w:trPr>
          <w:trHeight w:val="22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Engineered Fabrics</w:t>
            </w:r>
          </w:p>
        </w:tc>
        <w:tc>
          <w:tcPr>
            <w:tcW w:w="44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17,555</w:t>
            </w:r>
          </w:p>
        </w:tc>
        <w:tc>
          <w:tcPr>
            <w:tcW w:w="2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20,333</w:t>
            </w:r>
          </w:p>
        </w:tc>
      </w:tr>
      <w:tr>
        <w:trPr>
          <w:trHeight w:val="196"/>
        </w:trPr>
        <w:tc>
          <w:tcPr>
            <w:tcW w:w="48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Machine Clothing Net sales</w:t>
            </w:r>
          </w:p>
        </w:tc>
        <w:tc>
          <w:tcPr>
            <w:tcW w:w="44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$144,334</w:t>
            </w:r>
          </w:p>
        </w:tc>
        <w:tc>
          <w:tcPr>
            <w:tcW w:w="21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$141,773</w:t>
            </w:r>
          </w:p>
        </w:tc>
      </w:tr>
    </w:tbl>
    <w:p>
      <w:pPr>
        <w:spacing w:after="0" w:line="180" w:lineRule="exact"/>
        <w:rPr>
          <w:sz w:val="20"/>
          <w:szCs w:val="20"/>
          <w:color w:val="auto"/>
        </w:rPr>
      </w:pPr>
    </w:p>
    <w:p>
      <w:pPr>
        <w:ind w:firstLine="648"/>
        <w:spacing w:after="0" w:line="241" w:lineRule="auto"/>
        <w:rPr>
          <w:sz w:val="20"/>
          <w:szCs w:val="20"/>
          <w:color w:val="auto"/>
        </w:rPr>
      </w:pPr>
      <w:r>
        <w:rPr>
          <w:rFonts w:ascii="Arial" w:cs="Arial" w:eastAsia="Arial" w:hAnsi="Arial"/>
          <w:sz w:val="18"/>
          <w:szCs w:val="18"/>
          <w:color w:val="auto"/>
        </w:rPr>
        <w:t>In accordance with ASC 606-10-50-14, we do not disclose the value of unsatisfied performance obligations for contracts with an original expected duration of one year or less. Contracts in the MC segment are generally for periods of less than a year. Most contracts in the AEC segment are short duration firm-fixed-price orders representing performance obligations with an original maturity of less than one year. Remaining performance obligations on contracts that had an original duration of greater than one year totaled $90 million and $115 million as of March 31, 2019 and 2018, respectively, and related primarily to firm contracts in the AEC segment. Of the remaining performance obligations as of March 31, 2019 we expect to recognize as revenue approximately $53 million during 2019, with the remainder to be recognized in between 2020 and 2021.</w:t>
      </w:r>
    </w:p>
    <w:p>
      <w:pPr>
        <w:spacing w:after="0" w:line="166" w:lineRule="exact"/>
        <w:rPr>
          <w:sz w:val="20"/>
          <w:szCs w:val="20"/>
          <w:color w:val="auto"/>
        </w:rPr>
      </w:pPr>
    </w:p>
    <w:p>
      <w:pPr>
        <w:ind w:right="460" w:firstLine="648"/>
        <w:spacing w:after="0" w:line="276" w:lineRule="auto"/>
        <w:rPr>
          <w:sz w:val="20"/>
          <w:szCs w:val="20"/>
          <w:color w:val="auto"/>
        </w:rPr>
      </w:pPr>
      <w:r>
        <w:rPr>
          <w:rFonts w:ascii="Arial" w:cs="Arial" w:eastAsia="Arial" w:hAnsi="Arial"/>
          <w:sz w:val="18"/>
          <w:szCs w:val="18"/>
          <w:color w:val="auto"/>
        </w:rPr>
        <w:t xml:space="preserve">At the January 1, 2019 date of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 MC assets increased by $5.6 million, AEC assets increased by $0.5 million, and Corporate assets increased by $1.0 million.</w:t>
      </w:r>
    </w:p>
    <w:p>
      <w:pPr>
        <w:spacing w:after="0" w:line="14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3. Leases</w:t>
      </w:r>
    </w:p>
    <w:p>
      <w:pPr>
        <w:spacing w:after="0" w:line="16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Effective January 1, 2019, we adopted the provisions of ASC 842, </w:t>
      </w:r>
      <w:r>
        <w:rPr>
          <w:rFonts w:ascii="Arial" w:cs="Arial" w:eastAsia="Arial" w:hAnsi="Arial"/>
          <w:sz w:val="18"/>
          <w:szCs w:val="18"/>
          <w:i w:val="1"/>
          <w:iCs w:val="1"/>
          <w:color w:val="auto"/>
        </w:rPr>
        <w:t>Leases</w:t>
      </w:r>
      <w:r>
        <w:rPr>
          <w:rFonts w:ascii="Arial" w:cs="Arial" w:eastAsia="Arial" w:hAnsi="Arial"/>
          <w:sz w:val="18"/>
          <w:szCs w:val="18"/>
          <w:color w:val="auto"/>
        </w:rPr>
        <w:t>, using the effective date (or modified retrospective) approach for transition. Under this transition method, periods prior to 2019 have not been restated and the cumulative effect of initially applying the new standard was recorded as an adjustment to Retained earnings at January 1, 2019.</w:t>
      </w:r>
    </w:p>
    <w:p>
      <w:pPr>
        <w:spacing w:after="0" w:line="137" w:lineRule="exact"/>
        <w:rPr>
          <w:sz w:val="20"/>
          <w:szCs w:val="20"/>
          <w:color w:val="auto"/>
        </w:rPr>
      </w:pPr>
    </w:p>
    <w:p>
      <w:pPr>
        <w:ind w:right="100" w:firstLine="648"/>
        <w:spacing w:after="0" w:line="245" w:lineRule="auto"/>
        <w:rPr>
          <w:sz w:val="20"/>
          <w:szCs w:val="20"/>
          <w:color w:val="auto"/>
        </w:rPr>
      </w:pPr>
      <w:r>
        <w:rPr>
          <w:rFonts w:ascii="Arial" w:cs="Arial" w:eastAsia="Arial" w:hAnsi="Arial"/>
          <w:sz w:val="18"/>
          <w:szCs w:val="18"/>
          <w:color w:val="auto"/>
        </w:rPr>
        <w:t>The new standard is intended to increase transparency and comparability among organizations by requiring the recognition of right of use (“ROU”) assets and lease liabilities on the balance sheet. Most prominent among the changes in the standard is the recognition of ROU assets and lease liabilities by lessees for those leases classified as operating leases. Under the standard, disclosures are required to meet the objective of enabling users of financial statements to assess the amount, timing, and uncertainty of cash flows arising from leases. We applied the new accounting standard to leases existing at the date of initial application on January 1, 2019.</w:t>
      </w:r>
    </w:p>
    <w:p>
      <w:pPr>
        <w:spacing w:after="0" w:line="132"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We elected the available package of practical expedients, which permitted us not to reassess under the new standard our prior conclusions about lease identification, lease classification and initial direct costs. We implemented processes and internal controls to enable the preparation of financial information on adoption.</w:t>
      </w:r>
    </w:p>
    <w:p>
      <w:pPr>
        <w:spacing w:after="0" w:line="124"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The most significant impact resulting from the adoption of the new standard was the recognition of ROU assets and lease liabilities for operating leases on our balance sheet for our real estate and automobile operating leases, in addition to the derecognition and reassessment of assets and liabilities related to our primary manufacturing facility in Salt Lake City, Utah (SLC lease), which had been accounted for as a build-to-suit lease with a failed sale leaseback. For that lease, transitional guidance required the derecognition of existing assets and liabilities and a reassessment of lease classification. We determined that the lease met the criteria for recording as a finance lease and we determined the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71" w:right="239" w:bottom="1440" w:gutter="0" w:footer="0" w:header="0"/>
        </w:sectPr>
      </w:pPr>
    </w:p>
    <w:bookmarkStart w:id="10" w:name="page11"/>
    <w:bookmarkEnd w:id="10"/>
    <w:p>
      <w:pPr>
        <w:spacing w:after="0" w:line="276" w:lineRule="auto"/>
        <w:rPr>
          <w:sz w:val="20"/>
          <w:szCs w:val="20"/>
          <w:color w:val="auto"/>
        </w:rPr>
      </w:pPr>
      <w:r>
        <w:rPr>
          <w:rFonts w:ascii="Arial" w:cs="Arial" w:eastAsia="Arial" w:hAnsi="Arial"/>
          <w:sz w:val="18"/>
          <w:szCs w:val="18"/>
          <w:color w:val="auto"/>
        </w:rPr>
        <w:t>January 1, 2019 values of the ROU asset and lease liability on the basis of that reassessment. The change in the SLC lease-related assets and liabilities resulted in a $0.3 million pre-tax reduction to retained earnings at the date of adoption.</w:t>
      </w:r>
    </w:p>
    <w:p>
      <w:pPr>
        <w:spacing w:after="0" w:line="105" w:lineRule="exact"/>
        <w:rPr>
          <w:sz w:val="20"/>
          <w:szCs w:val="20"/>
          <w:color w:val="auto"/>
        </w:rPr>
      </w:pPr>
    </w:p>
    <w:p>
      <w:pPr>
        <w:ind w:right="140" w:firstLine="648"/>
        <w:spacing w:after="0" w:line="276" w:lineRule="auto"/>
        <w:rPr>
          <w:sz w:val="20"/>
          <w:szCs w:val="20"/>
          <w:color w:val="auto"/>
        </w:rPr>
      </w:pPr>
      <w:r>
        <w:rPr>
          <w:rFonts w:ascii="Arial" w:cs="Arial" w:eastAsia="Arial" w:hAnsi="Arial"/>
          <w:sz w:val="18"/>
          <w:szCs w:val="18"/>
          <w:color w:val="auto"/>
        </w:rPr>
        <w:t xml:space="preserve">The table below presents the cumulative effect of changes made to our December 31, 2018 Balance Sheet as a result of the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ALBANY INTERNATIONAL CORP.</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w:t>
      </w:r>
    </w:p>
    <w:p>
      <w:pPr>
        <w:jc w:val="center"/>
        <w:spacing w:after="0" w:line="234" w:lineRule="auto"/>
        <w:rPr>
          <w:sz w:val="20"/>
          <w:szCs w:val="20"/>
          <w:color w:val="auto"/>
        </w:rPr>
      </w:pPr>
      <w:r>
        <w:rPr>
          <w:rFonts w:ascii="Arial" w:cs="Arial" w:eastAsia="Arial" w:hAnsi="Arial"/>
          <w:sz w:val="18"/>
          <w:szCs w:val="18"/>
          <w:color w:val="auto"/>
        </w:rPr>
        <w:t>(in thousands, except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As previously</w:t>
            </w: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Opening</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98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w w:val="98"/>
              </w:rPr>
              <w:t>reported at</w:t>
            </w:r>
          </w:p>
        </w:tc>
        <w:tc>
          <w:tcPr>
            <w:tcW w:w="1960" w:type="dxa"/>
            <w:vAlign w:val="bottom"/>
            <w:gridSpan w:val="2"/>
          </w:tcPr>
          <w:p>
            <w:pPr>
              <w:jc w:val="center"/>
              <w:ind w:right="240"/>
              <w:spacing w:after="0" w:line="202" w:lineRule="exact"/>
              <w:rPr>
                <w:sz w:val="20"/>
                <w:szCs w:val="20"/>
                <w:color w:val="auto"/>
              </w:rPr>
            </w:pPr>
            <w:r>
              <w:rPr>
                <w:rFonts w:ascii="Arial" w:cs="Arial" w:eastAsia="Arial" w:hAnsi="Arial"/>
                <w:sz w:val="18"/>
                <w:szCs w:val="18"/>
                <w:color w:val="auto"/>
              </w:rPr>
              <w:t>Adjustments</w:t>
            </w:r>
          </w:p>
        </w:tc>
        <w:tc>
          <w:tcPr>
            <w:tcW w:w="18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9"/>
              </w:rPr>
              <w:t>balance, as</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17"/>
                <w:szCs w:val="17"/>
                <w:color w:val="auto"/>
              </w:rPr>
            </w:pPr>
          </w:p>
        </w:tc>
        <w:tc>
          <w:tcPr>
            <w:tcW w:w="1980" w:type="dxa"/>
            <w:vAlign w:val="bottom"/>
            <w:gridSpan w:val="2"/>
          </w:tcPr>
          <w:p>
            <w:pPr>
              <w:jc w:val="center"/>
              <w:ind w:right="280"/>
              <w:spacing w:after="0" w:line="202" w:lineRule="exact"/>
              <w:rPr>
                <w:sz w:val="20"/>
                <w:szCs w:val="20"/>
                <w:color w:val="auto"/>
              </w:rPr>
            </w:pPr>
            <w:r>
              <w:rPr>
                <w:rFonts w:ascii="Arial" w:cs="Arial" w:eastAsia="Arial" w:hAnsi="Arial"/>
                <w:sz w:val="18"/>
                <w:szCs w:val="18"/>
                <w:color w:val="auto"/>
              </w:rPr>
              <w:t>December 31,</w:t>
            </w:r>
          </w:p>
        </w:tc>
        <w:tc>
          <w:tcPr>
            <w:tcW w:w="1960" w:type="dxa"/>
            <w:vAlign w:val="bottom"/>
            <w:gridSpan w:val="2"/>
          </w:tcPr>
          <w:p>
            <w:pPr>
              <w:jc w:val="center"/>
              <w:ind w:right="220"/>
              <w:spacing w:after="0" w:line="202" w:lineRule="exact"/>
              <w:rPr>
                <w:sz w:val="20"/>
                <w:szCs w:val="20"/>
                <w:color w:val="auto"/>
              </w:rPr>
            </w:pPr>
            <w:r>
              <w:rPr>
                <w:rFonts w:ascii="Arial" w:cs="Arial" w:eastAsia="Arial" w:hAnsi="Arial"/>
                <w:sz w:val="18"/>
                <w:szCs w:val="18"/>
                <w:color w:val="auto"/>
                <w:w w:val="99"/>
              </w:rPr>
              <w:t>Increase/</w:t>
            </w:r>
          </w:p>
        </w:tc>
        <w:tc>
          <w:tcPr>
            <w:tcW w:w="1880" w:type="dxa"/>
            <w:vAlign w:val="bottom"/>
            <w:gridSpan w:val="2"/>
          </w:tcPr>
          <w:p>
            <w:pPr>
              <w:jc w:val="center"/>
              <w:ind w:right="160"/>
              <w:spacing w:after="0" w:line="202" w:lineRule="exact"/>
              <w:rPr>
                <w:sz w:val="20"/>
                <w:szCs w:val="20"/>
                <w:color w:val="auto"/>
              </w:rPr>
            </w:pPr>
            <w:r>
              <w:rPr>
                <w:rFonts w:ascii="Arial" w:cs="Arial" w:eastAsia="Arial" w:hAnsi="Arial"/>
                <w:sz w:val="18"/>
                <w:szCs w:val="18"/>
                <w:color w:val="auto"/>
                <w:w w:val="98"/>
              </w:rPr>
              <w:t>adjusted,</w:t>
            </w:r>
          </w:p>
        </w:tc>
        <w:tc>
          <w:tcPr>
            <w:tcW w:w="0" w:type="dxa"/>
            <w:vAlign w:val="bottom"/>
          </w:tcPr>
          <w:p>
            <w:pPr>
              <w:spacing w:after="0"/>
              <w:rPr>
                <w:sz w:val="1"/>
                <w:szCs w:val="1"/>
                <w:color w:val="auto"/>
              </w:rPr>
            </w:pPr>
          </w:p>
        </w:tc>
      </w:tr>
      <w:tr>
        <w:trPr>
          <w:trHeight w:val="225"/>
        </w:trPr>
        <w:tc>
          <w:tcPr>
            <w:tcW w:w="5600" w:type="dxa"/>
            <w:vAlign w:val="bottom"/>
            <w:vMerge w:val="restart"/>
          </w:tcPr>
          <w:p>
            <w:pPr>
              <w:spacing w:after="0"/>
              <w:rPr>
                <w:sz w:val="20"/>
                <w:szCs w:val="20"/>
                <w:color w:val="auto"/>
              </w:rPr>
            </w:pPr>
            <w:r>
              <w:rPr>
                <w:rFonts w:ascii="Arial" w:cs="Arial" w:eastAsia="Arial" w:hAnsi="Arial"/>
                <w:sz w:val="18"/>
                <w:szCs w:val="18"/>
                <w:color w:val="auto"/>
              </w:rPr>
              <w:t>ASSETS</w:t>
            </w:r>
          </w:p>
        </w:tc>
        <w:tc>
          <w:tcPr>
            <w:tcW w:w="1740" w:type="dxa"/>
            <w:vAlign w:val="bottom"/>
          </w:tcPr>
          <w:p>
            <w:pPr>
              <w:jc w:val="center"/>
              <w:spacing w:after="0"/>
              <w:rPr>
                <w:sz w:val="20"/>
                <w:szCs w:val="20"/>
                <w:color w:val="auto"/>
              </w:rPr>
            </w:pPr>
            <w:r>
              <w:rPr>
                <w:rFonts w:ascii="Arial" w:cs="Arial" w:eastAsia="Arial" w:hAnsi="Arial"/>
                <w:sz w:val="18"/>
                <w:szCs w:val="18"/>
                <w:color w:val="auto"/>
                <w:w w:val="99"/>
              </w:rPr>
              <w:t>2018</w:t>
            </w:r>
          </w:p>
        </w:tc>
        <w:tc>
          <w:tcPr>
            <w:tcW w:w="240" w:type="dxa"/>
            <w:vAlign w:val="bottom"/>
          </w:tcPr>
          <w:p>
            <w:pPr>
              <w:spacing w:after="0"/>
              <w:rPr>
                <w:sz w:val="19"/>
                <w:szCs w:val="19"/>
                <w:color w:val="auto"/>
              </w:rPr>
            </w:pPr>
          </w:p>
        </w:tc>
        <w:tc>
          <w:tcPr>
            <w:tcW w:w="19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(decrease)</w:t>
            </w:r>
          </w:p>
        </w:tc>
        <w:tc>
          <w:tcPr>
            <w:tcW w:w="1880" w:type="dxa"/>
            <w:vAlign w:val="bottom"/>
            <w:gridSpan w:val="2"/>
          </w:tcPr>
          <w:p>
            <w:pPr>
              <w:jc w:val="right"/>
              <w:ind w:right="360"/>
              <w:spacing w:after="0"/>
              <w:rPr>
                <w:sz w:val="20"/>
                <w:szCs w:val="20"/>
                <w:color w:val="auto"/>
              </w:rPr>
            </w:pPr>
            <w:r>
              <w:rPr>
                <w:rFonts w:ascii="Arial" w:cs="Arial" w:eastAsia="Arial" w:hAnsi="Arial"/>
                <w:sz w:val="18"/>
                <w:szCs w:val="18"/>
                <w:color w:val="auto"/>
              </w:rPr>
              <w:t>January 1, 2019</w:t>
            </w:r>
          </w:p>
        </w:tc>
        <w:tc>
          <w:tcPr>
            <w:tcW w:w="0" w:type="dxa"/>
            <w:vAlign w:val="bottom"/>
          </w:tcPr>
          <w:p>
            <w:pPr>
              <w:spacing w:after="0"/>
              <w:rPr>
                <w:sz w:val="1"/>
                <w:szCs w:val="1"/>
                <w:color w:val="auto"/>
              </w:rPr>
            </w:pPr>
          </w:p>
        </w:tc>
      </w:tr>
      <w:tr>
        <w:trPr>
          <w:trHeight w:val="196"/>
        </w:trPr>
        <w:tc>
          <w:tcPr>
            <w:tcW w:w="5600" w:type="dxa"/>
            <w:vAlign w:val="bottom"/>
            <w:vMerge w:val="continue"/>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980" w:type="dxa"/>
            <w:vAlign w:val="bottom"/>
            <w:gridSpan w:val="2"/>
            <w:shd w:val="clear" w:color="auto" w:fill="C0C0C0"/>
          </w:tcPr>
          <w:p>
            <w:pPr>
              <w:jc w:val="right"/>
              <w:ind w:right="240"/>
              <w:spacing w:after="0" w:line="202" w:lineRule="exact"/>
              <w:rPr>
                <w:sz w:val="20"/>
                <w:szCs w:val="20"/>
                <w:color w:val="auto"/>
              </w:rPr>
            </w:pPr>
            <w:r>
              <w:rPr>
                <w:rFonts w:ascii="Arial" w:cs="Arial" w:eastAsia="Arial" w:hAnsi="Arial"/>
                <w:sz w:val="18"/>
                <w:szCs w:val="18"/>
                <w:color w:val="auto"/>
              </w:rPr>
              <w:t>$197,755</w:t>
            </w:r>
          </w:p>
        </w:tc>
        <w:tc>
          <w:tcPr>
            <w:tcW w:w="1960" w:type="dxa"/>
            <w:vAlign w:val="bottom"/>
            <w:gridSpan w:val="2"/>
            <w:shd w:val="clear" w:color="auto" w:fill="C0C0C0"/>
          </w:tcPr>
          <w:p>
            <w:pPr>
              <w:jc w:val="right"/>
              <w:ind w:right="220"/>
              <w:spacing w:after="0" w:line="202" w:lineRule="exact"/>
              <w:rPr>
                <w:sz w:val="20"/>
                <w:szCs w:val="20"/>
                <w:color w:val="auto"/>
              </w:rPr>
            </w:pPr>
            <w:r>
              <w:rPr>
                <w:rFonts w:ascii="Arial" w:cs="Arial" w:eastAsia="Arial" w:hAnsi="Arial"/>
                <w:sz w:val="18"/>
                <w:szCs w:val="18"/>
                <w:color w:val="auto"/>
              </w:rPr>
              <w:t>$ -</w:t>
            </w:r>
          </w:p>
        </w:tc>
        <w:tc>
          <w:tcPr>
            <w:tcW w:w="1880" w:type="dxa"/>
            <w:vAlign w:val="bottom"/>
            <w:gridSpan w:val="2"/>
            <w:shd w:val="clear" w:color="auto" w:fill="C0C0C0"/>
          </w:tcPr>
          <w:p>
            <w:pPr>
              <w:jc w:val="right"/>
              <w:ind w:right="120"/>
              <w:spacing w:after="0" w:line="202" w:lineRule="exact"/>
              <w:rPr>
                <w:sz w:val="20"/>
                <w:szCs w:val="20"/>
                <w:color w:val="auto"/>
              </w:rPr>
            </w:pPr>
            <w:r>
              <w:rPr>
                <w:rFonts w:ascii="Arial" w:cs="Arial" w:eastAsia="Arial" w:hAnsi="Arial"/>
                <w:sz w:val="18"/>
                <w:szCs w:val="18"/>
                <w:color w:val="auto"/>
              </w:rPr>
              <w:t>$197,755</w:t>
            </w: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Accounts receivable, net</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223,176</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223,176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Contract assets</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57,447</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57,447</w:t>
            </w: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Inventories</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85,904</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85,904</w:t>
            </w: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Income taxes prepaid and receivable</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7,473</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7,473</w:t>
            </w: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21,294</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(370)</w:t>
            </w:r>
          </w:p>
        </w:tc>
        <w:tc>
          <w:tcPr>
            <w:tcW w:w="1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20,924</w:t>
            </w:r>
          </w:p>
        </w:tc>
        <w:tc>
          <w:tcPr>
            <w:tcW w:w="0" w:type="dxa"/>
            <w:vAlign w:val="bottom"/>
          </w:tcPr>
          <w:p>
            <w:pPr>
              <w:spacing w:after="0"/>
              <w:rPr>
                <w:sz w:val="1"/>
                <w:szCs w:val="1"/>
                <w:color w:val="auto"/>
              </w:rPr>
            </w:pPr>
          </w:p>
        </w:tc>
      </w:tr>
      <w:tr>
        <w:trPr>
          <w:trHeight w:val="196"/>
        </w:trPr>
        <w:tc>
          <w:tcPr>
            <w:tcW w:w="5600" w:type="dxa"/>
            <w:vAlign w:val="bottom"/>
            <w:tcBorders>
              <w:top w:val="single" w:sz="8" w:color="969696"/>
            </w:tcBorders>
            <w:shd w:val="clear" w:color="auto" w:fill="969696"/>
          </w:tcPr>
          <w:p>
            <w:pPr>
              <w:ind w:left="280"/>
              <w:spacing w:after="0" w:line="196" w:lineRule="exact"/>
              <w:rPr>
                <w:sz w:val="20"/>
                <w:szCs w:val="20"/>
                <w:color w:val="auto"/>
              </w:rPr>
            </w:pPr>
            <w:r>
              <w:rPr>
                <w:rFonts w:ascii="Arial" w:cs="Arial" w:eastAsia="Arial" w:hAnsi="Arial"/>
                <w:sz w:val="18"/>
                <w:szCs w:val="18"/>
                <w:color w:val="auto"/>
              </w:rPr>
              <w:t>Total current assets</w:t>
            </w:r>
          </w:p>
        </w:tc>
        <w:tc>
          <w:tcPr>
            <w:tcW w:w="1740" w:type="dxa"/>
            <w:vAlign w:val="bottom"/>
            <w:tcBorders>
              <w:top w:val="single" w:sz="8" w:color="auto"/>
            </w:tcBorders>
            <w:shd w:val="clear" w:color="auto" w:fill="969696"/>
          </w:tcPr>
          <w:p>
            <w:pPr>
              <w:jc w:val="right"/>
              <w:spacing w:after="0" w:line="196" w:lineRule="exact"/>
              <w:rPr>
                <w:sz w:val="20"/>
                <w:szCs w:val="20"/>
                <w:color w:val="auto"/>
              </w:rPr>
            </w:pPr>
            <w:r>
              <w:rPr>
                <w:rFonts w:ascii="Arial" w:cs="Arial" w:eastAsia="Arial" w:hAnsi="Arial"/>
                <w:sz w:val="18"/>
                <w:szCs w:val="18"/>
                <w:color w:val="auto"/>
              </w:rPr>
              <w:t>593,049</w:t>
            </w:r>
          </w:p>
        </w:tc>
        <w:tc>
          <w:tcPr>
            <w:tcW w:w="240" w:type="dxa"/>
            <w:vAlign w:val="bottom"/>
            <w:tcBorders>
              <w:top w:val="single" w:sz="8" w:color="969696"/>
            </w:tcBorders>
            <w:shd w:val="clear" w:color="auto" w:fill="969696"/>
          </w:tcPr>
          <w:p>
            <w:pPr>
              <w:spacing w:after="0"/>
              <w:rPr>
                <w:sz w:val="17"/>
                <w:szCs w:val="17"/>
                <w:color w:val="auto"/>
              </w:rPr>
            </w:pPr>
          </w:p>
        </w:tc>
        <w:tc>
          <w:tcPr>
            <w:tcW w:w="1740" w:type="dxa"/>
            <w:vAlign w:val="bottom"/>
            <w:tcBorders>
              <w:top w:val="single" w:sz="8" w:color="auto"/>
            </w:tcBorders>
            <w:shd w:val="clear" w:color="auto" w:fill="969696"/>
          </w:tcPr>
          <w:p>
            <w:pPr>
              <w:jc w:val="right"/>
              <w:spacing w:after="0" w:line="196" w:lineRule="exact"/>
              <w:rPr>
                <w:sz w:val="20"/>
                <w:szCs w:val="20"/>
                <w:color w:val="auto"/>
              </w:rPr>
            </w:pPr>
            <w:r>
              <w:rPr>
                <w:rFonts w:ascii="Arial" w:cs="Arial" w:eastAsia="Arial" w:hAnsi="Arial"/>
                <w:sz w:val="18"/>
                <w:szCs w:val="18"/>
                <w:color w:val="auto"/>
              </w:rPr>
              <w:t>(370)</w:t>
            </w:r>
          </w:p>
        </w:tc>
        <w:tc>
          <w:tcPr>
            <w:tcW w:w="220" w:type="dxa"/>
            <w:vAlign w:val="bottom"/>
            <w:tcBorders>
              <w:top w:val="single" w:sz="8" w:color="969696"/>
            </w:tcBorders>
            <w:shd w:val="clear" w:color="auto" w:fill="969696"/>
          </w:tcPr>
          <w:p>
            <w:pPr>
              <w:spacing w:after="0"/>
              <w:rPr>
                <w:sz w:val="17"/>
                <w:szCs w:val="17"/>
                <w:color w:val="auto"/>
              </w:rPr>
            </w:pPr>
          </w:p>
        </w:tc>
        <w:tc>
          <w:tcPr>
            <w:tcW w:w="1760" w:type="dxa"/>
            <w:vAlign w:val="bottom"/>
            <w:tcBorders>
              <w:top w:val="single" w:sz="8" w:color="auto"/>
            </w:tcBorders>
            <w:shd w:val="clear" w:color="auto" w:fill="969696"/>
          </w:tcPr>
          <w:p>
            <w:pPr>
              <w:jc w:val="right"/>
              <w:spacing w:after="0" w:line="196" w:lineRule="exact"/>
              <w:rPr>
                <w:sz w:val="20"/>
                <w:szCs w:val="20"/>
                <w:color w:val="auto"/>
              </w:rPr>
            </w:pPr>
            <w:r>
              <w:rPr>
                <w:rFonts w:ascii="Arial" w:cs="Arial" w:eastAsia="Arial" w:hAnsi="Arial"/>
                <w:sz w:val="18"/>
                <w:szCs w:val="18"/>
                <w:color w:val="auto"/>
              </w:rPr>
              <w:t>592,679</w:t>
            </w:r>
          </w:p>
        </w:tc>
        <w:tc>
          <w:tcPr>
            <w:tcW w:w="120" w:type="dxa"/>
            <w:vAlign w:val="bottom"/>
            <w:tcBorders>
              <w:top w:val="single" w:sz="8" w:color="969696"/>
            </w:tcBorders>
            <w:shd w:val="clear" w:color="auto" w:fill="969696"/>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5600" w:type="dxa"/>
            <w:vAlign w:val="bottom"/>
          </w:tcPr>
          <w:p>
            <w:pPr>
              <w:ind w:left="100"/>
              <w:spacing w:after="0"/>
              <w:rPr>
                <w:sz w:val="20"/>
                <w:szCs w:val="20"/>
                <w:color w:val="auto"/>
              </w:rPr>
            </w:pPr>
            <w:r>
              <w:rPr>
                <w:rFonts w:ascii="Arial" w:cs="Arial" w:eastAsia="Arial" w:hAnsi="Arial"/>
                <w:sz w:val="18"/>
                <w:szCs w:val="18"/>
                <w:color w:val="auto"/>
              </w:rPr>
              <w:t>Property, plant and equipment, net</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462,055</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(6,144)</w:t>
            </w:r>
          </w:p>
        </w:tc>
        <w:tc>
          <w:tcPr>
            <w:tcW w:w="1760" w:type="dxa"/>
            <w:vAlign w:val="bottom"/>
          </w:tcPr>
          <w:p>
            <w:pPr>
              <w:jc w:val="right"/>
              <w:spacing w:after="0"/>
              <w:rPr>
                <w:sz w:val="20"/>
                <w:szCs w:val="20"/>
                <w:color w:val="auto"/>
              </w:rPr>
            </w:pPr>
            <w:r>
              <w:rPr>
                <w:rFonts w:ascii="Arial" w:cs="Arial" w:eastAsia="Arial" w:hAnsi="Arial"/>
                <w:sz w:val="18"/>
                <w:szCs w:val="18"/>
                <w:color w:val="auto"/>
              </w:rPr>
              <w:t>455,911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Intangibles, net</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49,206</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49,206</w:t>
            </w: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Goodwill</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164,382</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164,382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Deferred income taxes</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62,622</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(20)</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62,602</w:t>
            </w:r>
          </w:p>
        </w:tc>
        <w:tc>
          <w:tcPr>
            <w:tcW w:w="0" w:type="dxa"/>
            <w:vAlign w:val="bottom"/>
          </w:tcPr>
          <w:p>
            <w:pPr>
              <w:spacing w:after="0"/>
              <w:rPr>
                <w:sz w:val="1"/>
                <w:szCs w:val="1"/>
                <w:color w:val="auto"/>
              </w:rPr>
            </w:pPr>
          </w:p>
        </w:tc>
      </w:tr>
      <w:tr>
        <w:trPr>
          <w:trHeight w:val="203"/>
        </w:trPr>
        <w:tc>
          <w:tcPr>
            <w:tcW w:w="5600" w:type="dxa"/>
            <w:vAlign w:val="bottom"/>
          </w:tcPr>
          <w:p>
            <w:pPr>
              <w:ind w:left="60"/>
              <w:spacing w:after="0" w:line="202" w:lineRule="exact"/>
              <w:rPr>
                <w:sz w:val="20"/>
                <w:szCs w:val="20"/>
                <w:color w:val="auto"/>
              </w:rPr>
            </w:pPr>
            <w:r>
              <w:rPr>
                <w:rFonts w:ascii="Arial" w:cs="Arial" w:eastAsia="Arial" w:hAnsi="Arial"/>
                <w:sz w:val="18"/>
                <w:szCs w:val="18"/>
                <w:color w:val="auto"/>
              </w:rPr>
              <w:t>Noncurrent receivables</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45,061</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45,061</w:t>
            </w: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Other assets</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41,617</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13,615</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55,232</w:t>
            </w:r>
          </w:p>
        </w:tc>
        <w:tc>
          <w:tcPr>
            <w:tcW w:w="0" w:type="dxa"/>
            <w:vAlign w:val="bottom"/>
          </w:tcPr>
          <w:p>
            <w:pPr>
              <w:spacing w:after="0"/>
              <w:rPr>
                <w:sz w:val="1"/>
                <w:szCs w:val="1"/>
                <w:color w:val="auto"/>
              </w:rPr>
            </w:pPr>
          </w:p>
        </w:tc>
      </w:tr>
      <w:tr>
        <w:trPr>
          <w:trHeight w:val="196"/>
        </w:trPr>
        <w:tc>
          <w:tcPr>
            <w:tcW w:w="5600" w:type="dxa"/>
            <w:vAlign w:val="bottom"/>
          </w:tcPr>
          <w:p>
            <w:pPr>
              <w:ind w:left="280"/>
              <w:spacing w:after="0" w:line="196" w:lineRule="exact"/>
              <w:rPr>
                <w:sz w:val="20"/>
                <w:szCs w:val="20"/>
                <w:color w:val="auto"/>
              </w:rPr>
            </w:pPr>
            <w:r>
              <w:rPr>
                <w:rFonts w:ascii="Arial" w:cs="Arial" w:eastAsia="Arial" w:hAnsi="Arial"/>
                <w:sz w:val="18"/>
                <w:szCs w:val="18"/>
                <w:color w:val="auto"/>
              </w:rPr>
              <w:t>Total assets</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$1,417,992</w:t>
            </w:r>
          </w:p>
        </w:tc>
        <w:tc>
          <w:tcPr>
            <w:tcW w:w="24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$7,081</w:t>
            </w:r>
          </w:p>
        </w:tc>
        <w:tc>
          <w:tcPr>
            <w:tcW w:w="220" w:type="dxa"/>
            <w:vAlign w:val="bottom"/>
          </w:tcPr>
          <w:p>
            <w:pPr>
              <w:spacing w:after="0"/>
              <w:rPr>
                <w:sz w:val="17"/>
                <w:szCs w:val="17"/>
                <w:color w:val="auto"/>
              </w:rPr>
            </w:pP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$1,425,073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56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Notes and loans payable</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Accounts payable</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52,246</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52,246</w:t>
            </w: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Accrued liabilities</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129,030</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4,964</w:t>
            </w:r>
          </w:p>
        </w:tc>
        <w:tc>
          <w:tcPr>
            <w:tcW w:w="1760" w:type="dxa"/>
            <w:vAlign w:val="bottom"/>
            <w:shd w:val="clear" w:color="auto" w:fill="969696"/>
          </w:tcPr>
          <w:p>
            <w:pPr>
              <w:jc w:val="right"/>
              <w:spacing w:after="0" w:line="202" w:lineRule="exact"/>
              <w:rPr>
                <w:sz w:val="20"/>
                <w:szCs w:val="20"/>
                <w:color w:val="auto"/>
              </w:rPr>
            </w:pPr>
            <w:r>
              <w:rPr>
                <w:rFonts w:ascii="Arial" w:cs="Arial" w:eastAsia="Arial" w:hAnsi="Arial"/>
                <w:sz w:val="18"/>
                <w:szCs w:val="18"/>
                <w:color w:val="auto"/>
              </w:rPr>
              <w:t>133,994</w:t>
            </w:r>
          </w:p>
        </w:tc>
        <w:tc>
          <w:tcPr>
            <w:tcW w:w="120" w:type="dxa"/>
            <w:vAlign w:val="bottom"/>
            <w:shd w:val="clear" w:color="auto" w:fill="96969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Current maturities of long-term debt</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1,224</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(1,206)</w:t>
            </w:r>
          </w:p>
        </w:tc>
        <w:tc>
          <w:tcPr>
            <w:tcW w:w="1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Income taxes payable</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6,806</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36"/>
        </w:trPr>
        <w:tc>
          <w:tcPr>
            <w:tcW w:w="560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189,306</w:t>
            </w:r>
          </w:p>
        </w:tc>
        <w:tc>
          <w:tcPr>
            <w:tcW w:w="240" w:type="dxa"/>
            <w:vAlign w:val="bottom"/>
          </w:tcPr>
          <w:p>
            <w:pPr>
              <w:spacing w:after="0"/>
              <w:rPr>
                <w:sz w:val="20"/>
                <w:szCs w:val="20"/>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3,758</w:t>
            </w:r>
          </w:p>
        </w:tc>
        <w:tc>
          <w:tcPr>
            <w:tcW w:w="220" w:type="dxa"/>
            <w:vAlign w:val="bottom"/>
          </w:tcPr>
          <w:p>
            <w:pPr>
              <w:spacing w:after="0"/>
              <w:rPr>
                <w:sz w:val="20"/>
                <w:szCs w:val="20"/>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193,064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56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Long-term debt</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523,707</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(24,680)</w:t>
            </w:r>
          </w:p>
        </w:tc>
        <w:tc>
          <w:tcPr>
            <w:tcW w:w="1760" w:type="dxa"/>
            <w:vAlign w:val="bottom"/>
            <w:shd w:val="clear" w:color="auto" w:fill="969696"/>
          </w:tcPr>
          <w:p>
            <w:pPr>
              <w:jc w:val="right"/>
              <w:spacing w:after="0" w:line="202" w:lineRule="exact"/>
              <w:rPr>
                <w:sz w:val="20"/>
                <w:szCs w:val="20"/>
                <w:color w:val="auto"/>
              </w:rPr>
            </w:pPr>
            <w:r>
              <w:rPr>
                <w:rFonts w:ascii="Arial" w:cs="Arial" w:eastAsia="Arial" w:hAnsi="Arial"/>
                <w:sz w:val="18"/>
                <w:szCs w:val="18"/>
                <w:color w:val="auto"/>
              </w:rPr>
              <w:t>499,027</w:t>
            </w:r>
          </w:p>
        </w:tc>
        <w:tc>
          <w:tcPr>
            <w:tcW w:w="120" w:type="dxa"/>
            <w:vAlign w:val="bottom"/>
            <w:shd w:val="clear" w:color="auto" w:fill="969696"/>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Other noncurrent liabilities</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88,277</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27,968</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116,245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Deferred taxes and other liabilities</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8,422</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8,422</w:t>
            </w:r>
          </w:p>
        </w:tc>
        <w:tc>
          <w:tcPr>
            <w:tcW w:w="0" w:type="dxa"/>
            <w:vAlign w:val="bottom"/>
          </w:tcPr>
          <w:p>
            <w:pPr>
              <w:spacing w:after="0"/>
              <w:rPr>
                <w:sz w:val="1"/>
                <w:szCs w:val="1"/>
                <w:color w:val="auto"/>
              </w:rPr>
            </w:pPr>
          </w:p>
        </w:tc>
      </w:tr>
      <w:tr>
        <w:trPr>
          <w:trHeight w:val="196"/>
        </w:trPr>
        <w:tc>
          <w:tcPr>
            <w:tcW w:w="5600" w:type="dxa"/>
            <w:vAlign w:val="bottom"/>
          </w:tcPr>
          <w:p>
            <w:pPr>
              <w:ind w:left="280"/>
              <w:spacing w:after="0" w:line="196" w:lineRule="exact"/>
              <w:rPr>
                <w:sz w:val="20"/>
                <w:szCs w:val="20"/>
                <w:color w:val="auto"/>
              </w:rPr>
            </w:pPr>
            <w:r>
              <w:rPr>
                <w:rFonts w:ascii="Arial" w:cs="Arial" w:eastAsia="Arial" w:hAnsi="Arial"/>
                <w:sz w:val="18"/>
                <w:szCs w:val="18"/>
                <w:color w:val="auto"/>
              </w:rPr>
              <w:t>Total liabilities</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809,712</w:t>
            </w:r>
          </w:p>
        </w:tc>
        <w:tc>
          <w:tcPr>
            <w:tcW w:w="240" w:type="dxa"/>
            <w:vAlign w:val="bottom"/>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7,046</w:t>
            </w:r>
          </w:p>
        </w:tc>
        <w:tc>
          <w:tcPr>
            <w:tcW w:w="220" w:type="dxa"/>
            <w:vAlign w:val="bottom"/>
          </w:tcPr>
          <w:p>
            <w:pPr>
              <w:spacing w:after="0"/>
              <w:rPr>
                <w:sz w:val="17"/>
                <w:szCs w:val="17"/>
                <w:color w:val="auto"/>
              </w:rPr>
            </w:pP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816,758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5600" w:type="dxa"/>
            <w:vAlign w:val="bottom"/>
          </w:tcPr>
          <w:p>
            <w:pPr>
              <w:spacing w:after="0"/>
              <w:rPr>
                <w:sz w:val="20"/>
                <w:szCs w:val="20"/>
                <w:color w:val="auto"/>
              </w:rPr>
            </w:pPr>
            <w:r>
              <w:rPr>
                <w:rFonts w:ascii="Arial" w:cs="Arial" w:eastAsia="Arial" w:hAnsi="Arial"/>
                <w:sz w:val="18"/>
                <w:szCs w:val="18"/>
                <w:color w:val="auto"/>
              </w:rPr>
              <w:t>SHAREHOLDERS' EQUITY</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600" w:type="dxa"/>
            <w:vAlign w:val="bottom"/>
            <w:shd w:val="clear" w:color="auto" w:fill="969696"/>
          </w:tcPr>
          <w:p>
            <w:pPr>
              <w:ind w:left="100"/>
              <w:spacing w:after="0" w:line="180" w:lineRule="exact"/>
              <w:rPr>
                <w:sz w:val="20"/>
                <w:szCs w:val="20"/>
                <w:color w:val="auto"/>
              </w:rPr>
            </w:pPr>
            <w:r>
              <w:rPr>
                <w:rFonts w:ascii="Arial" w:cs="Arial" w:eastAsia="Arial" w:hAnsi="Arial"/>
                <w:sz w:val="18"/>
                <w:szCs w:val="18"/>
                <w:color w:val="auto"/>
              </w:rPr>
              <w:t>Preferred stock, par value $5.00 per share;</w:t>
            </w:r>
          </w:p>
        </w:tc>
        <w:tc>
          <w:tcPr>
            <w:tcW w:w="1740" w:type="dxa"/>
            <w:vAlign w:val="bottom"/>
            <w:shd w:val="clear" w:color="auto" w:fill="969696"/>
          </w:tcPr>
          <w:p>
            <w:pPr>
              <w:spacing w:after="0"/>
              <w:rPr>
                <w:sz w:val="15"/>
                <w:szCs w:val="15"/>
                <w:color w:val="auto"/>
              </w:rPr>
            </w:pPr>
          </w:p>
        </w:tc>
        <w:tc>
          <w:tcPr>
            <w:tcW w:w="240" w:type="dxa"/>
            <w:vAlign w:val="bottom"/>
            <w:shd w:val="clear" w:color="auto" w:fill="969696"/>
          </w:tcPr>
          <w:p>
            <w:pPr>
              <w:spacing w:after="0"/>
              <w:rPr>
                <w:sz w:val="15"/>
                <w:szCs w:val="15"/>
                <w:color w:val="auto"/>
              </w:rPr>
            </w:pPr>
          </w:p>
        </w:tc>
        <w:tc>
          <w:tcPr>
            <w:tcW w:w="1740" w:type="dxa"/>
            <w:vAlign w:val="bottom"/>
            <w:shd w:val="clear" w:color="auto" w:fill="969696"/>
          </w:tcPr>
          <w:p>
            <w:pPr>
              <w:spacing w:after="0"/>
              <w:rPr>
                <w:sz w:val="15"/>
                <w:szCs w:val="15"/>
                <w:color w:val="auto"/>
              </w:rPr>
            </w:pPr>
          </w:p>
        </w:tc>
        <w:tc>
          <w:tcPr>
            <w:tcW w:w="220" w:type="dxa"/>
            <w:vAlign w:val="bottom"/>
            <w:shd w:val="clear" w:color="auto" w:fill="969696"/>
          </w:tcPr>
          <w:p>
            <w:pPr>
              <w:spacing w:after="0"/>
              <w:rPr>
                <w:sz w:val="15"/>
                <w:szCs w:val="15"/>
                <w:color w:val="auto"/>
              </w:rPr>
            </w:pPr>
          </w:p>
        </w:tc>
        <w:tc>
          <w:tcPr>
            <w:tcW w:w="1760" w:type="dxa"/>
            <w:vAlign w:val="bottom"/>
            <w:shd w:val="clear" w:color="auto" w:fill="969696"/>
          </w:tcPr>
          <w:p>
            <w:pPr>
              <w:spacing w:after="0"/>
              <w:rPr>
                <w:sz w:val="15"/>
                <w:szCs w:val="15"/>
                <w:color w:val="auto"/>
              </w:rPr>
            </w:pPr>
          </w:p>
        </w:tc>
        <w:tc>
          <w:tcPr>
            <w:tcW w:w="120" w:type="dxa"/>
            <w:vAlign w:val="bottom"/>
            <w:shd w:val="clear" w:color="auto" w:fill="969696"/>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969696"/>
          </w:tcPr>
          <w:p>
            <w:pPr>
              <w:ind w:left="200"/>
              <w:spacing w:after="0"/>
              <w:rPr>
                <w:sz w:val="20"/>
                <w:szCs w:val="20"/>
                <w:color w:val="auto"/>
              </w:rPr>
            </w:pPr>
            <w:r>
              <w:rPr>
                <w:rFonts w:ascii="Arial" w:cs="Arial" w:eastAsia="Arial" w:hAnsi="Arial"/>
                <w:sz w:val="18"/>
                <w:szCs w:val="18"/>
                <w:color w:val="auto"/>
              </w:rPr>
              <w:t>authorized 2,000,000 shares; none issued</w:t>
            </w:r>
          </w:p>
        </w:tc>
        <w:tc>
          <w:tcPr>
            <w:tcW w:w="1980" w:type="dxa"/>
            <w:vAlign w:val="bottom"/>
            <w:gridSpan w:val="2"/>
            <w:shd w:val="clear" w:color="auto" w:fill="969696"/>
          </w:tcPr>
          <w:p>
            <w:pPr>
              <w:jc w:val="right"/>
              <w:ind w:right="240"/>
              <w:spacing w:after="0"/>
              <w:rPr>
                <w:sz w:val="20"/>
                <w:szCs w:val="20"/>
                <w:color w:val="auto"/>
              </w:rPr>
            </w:pPr>
            <w:r>
              <w:rPr>
                <w:rFonts w:ascii="Arial" w:cs="Arial" w:eastAsia="Arial" w:hAnsi="Arial"/>
                <w:sz w:val="18"/>
                <w:szCs w:val="18"/>
                <w:color w:val="auto"/>
              </w:rPr>
              <w:t>-</w:t>
            </w:r>
          </w:p>
        </w:tc>
        <w:tc>
          <w:tcPr>
            <w:tcW w:w="1960" w:type="dxa"/>
            <w:vAlign w:val="bottom"/>
            <w:gridSpan w:val="2"/>
            <w:shd w:val="clear" w:color="auto" w:fill="969696"/>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969696"/>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969696"/>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5600" w:type="dxa"/>
            <w:vAlign w:val="bottom"/>
          </w:tcPr>
          <w:p>
            <w:pPr>
              <w:ind w:left="100"/>
              <w:spacing w:after="0" w:line="180" w:lineRule="exact"/>
              <w:rPr>
                <w:sz w:val="20"/>
                <w:szCs w:val="20"/>
                <w:color w:val="auto"/>
              </w:rPr>
            </w:pPr>
            <w:r>
              <w:rPr>
                <w:rFonts w:ascii="Arial" w:cs="Arial" w:eastAsia="Arial" w:hAnsi="Arial"/>
                <w:sz w:val="18"/>
                <w:szCs w:val="18"/>
                <w:color w:val="auto"/>
              </w:rPr>
              <w:t>Class A Common Stock, par value $.001 per share;</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200"/>
              <w:spacing w:after="0" w:line="202" w:lineRule="exact"/>
              <w:rPr>
                <w:sz w:val="20"/>
                <w:szCs w:val="20"/>
                <w:color w:val="auto"/>
              </w:rPr>
            </w:pPr>
            <w:r>
              <w:rPr>
                <w:rFonts w:ascii="Arial" w:cs="Arial" w:eastAsia="Arial" w:hAnsi="Arial"/>
                <w:sz w:val="18"/>
                <w:szCs w:val="18"/>
                <w:color w:val="auto"/>
              </w:rPr>
              <w:t>authorized 100,000,000 shares; issued 37,450,329 in 2018</w:t>
            </w: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0"/>
              <w:spacing w:after="0"/>
              <w:rPr>
                <w:sz w:val="20"/>
                <w:szCs w:val="20"/>
                <w:color w:val="auto"/>
              </w:rPr>
            </w:pPr>
            <w:r>
              <w:rPr>
                <w:rFonts w:ascii="Arial" w:cs="Arial" w:eastAsia="Arial" w:hAnsi="Arial"/>
                <w:sz w:val="18"/>
                <w:szCs w:val="18"/>
                <w:color w:val="auto"/>
              </w:rPr>
              <w:t>and 37,395,753 in 2017</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0"/>
        </w:trPr>
        <w:tc>
          <w:tcPr>
            <w:tcW w:w="5600" w:type="dxa"/>
            <w:vAlign w:val="bottom"/>
            <w:shd w:val="clear" w:color="auto" w:fill="969696"/>
          </w:tcPr>
          <w:p>
            <w:pPr>
              <w:ind w:left="100"/>
              <w:spacing w:after="0" w:line="180" w:lineRule="exact"/>
              <w:rPr>
                <w:sz w:val="20"/>
                <w:szCs w:val="20"/>
                <w:color w:val="auto"/>
              </w:rPr>
            </w:pPr>
            <w:r>
              <w:rPr>
                <w:rFonts w:ascii="Arial" w:cs="Arial" w:eastAsia="Arial" w:hAnsi="Arial"/>
                <w:sz w:val="18"/>
                <w:szCs w:val="18"/>
                <w:color w:val="auto"/>
              </w:rPr>
              <w:t>Class B Common Stock, par value $.001 per share;</w:t>
            </w:r>
          </w:p>
        </w:tc>
        <w:tc>
          <w:tcPr>
            <w:tcW w:w="1740" w:type="dxa"/>
            <w:vAlign w:val="bottom"/>
            <w:shd w:val="clear" w:color="auto" w:fill="969696"/>
          </w:tcPr>
          <w:p>
            <w:pPr>
              <w:spacing w:after="0"/>
              <w:rPr>
                <w:sz w:val="15"/>
                <w:szCs w:val="15"/>
                <w:color w:val="auto"/>
              </w:rPr>
            </w:pPr>
          </w:p>
        </w:tc>
        <w:tc>
          <w:tcPr>
            <w:tcW w:w="240" w:type="dxa"/>
            <w:vAlign w:val="bottom"/>
            <w:shd w:val="clear" w:color="auto" w:fill="969696"/>
          </w:tcPr>
          <w:p>
            <w:pPr>
              <w:spacing w:after="0"/>
              <w:rPr>
                <w:sz w:val="15"/>
                <w:szCs w:val="15"/>
                <w:color w:val="auto"/>
              </w:rPr>
            </w:pPr>
          </w:p>
        </w:tc>
        <w:tc>
          <w:tcPr>
            <w:tcW w:w="1740" w:type="dxa"/>
            <w:vAlign w:val="bottom"/>
            <w:shd w:val="clear" w:color="auto" w:fill="969696"/>
          </w:tcPr>
          <w:p>
            <w:pPr>
              <w:spacing w:after="0"/>
              <w:rPr>
                <w:sz w:val="15"/>
                <w:szCs w:val="15"/>
                <w:color w:val="auto"/>
              </w:rPr>
            </w:pPr>
          </w:p>
        </w:tc>
        <w:tc>
          <w:tcPr>
            <w:tcW w:w="220" w:type="dxa"/>
            <w:vAlign w:val="bottom"/>
            <w:shd w:val="clear" w:color="auto" w:fill="969696"/>
          </w:tcPr>
          <w:p>
            <w:pPr>
              <w:spacing w:after="0"/>
              <w:rPr>
                <w:sz w:val="15"/>
                <w:szCs w:val="15"/>
                <w:color w:val="auto"/>
              </w:rPr>
            </w:pPr>
          </w:p>
        </w:tc>
        <w:tc>
          <w:tcPr>
            <w:tcW w:w="1760" w:type="dxa"/>
            <w:vAlign w:val="bottom"/>
            <w:shd w:val="clear" w:color="auto" w:fill="969696"/>
          </w:tcPr>
          <w:p>
            <w:pPr>
              <w:spacing w:after="0"/>
              <w:rPr>
                <w:sz w:val="15"/>
                <w:szCs w:val="15"/>
                <w:color w:val="auto"/>
              </w:rPr>
            </w:pPr>
          </w:p>
        </w:tc>
        <w:tc>
          <w:tcPr>
            <w:tcW w:w="120" w:type="dxa"/>
            <w:vAlign w:val="bottom"/>
            <w:shd w:val="clear" w:color="auto" w:fill="969696"/>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200"/>
              <w:spacing w:after="0" w:line="202" w:lineRule="exact"/>
              <w:rPr>
                <w:sz w:val="20"/>
                <w:szCs w:val="20"/>
                <w:color w:val="auto"/>
              </w:rPr>
            </w:pPr>
            <w:r>
              <w:rPr>
                <w:rFonts w:ascii="Arial" w:cs="Arial" w:eastAsia="Arial" w:hAnsi="Arial"/>
                <w:sz w:val="18"/>
                <w:szCs w:val="18"/>
                <w:color w:val="auto"/>
              </w:rPr>
              <w:t>authorized 25,000,000 shares; issued and</w:t>
            </w:r>
          </w:p>
        </w:tc>
        <w:tc>
          <w:tcPr>
            <w:tcW w:w="1740" w:type="dxa"/>
            <w:vAlign w:val="bottom"/>
            <w:shd w:val="clear" w:color="auto" w:fill="969696"/>
          </w:tcPr>
          <w:p>
            <w:pPr>
              <w:spacing w:after="0"/>
              <w:rPr>
                <w:sz w:val="17"/>
                <w:szCs w:val="17"/>
                <w:color w:val="auto"/>
              </w:rPr>
            </w:pPr>
          </w:p>
        </w:tc>
        <w:tc>
          <w:tcPr>
            <w:tcW w:w="240" w:type="dxa"/>
            <w:vAlign w:val="bottom"/>
            <w:shd w:val="clear" w:color="auto" w:fill="969696"/>
          </w:tcPr>
          <w:p>
            <w:pPr>
              <w:spacing w:after="0"/>
              <w:rPr>
                <w:sz w:val="17"/>
                <w:szCs w:val="17"/>
                <w:color w:val="auto"/>
              </w:rPr>
            </w:pPr>
          </w:p>
        </w:tc>
        <w:tc>
          <w:tcPr>
            <w:tcW w:w="1740" w:type="dxa"/>
            <w:vAlign w:val="bottom"/>
            <w:shd w:val="clear" w:color="auto" w:fill="969696"/>
          </w:tcPr>
          <w:p>
            <w:pPr>
              <w:spacing w:after="0"/>
              <w:rPr>
                <w:sz w:val="17"/>
                <w:szCs w:val="17"/>
                <w:color w:val="auto"/>
              </w:rPr>
            </w:pPr>
          </w:p>
        </w:tc>
        <w:tc>
          <w:tcPr>
            <w:tcW w:w="220" w:type="dxa"/>
            <w:vAlign w:val="bottom"/>
            <w:shd w:val="clear" w:color="auto" w:fill="969696"/>
          </w:tcPr>
          <w:p>
            <w:pPr>
              <w:spacing w:after="0"/>
              <w:rPr>
                <w:sz w:val="17"/>
                <w:szCs w:val="17"/>
                <w:color w:val="auto"/>
              </w:rPr>
            </w:pPr>
          </w:p>
        </w:tc>
        <w:tc>
          <w:tcPr>
            <w:tcW w:w="1760" w:type="dxa"/>
            <w:vAlign w:val="bottom"/>
            <w:shd w:val="clear" w:color="auto" w:fill="969696"/>
          </w:tcPr>
          <w:p>
            <w:pPr>
              <w:spacing w:after="0"/>
              <w:rPr>
                <w:sz w:val="17"/>
                <w:szCs w:val="17"/>
                <w:color w:val="auto"/>
              </w:rPr>
            </w:pPr>
          </w:p>
        </w:tc>
        <w:tc>
          <w:tcPr>
            <w:tcW w:w="120" w:type="dxa"/>
            <w:vAlign w:val="bottom"/>
            <w:shd w:val="clear" w:color="auto" w:fill="969696"/>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969696"/>
          </w:tcPr>
          <w:p>
            <w:pPr>
              <w:ind w:left="200"/>
              <w:spacing w:after="0"/>
              <w:rPr>
                <w:sz w:val="20"/>
                <w:szCs w:val="20"/>
                <w:color w:val="auto"/>
              </w:rPr>
            </w:pPr>
            <w:r>
              <w:rPr>
                <w:rFonts w:ascii="Arial" w:cs="Arial" w:eastAsia="Arial" w:hAnsi="Arial"/>
                <w:sz w:val="18"/>
                <w:szCs w:val="18"/>
                <w:color w:val="auto"/>
              </w:rPr>
              <w:t>outstanding 3,233,998 in 2018 and 2017</w:t>
            </w:r>
          </w:p>
        </w:tc>
        <w:tc>
          <w:tcPr>
            <w:tcW w:w="1740" w:type="dxa"/>
            <w:vAlign w:val="bottom"/>
            <w:shd w:val="clear" w:color="auto" w:fill="969696"/>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969696"/>
          </w:tcPr>
          <w:p>
            <w:pPr>
              <w:spacing w:after="0"/>
              <w:rPr>
                <w:sz w:val="19"/>
                <w:szCs w:val="19"/>
                <w:color w:val="auto"/>
              </w:rPr>
            </w:pPr>
          </w:p>
        </w:tc>
        <w:tc>
          <w:tcPr>
            <w:tcW w:w="1960" w:type="dxa"/>
            <w:vAlign w:val="bottom"/>
            <w:gridSpan w:val="2"/>
            <w:shd w:val="clear" w:color="auto" w:fill="969696"/>
          </w:tcPr>
          <w:p>
            <w:pPr>
              <w:jc w:val="right"/>
              <w:ind w:right="2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969696"/>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969696"/>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600" w:type="dxa"/>
            <w:vAlign w:val="bottom"/>
          </w:tcPr>
          <w:p>
            <w:pPr>
              <w:ind w:left="100"/>
              <w:spacing w:after="0" w:line="202" w:lineRule="exact"/>
              <w:rPr>
                <w:sz w:val="20"/>
                <w:szCs w:val="20"/>
                <w:color w:val="auto"/>
              </w:rPr>
            </w:pPr>
            <w:r>
              <w:rPr>
                <w:rFonts w:ascii="Arial" w:cs="Arial" w:eastAsia="Arial" w:hAnsi="Arial"/>
                <w:sz w:val="18"/>
                <w:szCs w:val="18"/>
                <w:color w:val="auto"/>
              </w:rPr>
              <w:t>Additional paid in capital</w:t>
            </w:r>
          </w:p>
        </w:tc>
        <w:tc>
          <w:tcPr>
            <w:tcW w:w="1740" w:type="dxa"/>
            <w:vAlign w:val="bottom"/>
          </w:tcPr>
          <w:p>
            <w:pPr>
              <w:jc w:val="right"/>
              <w:spacing w:after="0" w:line="202" w:lineRule="exact"/>
              <w:rPr>
                <w:sz w:val="20"/>
                <w:szCs w:val="20"/>
                <w:color w:val="auto"/>
              </w:rPr>
            </w:pPr>
            <w:r>
              <w:rPr>
                <w:rFonts w:ascii="Arial" w:cs="Arial" w:eastAsia="Arial" w:hAnsi="Arial"/>
                <w:sz w:val="18"/>
                <w:szCs w:val="18"/>
                <w:color w:val="auto"/>
              </w:rPr>
              <w:t>430,555</w:t>
            </w:r>
          </w:p>
        </w:tc>
        <w:tc>
          <w:tcPr>
            <w:tcW w:w="240" w:type="dxa"/>
            <w:vAlign w:val="bottom"/>
          </w:tcPr>
          <w:p>
            <w:pPr>
              <w:spacing w:after="0"/>
              <w:rPr>
                <w:sz w:val="17"/>
                <w:szCs w:val="17"/>
                <w:color w:val="auto"/>
              </w:rPr>
            </w:pP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760" w:type="dxa"/>
            <w:vAlign w:val="bottom"/>
          </w:tcPr>
          <w:p>
            <w:pPr>
              <w:jc w:val="right"/>
              <w:spacing w:after="0" w:line="202" w:lineRule="exact"/>
              <w:rPr>
                <w:sz w:val="20"/>
                <w:szCs w:val="20"/>
                <w:color w:val="auto"/>
              </w:rPr>
            </w:pPr>
            <w:r>
              <w:rPr>
                <w:rFonts w:ascii="Arial" w:cs="Arial" w:eastAsia="Arial" w:hAnsi="Arial"/>
                <w:sz w:val="18"/>
                <w:szCs w:val="18"/>
                <w:color w:val="auto"/>
              </w:rPr>
              <w:t>430,555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Retained earnings</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589,645</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35</w:t>
            </w:r>
          </w:p>
        </w:tc>
        <w:tc>
          <w:tcPr>
            <w:tcW w:w="1760" w:type="dxa"/>
            <w:vAlign w:val="bottom"/>
            <w:shd w:val="clear" w:color="auto" w:fill="969696"/>
          </w:tcPr>
          <w:p>
            <w:pPr>
              <w:jc w:val="right"/>
              <w:spacing w:after="0" w:line="202" w:lineRule="exact"/>
              <w:rPr>
                <w:sz w:val="20"/>
                <w:szCs w:val="20"/>
                <w:color w:val="auto"/>
              </w:rPr>
            </w:pPr>
            <w:r>
              <w:rPr>
                <w:rFonts w:ascii="Arial" w:cs="Arial" w:eastAsia="Arial" w:hAnsi="Arial"/>
                <w:sz w:val="18"/>
                <w:szCs w:val="18"/>
                <w:color w:val="auto"/>
              </w:rPr>
              <w:t>589,680</w:t>
            </w:r>
          </w:p>
        </w:tc>
        <w:tc>
          <w:tcPr>
            <w:tcW w:w="120" w:type="dxa"/>
            <w:vAlign w:val="bottom"/>
            <w:shd w:val="clear" w:color="auto" w:fill="969696"/>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5600" w:type="dxa"/>
            <w:vAlign w:val="bottom"/>
          </w:tcPr>
          <w:p>
            <w:pPr>
              <w:ind w:left="100"/>
              <w:spacing w:after="0" w:line="180" w:lineRule="exact"/>
              <w:rPr>
                <w:sz w:val="20"/>
                <w:szCs w:val="20"/>
                <w:color w:val="auto"/>
              </w:rPr>
            </w:pPr>
            <w:r>
              <w:rPr>
                <w:rFonts w:ascii="Arial" w:cs="Arial" w:eastAsia="Arial" w:hAnsi="Arial"/>
                <w:sz w:val="18"/>
                <w:szCs w:val="18"/>
                <w:color w:val="auto"/>
              </w:rPr>
              <w:t>Accumulated items of other comprehensive income:</w:t>
            </w:r>
          </w:p>
        </w:tc>
        <w:tc>
          <w:tcPr>
            <w:tcW w:w="1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600" w:type="dxa"/>
            <w:vAlign w:val="bottom"/>
          </w:tcPr>
          <w:p>
            <w:pPr>
              <w:ind w:left="200"/>
              <w:spacing w:after="0"/>
              <w:rPr>
                <w:sz w:val="20"/>
                <w:szCs w:val="20"/>
                <w:color w:val="auto"/>
              </w:rPr>
            </w:pPr>
            <w:r>
              <w:rPr>
                <w:rFonts w:ascii="Arial" w:cs="Arial" w:eastAsia="Arial" w:hAnsi="Arial"/>
                <w:sz w:val="18"/>
                <w:szCs w:val="18"/>
                <w:color w:val="auto"/>
              </w:rPr>
              <w:t>Translation adjustments</w:t>
            </w:r>
          </w:p>
        </w:tc>
        <w:tc>
          <w:tcPr>
            <w:tcW w:w="1980" w:type="dxa"/>
            <w:vAlign w:val="bottom"/>
            <w:gridSpan w:val="2"/>
          </w:tcPr>
          <w:p>
            <w:pPr>
              <w:jc w:val="right"/>
              <w:ind w:right="240"/>
              <w:spacing w:after="0"/>
              <w:rPr>
                <w:sz w:val="20"/>
                <w:szCs w:val="20"/>
                <w:color w:val="auto"/>
              </w:rPr>
            </w:pPr>
            <w:r>
              <w:rPr>
                <w:rFonts w:ascii="Arial" w:cs="Arial" w:eastAsia="Arial" w:hAnsi="Arial"/>
                <w:sz w:val="18"/>
                <w:szCs w:val="18"/>
                <w:color w:val="auto"/>
              </w:rPr>
              <w:t>(115,976)</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60"/>
              <w:spacing w:after="0"/>
              <w:rPr>
                <w:sz w:val="20"/>
                <w:szCs w:val="20"/>
                <w:color w:val="auto"/>
              </w:rPr>
            </w:pPr>
            <w:r>
              <w:rPr>
                <w:rFonts w:ascii="Arial" w:cs="Arial" w:eastAsia="Arial" w:hAnsi="Arial"/>
                <w:sz w:val="18"/>
                <w:szCs w:val="18"/>
                <w:color w:val="auto"/>
              </w:rPr>
              <w:t>(115,976)</w:t>
            </w: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200"/>
              <w:spacing w:after="0" w:line="202" w:lineRule="exact"/>
              <w:rPr>
                <w:sz w:val="20"/>
                <w:szCs w:val="20"/>
                <w:color w:val="auto"/>
              </w:rPr>
            </w:pPr>
            <w:r>
              <w:rPr>
                <w:rFonts w:ascii="Arial" w:cs="Arial" w:eastAsia="Arial" w:hAnsi="Arial"/>
                <w:sz w:val="18"/>
                <w:szCs w:val="18"/>
                <w:color w:val="auto"/>
              </w:rPr>
              <w:t>Pension and postretirement liability adjustments</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(47,109)</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60"/>
              <w:spacing w:after="0" w:line="202" w:lineRule="exact"/>
              <w:rPr>
                <w:sz w:val="20"/>
                <w:szCs w:val="20"/>
                <w:color w:val="auto"/>
              </w:rPr>
            </w:pPr>
            <w:r>
              <w:rPr>
                <w:rFonts w:ascii="Arial" w:cs="Arial" w:eastAsia="Arial" w:hAnsi="Arial"/>
                <w:sz w:val="18"/>
                <w:szCs w:val="18"/>
                <w:color w:val="auto"/>
              </w:rPr>
              <w:t>(47,109)</w:t>
            </w:r>
          </w:p>
        </w:tc>
        <w:tc>
          <w:tcPr>
            <w:tcW w:w="0" w:type="dxa"/>
            <w:vAlign w:val="bottom"/>
          </w:tcPr>
          <w:p>
            <w:pPr>
              <w:spacing w:after="0"/>
              <w:rPr>
                <w:sz w:val="1"/>
                <w:szCs w:val="1"/>
                <w:color w:val="auto"/>
              </w:rPr>
            </w:pPr>
          </w:p>
        </w:tc>
      </w:tr>
      <w:tr>
        <w:trPr>
          <w:trHeight w:val="203"/>
        </w:trPr>
        <w:tc>
          <w:tcPr>
            <w:tcW w:w="5600" w:type="dxa"/>
            <w:vAlign w:val="bottom"/>
          </w:tcPr>
          <w:p>
            <w:pPr>
              <w:ind w:left="200"/>
              <w:spacing w:after="0" w:line="202" w:lineRule="exact"/>
              <w:rPr>
                <w:sz w:val="20"/>
                <w:szCs w:val="20"/>
                <w:color w:val="auto"/>
              </w:rPr>
            </w:pPr>
            <w:r>
              <w:rPr>
                <w:rFonts w:ascii="Arial" w:cs="Arial" w:eastAsia="Arial" w:hAnsi="Arial"/>
                <w:sz w:val="18"/>
                <w:szCs w:val="18"/>
                <w:color w:val="auto"/>
              </w:rPr>
              <w:t>Derivative valuation adjustment</w:t>
            </w:r>
          </w:p>
        </w:tc>
        <w:tc>
          <w:tcPr>
            <w:tcW w:w="19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4,697</w:t>
            </w:r>
          </w:p>
        </w:tc>
        <w:tc>
          <w:tcPr>
            <w:tcW w:w="1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180"/>
        </w:trPr>
        <w:tc>
          <w:tcPr>
            <w:tcW w:w="5600" w:type="dxa"/>
            <w:vAlign w:val="bottom"/>
            <w:shd w:val="clear" w:color="auto" w:fill="969696"/>
          </w:tcPr>
          <w:p>
            <w:pPr>
              <w:ind w:left="100"/>
              <w:spacing w:after="0" w:line="180" w:lineRule="exact"/>
              <w:rPr>
                <w:sz w:val="20"/>
                <w:szCs w:val="20"/>
                <w:color w:val="auto"/>
              </w:rPr>
            </w:pPr>
            <w:r>
              <w:rPr>
                <w:rFonts w:ascii="Arial" w:cs="Arial" w:eastAsia="Arial" w:hAnsi="Arial"/>
                <w:sz w:val="18"/>
                <w:szCs w:val="18"/>
                <w:color w:val="auto"/>
              </w:rPr>
              <w:t>Treasury stock (Class A), at cost 8,418,620 shares in 2018</w:t>
            </w:r>
          </w:p>
        </w:tc>
        <w:tc>
          <w:tcPr>
            <w:tcW w:w="1740" w:type="dxa"/>
            <w:vAlign w:val="bottom"/>
            <w:shd w:val="clear" w:color="auto" w:fill="969696"/>
          </w:tcPr>
          <w:p>
            <w:pPr>
              <w:spacing w:after="0"/>
              <w:rPr>
                <w:sz w:val="15"/>
                <w:szCs w:val="15"/>
                <w:color w:val="auto"/>
              </w:rPr>
            </w:pPr>
          </w:p>
        </w:tc>
        <w:tc>
          <w:tcPr>
            <w:tcW w:w="240" w:type="dxa"/>
            <w:vAlign w:val="bottom"/>
            <w:shd w:val="clear" w:color="auto" w:fill="969696"/>
          </w:tcPr>
          <w:p>
            <w:pPr>
              <w:spacing w:after="0"/>
              <w:rPr>
                <w:sz w:val="15"/>
                <w:szCs w:val="15"/>
                <w:color w:val="auto"/>
              </w:rPr>
            </w:pPr>
          </w:p>
        </w:tc>
        <w:tc>
          <w:tcPr>
            <w:tcW w:w="1740" w:type="dxa"/>
            <w:vAlign w:val="bottom"/>
            <w:shd w:val="clear" w:color="auto" w:fill="969696"/>
          </w:tcPr>
          <w:p>
            <w:pPr>
              <w:spacing w:after="0"/>
              <w:rPr>
                <w:sz w:val="15"/>
                <w:szCs w:val="15"/>
                <w:color w:val="auto"/>
              </w:rPr>
            </w:pPr>
          </w:p>
        </w:tc>
        <w:tc>
          <w:tcPr>
            <w:tcW w:w="220" w:type="dxa"/>
            <w:vAlign w:val="bottom"/>
            <w:shd w:val="clear" w:color="auto" w:fill="969696"/>
          </w:tcPr>
          <w:p>
            <w:pPr>
              <w:spacing w:after="0"/>
              <w:rPr>
                <w:sz w:val="15"/>
                <w:szCs w:val="15"/>
                <w:color w:val="auto"/>
              </w:rPr>
            </w:pPr>
          </w:p>
        </w:tc>
        <w:tc>
          <w:tcPr>
            <w:tcW w:w="1760" w:type="dxa"/>
            <w:vAlign w:val="bottom"/>
            <w:shd w:val="clear" w:color="auto" w:fill="969696"/>
          </w:tcPr>
          <w:p>
            <w:pPr>
              <w:spacing w:after="0"/>
              <w:rPr>
                <w:sz w:val="15"/>
                <w:szCs w:val="15"/>
                <w:color w:val="auto"/>
              </w:rPr>
            </w:pPr>
          </w:p>
        </w:tc>
        <w:tc>
          <w:tcPr>
            <w:tcW w:w="120" w:type="dxa"/>
            <w:vAlign w:val="bottom"/>
            <w:shd w:val="clear" w:color="auto" w:fill="969696"/>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600" w:type="dxa"/>
            <w:vAlign w:val="bottom"/>
            <w:shd w:val="clear" w:color="auto" w:fill="969696"/>
          </w:tcPr>
          <w:p>
            <w:pPr>
              <w:ind w:left="200"/>
              <w:spacing w:after="0"/>
              <w:rPr>
                <w:sz w:val="20"/>
                <w:szCs w:val="20"/>
                <w:color w:val="auto"/>
              </w:rPr>
            </w:pPr>
            <w:r>
              <w:rPr>
                <w:rFonts w:ascii="Arial" w:cs="Arial" w:eastAsia="Arial" w:hAnsi="Arial"/>
                <w:sz w:val="18"/>
                <w:szCs w:val="18"/>
                <w:color w:val="auto"/>
              </w:rPr>
              <w:t>and 8,431,335 shares in 2017</w:t>
            </w:r>
          </w:p>
        </w:tc>
        <w:tc>
          <w:tcPr>
            <w:tcW w:w="1980" w:type="dxa"/>
            <w:vAlign w:val="bottom"/>
            <w:gridSpan w:val="2"/>
            <w:shd w:val="clear" w:color="auto" w:fill="969696"/>
          </w:tcPr>
          <w:p>
            <w:pPr>
              <w:jc w:val="right"/>
              <w:ind w:right="240"/>
              <w:spacing w:after="0"/>
              <w:rPr>
                <w:sz w:val="20"/>
                <w:szCs w:val="20"/>
                <w:color w:val="auto"/>
              </w:rPr>
            </w:pPr>
            <w:r>
              <w:rPr>
                <w:rFonts w:ascii="Arial" w:cs="Arial" w:eastAsia="Arial" w:hAnsi="Arial"/>
                <w:sz w:val="18"/>
                <w:szCs w:val="18"/>
                <w:color w:val="auto"/>
              </w:rPr>
              <w:t>(256,603)</w:t>
            </w:r>
          </w:p>
        </w:tc>
        <w:tc>
          <w:tcPr>
            <w:tcW w:w="1960" w:type="dxa"/>
            <w:vAlign w:val="bottom"/>
            <w:gridSpan w:val="2"/>
            <w:shd w:val="clear" w:color="auto" w:fill="969696"/>
          </w:tcPr>
          <w:p>
            <w:pPr>
              <w:jc w:val="right"/>
              <w:ind w:right="220"/>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60"/>
              <w:spacing w:after="0"/>
              <w:rPr>
                <w:sz w:val="20"/>
                <w:szCs w:val="20"/>
                <w:color w:val="auto"/>
              </w:rPr>
            </w:pPr>
            <w:r>
              <w:rPr>
                <w:rFonts w:ascii="Arial" w:cs="Arial" w:eastAsia="Arial" w:hAnsi="Arial"/>
                <w:sz w:val="18"/>
                <w:szCs w:val="18"/>
                <w:color w:val="auto"/>
              </w:rPr>
              <w:t>(256,603)</w:t>
            </w:r>
          </w:p>
        </w:tc>
        <w:tc>
          <w:tcPr>
            <w:tcW w:w="0" w:type="dxa"/>
            <w:vAlign w:val="bottom"/>
          </w:tcPr>
          <w:p>
            <w:pPr>
              <w:spacing w:after="0"/>
              <w:rPr>
                <w:sz w:val="1"/>
                <w:szCs w:val="1"/>
                <w:color w:val="auto"/>
              </w:rPr>
            </w:pPr>
          </w:p>
        </w:tc>
      </w:tr>
      <w:tr>
        <w:trPr>
          <w:trHeight w:val="196"/>
        </w:trPr>
        <w:tc>
          <w:tcPr>
            <w:tcW w:w="5600" w:type="dxa"/>
            <w:vAlign w:val="bottom"/>
          </w:tcPr>
          <w:p>
            <w:pPr>
              <w:ind w:left="280"/>
              <w:spacing w:after="0" w:line="196" w:lineRule="exact"/>
              <w:rPr>
                <w:sz w:val="20"/>
                <w:szCs w:val="20"/>
                <w:color w:val="auto"/>
              </w:rPr>
            </w:pPr>
            <w:r>
              <w:rPr>
                <w:rFonts w:ascii="Arial" w:cs="Arial" w:eastAsia="Arial" w:hAnsi="Arial"/>
                <w:sz w:val="18"/>
                <w:szCs w:val="18"/>
                <w:color w:val="auto"/>
              </w:rPr>
              <w:t>Total Company shareholders' equity</w:t>
            </w:r>
          </w:p>
        </w:tc>
        <w:tc>
          <w:tcPr>
            <w:tcW w:w="1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605,249</w:t>
            </w:r>
          </w:p>
        </w:tc>
        <w:tc>
          <w:tcPr>
            <w:tcW w:w="240" w:type="dxa"/>
            <w:vAlign w:val="bottom"/>
          </w:tcPr>
          <w:p>
            <w:pPr>
              <w:spacing w:after="0"/>
              <w:rPr>
                <w:sz w:val="17"/>
                <w:szCs w:val="17"/>
                <w:color w:val="auto"/>
              </w:rPr>
            </w:pPr>
          </w:p>
        </w:tc>
        <w:tc>
          <w:tcPr>
            <w:tcW w:w="17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17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605,284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00" w:type="dxa"/>
            <w:vAlign w:val="bottom"/>
            <w:shd w:val="clear" w:color="auto" w:fill="969696"/>
          </w:tcPr>
          <w:p>
            <w:pPr>
              <w:ind w:left="100"/>
              <w:spacing w:after="0" w:line="202" w:lineRule="exact"/>
              <w:rPr>
                <w:sz w:val="20"/>
                <w:szCs w:val="20"/>
                <w:color w:val="auto"/>
              </w:rPr>
            </w:pPr>
            <w:r>
              <w:rPr>
                <w:rFonts w:ascii="Arial" w:cs="Arial" w:eastAsia="Arial" w:hAnsi="Arial"/>
                <w:sz w:val="18"/>
                <w:szCs w:val="18"/>
                <w:color w:val="auto"/>
              </w:rPr>
              <w:t>Noncontrolling interest</w:t>
            </w:r>
          </w:p>
        </w:tc>
        <w:tc>
          <w:tcPr>
            <w:tcW w:w="1980" w:type="dxa"/>
            <w:vAlign w:val="bottom"/>
            <w:gridSpan w:val="2"/>
            <w:shd w:val="clear" w:color="auto" w:fill="969696"/>
          </w:tcPr>
          <w:p>
            <w:pPr>
              <w:jc w:val="right"/>
              <w:ind w:right="240"/>
              <w:spacing w:after="0" w:line="202" w:lineRule="exact"/>
              <w:rPr>
                <w:sz w:val="20"/>
                <w:szCs w:val="20"/>
                <w:color w:val="auto"/>
              </w:rPr>
            </w:pPr>
            <w:r>
              <w:rPr>
                <w:rFonts w:ascii="Arial" w:cs="Arial" w:eastAsia="Arial" w:hAnsi="Arial"/>
                <w:sz w:val="18"/>
                <w:szCs w:val="18"/>
                <w:color w:val="auto"/>
              </w:rPr>
              <w:t>3,031</w:t>
            </w:r>
          </w:p>
        </w:tc>
        <w:tc>
          <w:tcPr>
            <w:tcW w:w="1960" w:type="dxa"/>
            <w:vAlign w:val="bottom"/>
            <w:gridSpan w:val="2"/>
            <w:shd w:val="clear" w:color="auto" w:fill="969696"/>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880" w:type="dxa"/>
            <w:vAlign w:val="bottom"/>
            <w:gridSpan w:val="2"/>
            <w:shd w:val="clear" w:color="auto" w:fill="969696"/>
          </w:tcPr>
          <w:p>
            <w:pPr>
              <w:jc w:val="right"/>
              <w:ind w:right="120"/>
              <w:spacing w:after="0" w:line="202" w:lineRule="exact"/>
              <w:rPr>
                <w:sz w:val="20"/>
                <w:szCs w:val="20"/>
                <w:color w:val="auto"/>
              </w:rPr>
            </w:pPr>
            <w:r>
              <w:rPr>
                <w:rFonts w:ascii="Arial" w:cs="Arial" w:eastAsia="Arial" w:hAnsi="Arial"/>
                <w:sz w:val="18"/>
                <w:szCs w:val="18"/>
                <w:color w:val="auto"/>
              </w:rPr>
              <w:t>3,031</w:t>
            </w:r>
          </w:p>
        </w:tc>
        <w:tc>
          <w:tcPr>
            <w:tcW w:w="0" w:type="dxa"/>
            <w:vAlign w:val="bottom"/>
          </w:tcPr>
          <w:p>
            <w:pPr>
              <w:spacing w:after="0"/>
              <w:rPr>
                <w:sz w:val="1"/>
                <w:szCs w:val="1"/>
                <w:color w:val="auto"/>
              </w:rPr>
            </w:pPr>
          </w:p>
        </w:tc>
      </w:tr>
      <w:tr>
        <w:trPr>
          <w:trHeight w:val="196"/>
        </w:trPr>
        <w:tc>
          <w:tcPr>
            <w:tcW w:w="5600" w:type="dxa"/>
            <w:vAlign w:val="bottom"/>
            <w:tcBorders>
              <w:bottom w:val="single" w:sz="8" w:color="969696"/>
            </w:tcBorders>
          </w:tcPr>
          <w:p>
            <w:pPr>
              <w:ind w:left="60"/>
              <w:spacing w:after="0" w:line="196" w:lineRule="exact"/>
              <w:rPr>
                <w:sz w:val="20"/>
                <w:szCs w:val="20"/>
                <w:color w:val="auto"/>
              </w:rPr>
            </w:pPr>
            <w:r>
              <w:rPr>
                <w:rFonts w:ascii="Arial" w:cs="Arial" w:eastAsia="Arial" w:hAnsi="Arial"/>
                <w:sz w:val="18"/>
                <w:szCs w:val="18"/>
                <w:color w:val="auto"/>
              </w:rPr>
              <w:t>Total equity</w:t>
            </w: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608,280</w:t>
            </w:r>
          </w:p>
        </w:tc>
        <w:tc>
          <w:tcPr>
            <w:tcW w:w="240" w:type="dxa"/>
            <w:vAlign w:val="bottom"/>
            <w:tcBorders>
              <w:bottom w:val="single" w:sz="8" w:color="969696"/>
            </w:tcBorders>
          </w:tcPr>
          <w:p>
            <w:pPr>
              <w:spacing w:after="0"/>
              <w:rPr>
                <w:sz w:val="17"/>
                <w:szCs w:val="17"/>
                <w:color w:val="auto"/>
              </w:rPr>
            </w:pPr>
          </w:p>
        </w:tc>
        <w:tc>
          <w:tcPr>
            <w:tcW w:w="1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w:t>
            </w:r>
          </w:p>
        </w:tc>
        <w:tc>
          <w:tcPr>
            <w:tcW w:w="220" w:type="dxa"/>
            <w:vAlign w:val="bottom"/>
            <w:tcBorders>
              <w:bottom w:val="single" w:sz="8" w:color="969696"/>
            </w:tcBorders>
          </w:tcPr>
          <w:p>
            <w:pPr>
              <w:spacing w:after="0"/>
              <w:rPr>
                <w:sz w:val="17"/>
                <w:szCs w:val="17"/>
                <w:color w:val="auto"/>
              </w:rPr>
            </w:pPr>
          </w:p>
        </w:tc>
        <w:tc>
          <w:tcPr>
            <w:tcW w:w="1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608,315</w:t>
            </w:r>
          </w:p>
        </w:tc>
        <w:tc>
          <w:tcPr>
            <w:tcW w:w="120" w:type="dxa"/>
            <w:vAlign w:val="bottom"/>
            <w:tcBorders>
              <w:bottom w:val="single" w:sz="8" w:color="969696"/>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600" w:type="dxa"/>
            <w:vAlign w:val="bottom"/>
            <w:tcBorders>
              <w:bottom w:val="single" w:sz="8" w:color="969696"/>
            </w:tcBorders>
            <w:shd w:val="clear" w:color="auto" w:fill="969696"/>
          </w:tcPr>
          <w:p>
            <w:pPr>
              <w:ind w:left="280"/>
              <w:spacing w:after="0" w:line="196" w:lineRule="exact"/>
              <w:rPr>
                <w:sz w:val="20"/>
                <w:szCs w:val="20"/>
                <w:color w:val="auto"/>
              </w:rPr>
            </w:pPr>
            <w:r>
              <w:rPr>
                <w:rFonts w:ascii="Arial" w:cs="Arial" w:eastAsia="Arial" w:hAnsi="Arial"/>
                <w:sz w:val="18"/>
                <w:szCs w:val="18"/>
                <w:color w:val="auto"/>
              </w:rPr>
              <w:t>Total liabilities and shareholders' equity</w:t>
            </w:r>
          </w:p>
        </w:tc>
        <w:tc>
          <w:tcPr>
            <w:tcW w:w="1740" w:type="dxa"/>
            <w:vAlign w:val="bottom"/>
            <w:tcBorders>
              <w:bottom w:val="single" w:sz="8" w:color="auto"/>
            </w:tcBorders>
            <w:shd w:val="clear" w:color="auto" w:fill="969696"/>
          </w:tcPr>
          <w:p>
            <w:pPr>
              <w:jc w:val="right"/>
              <w:spacing w:after="0" w:line="196" w:lineRule="exact"/>
              <w:rPr>
                <w:sz w:val="20"/>
                <w:szCs w:val="20"/>
                <w:color w:val="auto"/>
              </w:rPr>
            </w:pPr>
            <w:r>
              <w:rPr>
                <w:rFonts w:ascii="Arial" w:cs="Arial" w:eastAsia="Arial" w:hAnsi="Arial"/>
                <w:sz w:val="18"/>
                <w:szCs w:val="18"/>
                <w:color w:val="auto"/>
              </w:rPr>
              <w:t>$1,417,992</w:t>
            </w:r>
          </w:p>
        </w:tc>
        <w:tc>
          <w:tcPr>
            <w:tcW w:w="240" w:type="dxa"/>
            <w:vAlign w:val="bottom"/>
            <w:tcBorders>
              <w:bottom w:val="single" w:sz="8" w:color="969696"/>
            </w:tcBorders>
            <w:shd w:val="clear" w:color="auto" w:fill="969696"/>
          </w:tcPr>
          <w:p>
            <w:pPr>
              <w:spacing w:after="0"/>
              <w:rPr>
                <w:sz w:val="17"/>
                <w:szCs w:val="17"/>
                <w:color w:val="auto"/>
              </w:rPr>
            </w:pPr>
          </w:p>
        </w:tc>
        <w:tc>
          <w:tcPr>
            <w:tcW w:w="1740" w:type="dxa"/>
            <w:vAlign w:val="bottom"/>
            <w:tcBorders>
              <w:bottom w:val="single" w:sz="8" w:color="auto"/>
            </w:tcBorders>
            <w:shd w:val="clear" w:color="auto" w:fill="969696"/>
          </w:tcPr>
          <w:p>
            <w:pPr>
              <w:jc w:val="right"/>
              <w:spacing w:after="0" w:line="196" w:lineRule="exact"/>
              <w:rPr>
                <w:sz w:val="20"/>
                <w:szCs w:val="20"/>
                <w:color w:val="auto"/>
              </w:rPr>
            </w:pPr>
            <w:r>
              <w:rPr>
                <w:rFonts w:ascii="Arial" w:cs="Arial" w:eastAsia="Arial" w:hAnsi="Arial"/>
                <w:sz w:val="18"/>
                <w:szCs w:val="18"/>
                <w:color w:val="auto"/>
              </w:rPr>
              <w:t>$7,081</w:t>
            </w:r>
          </w:p>
        </w:tc>
        <w:tc>
          <w:tcPr>
            <w:tcW w:w="220" w:type="dxa"/>
            <w:vAlign w:val="bottom"/>
            <w:tcBorders>
              <w:bottom w:val="single" w:sz="8" w:color="969696"/>
            </w:tcBorders>
            <w:shd w:val="clear" w:color="auto" w:fill="969696"/>
          </w:tcPr>
          <w:p>
            <w:pPr>
              <w:spacing w:after="0"/>
              <w:rPr>
                <w:sz w:val="17"/>
                <w:szCs w:val="17"/>
                <w:color w:val="auto"/>
              </w:rPr>
            </w:pPr>
          </w:p>
        </w:tc>
        <w:tc>
          <w:tcPr>
            <w:tcW w:w="1760" w:type="dxa"/>
            <w:vAlign w:val="bottom"/>
            <w:tcBorders>
              <w:bottom w:val="single" w:sz="8" w:color="auto"/>
            </w:tcBorders>
            <w:shd w:val="clear" w:color="auto" w:fill="969696"/>
          </w:tcPr>
          <w:p>
            <w:pPr>
              <w:jc w:val="right"/>
              <w:spacing w:after="0" w:line="196" w:lineRule="exact"/>
              <w:rPr>
                <w:sz w:val="20"/>
                <w:szCs w:val="20"/>
                <w:color w:val="auto"/>
              </w:rPr>
            </w:pPr>
            <w:r>
              <w:rPr>
                <w:rFonts w:ascii="Arial" w:cs="Arial" w:eastAsia="Arial" w:hAnsi="Arial"/>
                <w:sz w:val="18"/>
                <w:szCs w:val="18"/>
                <w:color w:val="auto"/>
              </w:rPr>
              <w:t>$1,425,073</w:t>
            </w:r>
          </w:p>
        </w:tc>
        <w:tc>
          <w:tcPr>
            <w:tcW w:w="120" w:type="dxa"/>
            <w:vAlign w:val="bottom"/>
            <w:tcBorders>
              <w:bottom w:val="single" w:sz="8" w:color="969696"/>
            </w:tcBorders>
            <w:shd w:val="clear" w:color="auto" w:fill="96969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5600" w:type="dxa"/>
            <w:vAlign w:val="bottom"/>
          </w:tcPr>
          <w:p>
            <w:pPr>
              <w:spacing w:after="0"/>
              <w:rPr>
                <w:sz w:val="24"/>
                <w:szCs w:val="24"/>
                <w:color w:val="auto"/>
              </w:rPr>
            </w:pPr>
          </w:p>
        </w:tc>
        <w:tc>
          <w:tcPr>
            <w:tcW w:w="17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60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11" w:name="page12"/>
    <w:bookmarkEnd w:id="11"/>
    <w:p>
      <w:pPr>
        <w:ind w:right="740" w:firstLine="648"/>
        <w:spacing w:after="0" w:line="276" w:lineRule="auto"/>
        <w:rPr>
          <w:sz w:val="20"/>
          <w:szCs w:val="20"/>
          <w:color w:val="auto"/>
        </w:rPr>
      </w:pPr>
      <w:r>
        <w:rPr>
          <w:rFonts w:ascii="Arial" w:cs="Arial" w:eastAsia="Arial" w:hAnsi="Arial"/>
          <w:sz w:val="18"/>
          <w:szCs w:val="18"/>
          <w:color w:val="auto"/>
        </w:rPr>
        <w:t>Adoption of the standard had no impact to cash from or used in operating, investing, or financing activities in our Consolidated Statements of Cash Flows.</w:t>
      </w:r>
    </w:p>
    <w:p>
      <w:pPr>
        <w:spacing w:after="0" w:line="1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Significant changes to our accounting policies as a result of adopting the new standard are discussed below.</w:t>
      </w:r>
    </w:p>
    <w:p>
      <w:pPr>
        <w:spacing w:after="0" w:line="18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We determine if an arrangement is a lease at inception. A contract is, or contains a lease if the contract conveys the right to control the use of an identified asset for a period of time in exchange for consideration. To assess whether a contract conveys the right to control the use of an identified asset, we would assess whether:</w:t>
      </w:r>
    </w:p>
    <w:p>
      <w:pPr>
        <w:spacing w:after="0" w:line="124" w:lineRule="exact"/>
        <w:rPr>
          <w:sz w:val="20"/>
          <w:szCs w:val="20"/>
          <w:color w:val="auto"/>
        </w:rPr>
      </w:pPr>
    </w:p>
    <w:p>
      <w:pPr>
        <w:ind w:left="980" w:hanging="324"/>
        <w:spacing w:after="0" w:line="247" w:lineRule="auto"/>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contract involves the use of an identified asset. This may be specified explicitly or implicitly, and should be physically distinct or represent substantially all of the capacity of a physically distinct asset,</w:t>
      </w: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the right to obtain substantially all of the economic benefits from use of the asset throughout the period of use, and</w:t>
      </w:r>
    </w:p>
    <w:p>
      <w:pPr>
        <w:spacing w:after="0" w:line="8" w:lineRule="exact"/>
        <w:rPr>
          <w:rFonts w:ascii="Times New Roman" w:cs="Times New Roman" w:eastAsia="Times New Roman" w:hAnsi="Times New Roman"/>
          <w:sz w:val="18"/>
          <w:szCs w:val="18"/>
          <w:color w:val="auto"/>
        </w:rPr>
      </w:pPr>
    </w:p>
    <w:p>
      <w:pPr>
        <w:ind w:left="980" w:right="40" w:hanging="324"/>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have the right to direct the use of the asset. We have this right when we have the decision-making rights that are most relevant to changing how and for what purpose the asset is used.</w:t>
      </w:r>
    </w:p>
    <w:p>
      <w:pPr>
        <w:spacing w:after="0" w:line="154" w:lineRule="exact"/>
        <w:rPr>
          <w:sz w:val="20"/>
          <w:szCs w:val="20"/>
          <w:color w:val="auto"/>
        </w:rPr>
      </w:pPr>
    </w:p>
    <w:p>
      <w:pPr>
        <w:ind w:right="140" w:firstLine="648"/>
        <w:spacing w:after="0" w:line="248" w:lineRule="auto"/>
        <w:rPr>
          <w:sz w:val="20"/>
          <w:szCs w:val="20"/>
          <w:color w:val="auto"/>
        </w:rPr>
      </w:pPr>
      <w:r>
        <w:rPr>
          <w:rFonts w:ascii="Arial" w:cs="Arial" w:eastAsia="Arial" w:hAnsi="Arial"/>
          <w:sz w:val="18"/>
          <w:szCs w:val="18"/>
          <w:color w:val="auto"/>
        </w:rPr>
        <w:t xml:space="preserve">Judgement is required in the application of ASC 842, </w:t>
      </w:r>
      <w:r>
        <w:rPr>
          <w:rFonts w:ascii="Arial" w:cs="Arial" w:eastAsia="Arial" w:hAnsi="Arial"/>
          <w:sz w:val="18"/>
          <w:szCs w:val="18"/>
          <w:i w:val="1"/>
          <w:iCs w:val="1"/>
          <w:color w:val="auto"/>
        </w:rPr>
        <w:t>Leases</w:t>
      </w:r>
      <w:r>
        <w:rPr>
          <w:rFonts w:ascii="Arial" w:cs="Arial" w:eastAsia="Arial" w:hAnsi="Arial"/>
          <w:sz w:val="18"/>
          <w:szCs w:val="18"/>
          <w:color w:val="auto"/>
        </w:rPr>
        <w:t>, including in determining whether a contract contains a lease, the appropriate classification, allocation of consideration, and the determination of the discount rate for the lease. Key estimates and judgments include how the Company determines (1) the discount rate it uses to discount the unpaid lease payments to present value, (2) lease term and (3) lease payments.</w:t>
      </w:r>
    </w:p>
    <w:p>
      <w:pPr>
        <w:spacing w:after="0" w:line="130"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We are generally the lessee in our lease transactions. For periods ending after December 31, 2018, lessees will be required to recognize a lease liability and an ROU asset for leases with terms greater than 12 months, in accordance with the practical expedient that is available for ongoing accounting.</w:t>
      </w:r>
    </w:p>
    <w:p>
      <w:pPr>
        <w:spacing w:after="0" w:line="137" w:lineRule="exact"/>
        <w:rPr>
          <w:sz w:val="20"/>
          <w:szCs w:val="20"/>
          <w:color w:val="auto"/>
        </w:rPr>
      </w:pPr>
    </w:p>
    <w:p>
      <w:pPr>
        <w:ind w:right="40" w:firstLine="648"/>
        <w:spacing w:after="0"/>
        <w:rPr>
          <w:sz w:val="20"/>
          <w:szCs w:val="20"/>
          <w:color w:val="auto"/>
        </w:rPr>
      </w:pPr>
      <w:r>
        <w:rPr>
          <w:rFonts w:ascii="Arial" w:cs="Arial" w:eastAsia="Arial" w:hAnsi="Arial"/>
          <w:sz w:val="18"/>
          <w:szCs w:val="18"/>
          <w:color w:val="auto"/>
        </w:rPr>
        <w:t>ROU assets represent the right to use an underlying asset for the lease term and lease liabilities represent an obligation to make lease payments arising from the lease. Operating lease ROU assets and liabilities are recognized on the commencement date based on the present value of lease payments over the lease term, using the rate implicit in the lease. If that rate is not readily determinable, the rate is based on the Company’s incremental borrowing rate. The operating lease ROU asset also includes any lease payments made and excludes lease incentives. Our lease terms may include options to extend or terminate the lease. Our ROU assets include the values associated with the additional periods when it is reasonably certain that we will exercise the option. We review the carrying value of ROU assets for impairment whenever events and circumstances indicate that the carrying value of an asset group may not be recoverable from the estimated future cash flows expected to result from its use and eventual disposition.</w:t>
      </w:r>
    </w:p>
    <w:p>
      <w:pPr>
        <w:spacing w:after="0" w:line="140"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We have lease agreements with lease and non-lease components. For most leases, we account for the lease and non-lease components as a single lease component, in accordance with the practical expedient that is available for ongoing accounting. Additionally, for certain leases, such as for vehicles, we apply a portfolio approach. New leases will be classified as financing or operating, with classification affecting the pattern and classification of expense recognition in the income statement. Expenses related to operating leases will be recognized on a straight-line basis, while those determined to be financing leases will be recognized following a front-loaded expense profile, in which interest and amortization are presented separately in the income statement.</w:t>
      </w:r>
    </w:p>
    <w:p>
      <w:pPr>
        <w:spacing w:after="0" w:line="134"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Operating lease ROU assets are included in Other assets in the Consolidated Balance Sheets and Operating lease liabilities are included in Accrued liabilities and Other noncurrent liabilities in the Consolidated Balance Sheets. Finance lease ROU assets are included in Property, plant, and</w:t>
      </w:r>
    </w:p>
    <w:p>
      <w:pPr>
        <w:spacing w:after="0" w:line="2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12" w:name="page13"/>
    <w:bookmarkEnd w:id="12"/>
    <w:p>
      <w:pPr>
        <w:ind w:right="640"/>
        <w:spacing w:after="0" w:line="276" w:lineRule="auto"/>
        <w:rPr>
          <w:sz w:val="20"/>
          <w:szCs w:val="20"/>
          <w:color w:val="auto"/>
        </w:rPr>
      </w:pPr>
      <w:r>
        <w:rPr>
          <w:rFonts w:ascii="Arial" w:cs="Arial" w:eastAsia="Arial" w:hAnsi="Arial"/>
          <w:sz w:val="18"/>
          <w:szCs w:val="18"/>
          <w:color w:val="auto"/>
        </w:rPr>
        <w:t>equipment, net in the Consolidated Balance Sheets and Finance lease liabilities are included in Accrued liabilities and Other noncurrent liabilities in the Consolidated Balance Sheets.</w:t>
      </w:r>
    </w:p>
    <w:p>
      <w:pPr>
        <w:spacing w:after="0" w:line="1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operating and finance leases for offices, manufacturing facilities, warehouses, vehicles, and certain equipment. Our leases have remaining lease terms of 1 year to 11 years, some of which include options to extend the leases for up to 10 years, and some of which include options to terminate the leases within 1 year.</w:t>
      </w:r>
    </w:p>
    <w:p>
      <w:pPr>
        <w:spacing w:after="0" w:line="1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800" w:type="dxa"/>
            <w:vAlign w:val="bottom"/>
            <w:tcBorders>
              <w:top w:val="single" w:sz="8" w:color="auto"/>
            </w:tcBorders>
          </w:tcPr>
          <w:p>
            <w:pPr>
              <w:spacing w:after="0"/>
              <w:rPr>
                <w:sz w:val="14"/>
                <w:szCs w:val="14"/>
                <w:color w:val="auto"/>
              </w:rPr>
            </w:pPr>
          </w:p>
        </w:tc>
        <w:tc>
          <w:tcPr>
            <w:tcW w:w="3600" w:type="dxa"/>
            <w:vAlign w:val="bottom"/>
            <w:tcBorders>
              <w:top w:val="single" w:sz="8" w:color="auto"/>
            </w:tcBorders>
          </w:tcPr>
          <w:p>
            <w:pPr>
              <w:jc w:val="center"/>
              <w:ind w:left="1010"/>
              <w:spacing w:after="0" w:line="171" w:lineRule="exact"/>
              <w:rPr>
                <w:sz w:val="20"/>
                <w:szCs w:val="20"/>
                <w:color w:val="auto"/>
              </w:rPr>
            </w:pPr>
            <w:r>
              <w:rPr>
                <w:rFonts w:ascii="Arial" w:cs="Arial" w:eastAsia="Arial" w:hAnsi="Arial"/>
                <w:sz w:val="18"/>
                <w:szCs w:val="18"/>
                <w:b w:val="1"/>
                <w:bCs w:val="1"/>
                <w:color w:val="auto"/>
                <w:w w:val="99"/>
              </w:rPr>
              <w:t>For the three</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640" w:type="dxa"/>
            <w:vAlign w:val="bottom"/>
            <w:gridSpan w:val="3"/>
          </w:tcPr>
          <w:p>
            <w:pPr>
              <w:jc w:val="center"/>
              <w:ind w:left="97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60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b w:val="1"/>
                <w:bCs w:val="1"/>
                <w:color w:val="auto"/>
                <w:w w:val="99"/>
              </w:rPr>
              <w:t>March 31, 2019</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820" w:type="dxa"/>
            <w:vAlign w:val="bottom"/>
            <w:gridSpan w:val="2"/>
          </w:tcPr>
          <w:p>
            <w:pPr>
              <w:spacing w:after="0" w:line="173" w:lineRule="exact"/>
              <w:rPr>
                <w:sz w:val="20"/>
                <w:szCs w:val="20"/>
                <w:color w:val="auto"/>
              </w:rPr>
            </w:pPr>
            <w:r>
              <w:rPr>
                <w:rFonts w:ascii="Arial" w:cs="Arial" w:eastAsia="Arial" w:hAnsi="Arial"/>
                <w:sz w:val="18"/>
                <w:szCs w:val="18"/>
                <w:color w:val="auto"/>
              </w:rPr>
              <w:t>Finance lease</w:t>
            </w:r>
          </w:p>
        </w:tc>
        <w:tc>
          <w:tcPr>
            <w:tcW w:w="3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$ 253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0" w:type="dxa"/>
            <w:vAlign w:val="bottom"/>
          </w:tcPr>
          <w:p>
            <w:pPr>
              <w:ind w:left="80"/>
              <w:spacing w:after="0" w:line="201" w:lineRule="exact"/>
              <w:rPr>
                <w:sz w:val="20"/>
                <w:szCs w:val="20"/>
                <w:color w:val="auto"/>
              </w:rPr>
            </w:pPr>
            <w:r>
              <w:rPr>
                <w:rFonts w:ascii="Arial" w:cs="Arial" w:eastAsia="Arial" w:hAnsi="Arial"/>
                <w:sz w:val="18"/>
                <w:szCs w:val="18"/>
                <w:color w:val="auto"/>
              </w:rPr>
              <w:t>Amortization of right-of-use asset</w:t>
            </w:r>
          </w:p>
        </w:tc>
        <w:tc>
          <w:tcPr>
            <w:tcW w:w="3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800" w:type="dxa"/>
            <w:vAlign w:val="bottom"/>
          </w:tcPr>
          <w:p>
            <w:pPr>
              <w:ind w:left="80"/>
              <w:spacing w:after="0" w:line="205" w:lineRule="exact"/>
              <w:rPr>
                <w:sz w:val="20"/>
                <w:szCs w:val="20"/>
                <w:color w:val="auto"/>
              </w:rPr>
            </w:pPr>
            <w:r>
              <w:rPr>
                <w:rFonts w:ascii="Arial" w:cs="Arial" w:eastAsia="Arial" w:hAnsi="Arial"/>
                <w:sz w:val="18"/>
                <w:szCs w:val="18"/>
                <w:color w:val="auto"/>
              </w:rPr>
              <w:t>Interest on lease liabilities</w:t>
            </w:r>
          </w:p>
        </w:tc>
        <w:tc>
          <w:tcPr>
            <w:tcW w:w="3620" w:type="dxa"/>
            <w:vAlign w:val="bottom"/>
            <w:gridSpan w:val="2"/>
          </w:tcPr>
          <w:p>
            <w:pPr>
              <w:jc w:val="right"/>
              <w:ind w:right="20"/>
              <w:spacing w:after="0" w:line="205" w:lineRule="exact"/>
              <w:rPr>
                <w:sz w:val="20"/>
                <w:szCs w:val="20"/>
                <w:color w:val="auto"/>
              </w:rPr>
            </w:pPr>
            <w:r>
              <w:rPr>
                <w:rFonts w:ascii="Arial" w:cs="Arial" w:eastAsia="Arial" w:hAnsi="Arial"/>
                <w:sz w:val="18"/>
                <w:szCs w:val="18"/>
                <w:b w:val="1"/>
                <w:bCs w:val="1"/>
                <w:color w:val="auto"/>
              </w:rPr>
              <w:t>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Operating lease</w:t>
            </w:r>
          </w:p>
        </w:tc>
        <w:tc>
          <w:tcPr>
            <w:tcW w:w="3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1,217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0" w:type="dxa"/>
            <w:vAlign w:val="bottom"/>
          </w:tcPr>
          <w:p>
            <w:pPr>
              <w:ind w:left="80"/>
              <w:spacing w:after="0" w:line="201" w:lineRule="exact"/>
              <w:rPr>
                <w:sz w:val="20"/>
                <w:szCs w:val="20"/>
                <w:color w:val="auto"/>
              </w:rPr>
            </w:pPr>
            <w:r>
              <w:rPr>
                <w:rFonts w:ascii="Arial" w:cs="Arial" w:eastAsia="Arial" w:hAnsi="Arial"/>
                <w:sz w:val="18"/>
                <w:szCs w:val="18"/>
                <w:color w:val="auto"/>
              </w:rPr>
              <w:t>Fixed lease cost</w:t>
            </w:r>
          </w:p>
        </w:tc>
        <w:tc>
          <w:tcPr>
            <w:tcW w:w="3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
              <w:spacing w:after="0" w:line="202" w:lineRule="exact"/>
              <w:rPr>
                <w:sz w:val="20"/>
                <w:szCs w:val="20"/>
                <w:color w:val="auto"/>
              </w:rPr>
            </w:pPr>
            <w:r>
              <w:rPr>
                <w:rFonts w:ascii="Arial" w:cs="Arial" w:eastAsia="Arial" w:hAnsi="Arial"/>
                <w:sz w:val="18"/>
                <w:szCs w:val="18"/>
                <w:color w:val="auto"/>
              </w:rPr>
              <w:t>Variable lease cost</w:t>
            </w:r>
          </w:p>
        </w:tc>
        <w:tc>
          <w:tcPr>
            <w:tcW w:w="3640" w:type="dxa"/>
            <w:vAlign w:val="bottom"/>
            <w:gridSpan w:val="3"/>
          </w:tcPr>
          <w:p>
            <w:pPr>
              <w:jc w:val="right"/>
              <w:ind w:right="40"/>
              <w:spacing w:after="0" w:line="202" w:lineRule="exact"/>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Short-term lease cost</w:t>
            </w:r>
          </w:p>
        </w:tc>
        <w:tc>
          <w:tcPr>
            <w:tcW w:w="3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332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0" w:type="dxa"/>
            <w:vAlign w:val="bottom"/>
          </w:tcPr>
          <w:p>
            <w:pPr>
              <w:spacing w:after="0" w:line="196" w:lineRule="exact"/>
              <w:rPr>
                <w:sz w:val="20"/>
                <w:szCs w:val="20"/>
                <w:color w:val="auto"/>
              </w:rPr>
            </w:pPr>
            <w:r>
              <w:rPr>
                <w:rFonts w:ascii="Arial" w:cs="Arial" w:eastAsia="Arial" w:hAnsi="Arial"/>
                <w:sz w:val="18"/>
                <w:szCs w:val="18"/>
                <w:color w:val="auto"/>
              </w:rPr>
              <w:t>Total lease expense</w:t>
            </w:r>
          </w:p>
        </w:tc>
        <w:tc>
          <w:tcPr>
            <w:tcW w:w="3620" w:type="dxa"/>
            <w:vAlign w:val="bottom"/>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$ 2,258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05"/>
        </w:trPr>
        <w:tc>
          <w:tcPr>
            <w:tcW w:w="20" w:type="dxa"/>
            <w:vAlign w:val="bottom"/>
          </w:tcPr>
          <w:p>
            <w:pPr>
              <w:spacing w:after="0"/>
              <w:rPr>
                <w:sz w:val="24"/>
                <w:szCs w:val="24"/>
                <w:color w:val="auto"/>
              </w:rPr>
            </w:pPr>
          </w:p>
        </w:tc>
        <w:tc>
          <w:tcPr>
            <w:tcW w:w="7800" w:type="dxa"/>
            <w:vAlign w:val="bottom"/>
            <w:tcBorders>
              <w:top w:val="single" w:sz="8" w:color="auto"/>
            </w:tcBorders>
          </w:tcPr>
          <w:p>
            <w:pPr>
              <w:ind w:left="640"/>
              <w:spacing w:after="0"/>
              <w:rPr>
                <w:sz w:val="20"/>
                <w:szCs w:val="20"/>
                <w:color w:val="auto"/>
              </w:rPr>
            </w:pPr>
            <w:r>
              <w:rPr>
                <w:rFonts w:ascii="Arial" w:cs="Arial" w:eastAsia="Arial" w:hAnsi="Arial"/>
                <w:sz w:val="18"/>
                <w:szCs w:val="18"/>
                <w:color w:val="auto"/>
              </w:rPr>
              <w:t>Lease expense for the same period of 2018 was $2.1 million.</w:t>
            </w:r>
          </w:p>
        </w:tc>
        <w:tc>
          <w:tcPr>
            <w:tcW w:w="36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800" w:type="dxa"/>
            <w:vAlign w:val="bottom"/>
          </w:tcPr>
          <w:p>
            <w:pPr>
              <w:ind w:left="640"/>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800" w:type="dxa"/>
            <w:vAlign w:val="bottom"/>
            <w:tcBorders>
              <w:bottom w:val="single" w:sz="8" w:color="auto"/>
            </w:tcBorders>
          </w:tcPr>
          <w:p>
            <w:pPr>
              <w:spacing w:after="0"/>
              <w:rPr>
                <w:sz w:val="13"/>
                <w:szCs w:val="13"/>
                <w:color w:val="auto"/>
              </w:rPr>
            </w:pPr>
          </w:p>
        </w:tc>
        <w:tc>
          <w:tcPr>
            <w:tcW w:w="3600" w:type="dxa"/>
            <w:vAlign w:val="bottom"/>
            <w:tcBorders>
              <w:bottom w:val="single" w:sz="8" w:color="auto"/>
            </w:tcBorders>
          </w:tcPr>
          <w:p>
            <w:pPr>
              <w:spacing w:after="0"/>
              <w:rPr>
                <w:sz w:val="13"/>
                <w:szCs w:val="13"/>
                <w:color w:val="auto"/>
              </w:rPr>
            </w:pPr>
          </w:p>
        </w:tc>
        <w:tc>
          <w:tcPr>
            <w:tcW w:w="40" w:type="dxa"/>
            <w:vAlign w:val="bottom"/>
            <w:gridSpan w:val="2"/>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800" w:type="dxa"/>
            <w:vAlign w:val="bottom"/>
          </w:tcPr>
          <w:p>
            <w:pPr>
              <w:spacing w:after="0"/>
              <w:rPr>
                <w:sz w:val="14"/>
                <w:szCs w:val="14"/>
                <w:color w:val="auto"/>
              </w:rPr>
            </w:pPr>
          </w:p>
        </w:tc>
        <w:tc>
          <w:tcPr>
            <w:tcW w:w="3600" w:type="dxa"/>
            <w:vAlign w:val="bottom"/>
          </w:tcPr>
          <w:p>
            <w:pPr>
              <w:jc w:val="center"/>
              <w:ind w:left="1010"/>
              <w:spacing w:after="0" w:line="171" w:lineRule="exact"/>
              <w:rPr>
                <w:sz w:val="20"/>
                <w:szCs w:val="20"/>
                <w:color w:val="auto"/>
              </w:rPr>
            </w:pPr>
            <w:r>
              <w:rPr>
                <w:rFonts w:ascii="Arial" w:cs="Arial" w:eastAsia="Arial" w:hAnsi="Arial"/>
                <w:sz w:val="18"/>
                <w:szCs w:val="18"/>
                <w:b w:val="1"/>
                <w:bCs w:val="1"/>
                <w:color w:val="auto"/>
                <w:w w:val="99"/>
              </w:rPr>
              <w:t>For the three</w:t>
            </w: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3640" w:type="dxa"/>
            <w:vAlign w:val="bottom"/>
            <w:gridSpan w:val="3"/>
          </w:tcPr>
          <w:p>
            <w:pPr>
              <w:jc w:val="center"/>
              <w:ind w:left="930"/>
              <w:spacing w:after="0" w:line="202" w:lineRule="exact"/>
              <w:rPr>
                <w:sz w:val="20"/>
                <w:szCs w:val="20"/>
                <w:color w:val="auto"/>
              </w:rPr>
            </w:pPr>
            <w:r>
              <w:rPr>
                <w:rFonts w:ascii="Arial" w:cs="Arial" w:eastAsia="Arial" w:hAnsi="Arial"/>
                <w:sz w:val="18"/>
                <w:szCs w:val="18"/>
                <w:b w:val="1"/>
                <w:bCs w:val="1"/>
                <w:color w:val="auto"/>
                <w:w w:val="99"/>
              </w:rPr>
              <w:t>months ended</w:t>
            </w:r>
          </w:p>
        </w:tc>
        <w:tc>
          <w:tcPr>
            <w:tcW w:w="0" w:type="dxa"/>
            <w:vAlign w:val="bottom"/>
          </w:tcPr>
          <w:p>
            <w:pPr>
              <w:spacing w:after="0"/>
              <w:rPr>
                <w:sz w:val="1"/>
                <w:szCs w:val="1"/>
                <w:color w:val="auto"/>
              </w:rPr>
            </w:pPr>
          </w:p>
        </w:tc>
      </w:tr>
      <w:tr>
        <w:trPr>
          <w:trHeight w:val="227"/>
        </w:trPr>
        <w:tc>
          <w:tcPr>
            <w:tcW w:w="78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60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b w:val="1"/>
                <w:bCs w:val="1"/>
                <w:color w:val="auto"/>
                <w:w w:val="99"/>
              </w:rPr>
              <w:t>March 31, 2019</w:t>
            </w:r>
          </w:p>
        </w:tc>
        <w:tc>
          <w:tcPr>
            <w:tcW w:w="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820" w:type="dxa"/>
            <w:vAlign w:val="bottom"/>
            <w:gridSpan w:val="2"/>
          </w:tcPr>
          <w:p>
            <w:pPr>
              <w:spacing w:after="0" w:line="173"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3640" w:type="dxa"/>
            <w:vAlign w:val="bottom"/>
            <w:gridSpan w:val="3"/>
            <w:vMerge w:val="restart"/>
          </w:tcPr>
          <w:p>
            <w:pPr>
              <w:jc w:val="right"/>
              <w:ind w:right="40"/>
              <w:spacing w:after="0"/>
              <w:rPr>
                <w:sz w:val="20"/>
                <w:szCs w:val="20"/>
                <w:color w:val="auto"/>
              </w:rPr>
            </w:pPr>
            <w:r>
              <w:rPr>
                <w:rFonts w:ascii="Arial" w:cs="Arial" w:eastAsia="Arial" w:hAnsi="Arial"/>
                <w:sz w:val="18"/>
                <w:szCs w:val="18"/>
                <w:b w:val="1"/>
                <w:bCs w:val="1"/>
                <w:color w:val="auto"/>
              </w:rPr>
              <w:t>$ 1,191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0" w:type="dxa"/>
            <w:vAlign w:val="bottom"/>
          </w:tcPr>
          <w:p>
            <w:pPr>
              <w:ind w:left="80"/>
              <w:spacing w:after="0" w:line="201" w:lineRule="exact"/>
              <w:rPr>
                <w:sz w:val="20"/>
                <w:szCs w:val="20"/>
                <w:color w:val="auto"/>
              </w:rPr>
            </w:pPr>
            <w:r>
              <w:rPr>
                <w:rFonts w:ascii="Arial" w:cs="Arial" w:eastAsia="Arial" w:hAnsi="Arial"/>
                <w:sz w:val="18"/>
                <w:szCs w:val="18"/>
                <w:color w:val="auto"/>
              </w:rPr>
              <w:t>Operating cash flows from operating leases</w:t>
            </w:r>
          </w:p>
        </w:tc>
        <w:tc>
          <w:tcPr>
            <w:tcW w:w="36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0" w:type="dxa"/>
            <w:vAlign w:val="bottom"/>
          </w:tcPr>
          <w:p>
            <w:pPr>
              <w:ind w:left="80"/>
              <w:spacing w:after="0" w:line="202" w:lineRule="exact"/>
              <w:rPr>
                <w:sz w:val="20"/>
                <w:szCs w:val="20"/>
                <w:color w:val="auto"/>
              </w:rPr>
            </w:pPr>
            <w:r>
              <w:rPr>
                <w:rFonts w:ascii="Arial" w:cs="Arial" w:eastAsia="Arial" w:hAnsi="Arial"/>
                <w:sz w:val="18"/>
                <w:szCs w:val="18"/>
                <w:color w:val="auto"/>
              </w:rPr>
              <w:t>Operating cash flows from finance leases</w:t>
            </w:r>
          </w:p>
        </w:tc>
        <w:tc>
          <w:tcPr>
            <w:tcW w:w="3620" w:type="dxa"/>
            <w:vAlign w:val="bottom"/>
            <w:gridSpan w:val="2"/>
          </w:tcPr>
          <w:p>
            <w:pPr>
              <w:jc w:val="right"/>
              <w:ind w:right="20"/>
              <w:spacing w:after="0" w:line="202" w:lineRule="exact"/>
              <w:rPr>
                <w:sz w:val="20"/>
                <w:szCs w:val="20"/>
                <w:color w:val="auto"/>
              </w:rPr>
            </w:pPr>
            <w:r>
              <w:rPr>
                <w:rFonts w:ascii="Arial" w:cs="Arial" w:eastAsia="Arial" w:hAnsi="Arial"/>
                <w:sz w:val="18"/>
                <w:szCs w:val="18"/>
                <w:b w:val="1"/>
                <w:bCs w:val="1"/>
                <w:color w:val="auto"/>
              </w:rPr>
              <w:t>399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7800" w:type="dxa"/>
            <w:vAlign w:val="bottom"/>
          </w:tcPr>
          <w:p>
            <w:pPr>
              <w:ind w:left="80"/>
              <w:spacing w:after="0"/>
              <w:rPr>
                <w:sz w:val="20"/>
                <w:szCs w:val="20"/>
                <w:color w:val="auto"/>
              </w:rPr>
            </w:pPr>
            <w:r>
              <w:rPr>
                <w:rFonts w:ascii="Arial" w:cs="Arial" w:eastAsia="Arial" w:hAnsi="Arial"/>
                <w:sz w:val="18"/>
                <w:szCs w:val="18"/>
                <w:color w:val="auto"/>
              </w:rPr>
              <w:t>Financing cash flows from finance leases</w:t>
            </w:r>
          </w:p>
        </w:tc>
        <w:tc>
          <w:tcPr>
            <w:tcW w:w="3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7"/>
        </w:trPr>
        <w:tc>
          <w:tcPr>
            <w:tcW w:w="782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obligations:</w:t>
            </w:r>
          </w:p>
        </w:tc>
        <w:tc>
          <w:tcPr>
            <w:tcW w:w="36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$ 412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800" w:type="dxa"/>
            <w:vAlign w:val="bottom"/>
          </w:tcPr>
          <w:p>
            <w:pPr>
              <w:ind w:left="80"/>
              <w:spacing w:after="0" w:line="201" w:lineRule="exact"/>
              <w:rPr>
                <w:sz w:val="20"/>
                <w:szCs w:val="20"/>
                <w:color w:val="auto"/>
              </w:rPr>
            </w:pPr>
            <w:r>
              <w:rPr>
                <w:rFonts w:ascii="Arial" w:cs="Arial" w:eastAsia="Arial" w:hAnsi="Arial"/>
                <w:sz w:val="18"/>
                <w:szCs w:val="18"/>
                <w:color w:val="auto"/>
              </w:rPr>
              <w:t>Operating leases</w:t>
            </w:r>
          </w:p>
        </w:tc>
        <w:tc>
          <w:tcPr>
            <w:tcW w:w="36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8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Finance leases</w:t>
            </w:r>
          </w:p>
        </w:tc>
        <w:tc>
          <w:tcPr>
            <w:tcW w:w="3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7820" w:type="dxa"/>
            <w:vAlign w:val="bottom"/>
            <w:gridSpan w:val="2"/>
          </w:tcPr>
          <w:p>
            <w:pPr>
              <w:ind w:left="5620"/>
              <w:spacing w:after="0"/>
              <w:rPr>
                <w:sz w:val="20"/>
                <w:szCs w:val="20"/>
                <w:color w:val="auto"/>
              </w:rPr>
            </w:pPr>
            <w:r>
              <w:rPr>
                <w:rFonts w:ascii="Times New Roman" w:cs="Times New Roman" w:eastAsia="Times New Roman" w:hAnsi="Times New Roman"/>
                <w:sz w:val="18"/>
                <w:szCs w:val="18"/>
                <w:color w:val="auto"/>
              </w:rPr>
              <w:t>13</w:t>
            </w:r>
          </w:p>
        </w:tc>
        <w:tc>
          <w:tcPr>
            <w:tcW w:w="3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2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Operating leases</w:t>
            </w: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8200" w:type="dxa"/>
            <w:vAlign w:val="bottom"/>
            <w:gridSpan w:val="2"/>
          </w:tcPr>
          <w:p>
            <w:pPr>
              <w:spacing w:after="0"/>
              <w:rPr>
                <w:sz w:val="20"/>
                <w:szCs w:val="20"/>
                <w:color w:val="auto"/>
              </w:rPr>
            </w:pPr>
            <w:r>
              <w:rPr>
                <w:rFonts w:ascii="Arial" w:cs="Arial" w:eastAsia="Arial" w:hAnsi="Arial"/>
                <w:sz w:val="18"/>
                <w:szCs w:val="18"/>
                <w:color w:val="auto"/>
              </w:rPr>
              <w:t>Right of use assets included in Other assets</w:t>
            </w: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$ 12,969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0" w:type="dxa"/>
            <w:vAlign w:val="bottom"/>
            <w:tcBorders>
              <w:bottom w:val="single" w:sz="8" w:color="auto"/>
            </w:tcBorders>
            <w:gridSpan w:val="2"/>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8200" w:type="dxa"/>
            <w:vAlign w:val="bottom"/>
            <w:gridSpan w:val="2"/>
          </w:tcPr>
          <w:p>
            <w:pPr>
              <w:spacing w:after="0"/>
              <w:rPr>
                <w:sz w:val="20"/>
                <w:szCs w:val="20"/>
                <w:color w:val="auto"/>
              </w:rPr>
            </w:pPr>
            <w:r>
              <w:rPr>
                <w:rFonts w:ascii="Arial" w:cs="Arial" w:eastAsia="Arial" w:hAnsi="Arial"/>
                <w:sz w:val="18"/>
                <w:szCs w:val="18"/>
                <w:color w:val="auto"/>
              </w:rPr>
              <w:t>Lease liabilities included in</w:t>
            </w:r>
          </w:p>
        </w:tc>
        <w:tc>
          <w:tcPr>
            <w:tcW w:w="32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$ 4,182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80" w:type="dxa"/>
            <w:vAlign w:val="bottom"/>
          </w:tcPr>
          <w:p>
            <w:pPr>
              <w:ind w:left="80"/>
              <w:spacing w:after="0" w:line="201" w:lineRule="exact"/>
              <w:rPr>
                <w:sz w:val="20"/>
                <w:szCs w:val="20"/>
                <w:color w:val="auto"/>
              </w:rPr>
            </w:pPr>
            <w:r>
              <w:rPr>
                <w:rFonts w:ascii="Arial" w:cs="Arial" w:eastAsia="Arial" w:hAnsi="Arial"/>
                <w:sz w:val="18"/>
                <w:szCs w:val="18"/>
                <w:color w:val="auto"/>
              </w:rPr>
              <w:t>Accrued liabilities</w:t>
            </w:r>
          </w:p>
        </w:tc>
        <w:tc>
          <w:tcPr>
            <w:tcW w:w="3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 noncurrent liabilities</w:t>
            </w: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8,935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$ 13,117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8200" w:type="dxa"/>
            <w:vAlign w:val="bottom"/>
            <w:tcBorders>
              <w:bottom w:val="single" w:sz="8" w:color="auto"/>
            </w:tcBorders>
            <w:gridSpan w:val="2"/>
          </w:tcPr>
          <w:p>
            <w:pPr>
              <w:spacing w:after="0"/>
              <w:rPr>
                <w:sz w:val="13"/>
                <w:szCs w:val="13"/>
                <w:color w:val="auto"/>
              </w:rPr>
            </w:pPr>
          </w:p>
        </w:tc>
        <w:tc>
          <w:tcPr>
            <w:tcW w:w="3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3"/>
        </w:trPr>
        <w:tc>
          <w:tcPr>
            <w:tcW w:w="8200" w:type="dxa"/>
            <w:vAlign w:val="bottom"/>
            <w:gridSpan w:val="2"/>
          </w:tcPr>
          <w:p>
            <w:pPr>
              <w:spacing w:after="0"/>
              <w:rPr>
                <w:sz w:val="20"/>
                <w:szCs w:val="20"/>
                <w:color w:val="auto"/>
              </w:rPr>
            </w:pPr>
            <w:r>
              <w:rPr>
                <w:rFonts w:ascii="Arial" w:cs="Arial" w:eastAsia="Arial" w:hAnsi="Arial"/>
                <w:sz w:val="18"/>
                <w:szCs w:val="18"/>
                <w:b w:val="1"/>
                <w:bCs w:val="1"/>
                <w:color w:val="auto"/>
              </w:rPr>
              <w:t>Finance leases</w:t>
            </w:r>
          </w:p>
        </w:tc>
        <w:tc>
          <w:tcPr>
            <w:tcW w:w="3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0"/>
        </w:trPr>
        <w:tc>
          <w:tcPr>
            <w:tcW w:w="8200" w:type="dxa"/>
            <w:vAlign w:val="bottom"/>
            <w:gridSpan w:val="2"/>
          </w:tcPr>
          <w:p>
            <w:pPr>
              <w:spacing w:after="0"/>
              <w:rPr>
                <w:sz w:val="20"/>
                <w:szCs w:val="20"/>
                <w:color w:val="auto"/>
              </w:rPr>
            </w:pPr>
            <w:r>
              <w:rPr>
                <w:rFonts w:ascii="Arial" w:cs="Arial" w:eastAsia="Arial" w:hAnsi="Arial"/>
                <w:sz w:val="18"/>
                <w:szCs w:val="18"/>
                <w:color w:val="auto"/>
              </w:rPr>
              <w:t>Right of use assets included in Property, plant and equipment, net</w:t>
            </w: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$ 10,890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200" w:type="dxa"/>
            <w:vAlign w:val="bottom"/>
            <w:tcBorders>
              <w:bottom w:val="single" w:sz="8" w:color="auto"/>
            </w:tcBorders>
            <w:gridSpan w:val="2"/>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8200" w:type="dxa"/>
            <w:vAlign w:val="bottom"/>
            <w:gridSpan w:val="2"/>
          </w:tcPr>
          <w:p>
            <w:pPr>
              <w:spacing w:after="0"/>
              <w:rPr>
                <w:sz w:val="20"/>
                <w:szCs w:val="20"/>
                <w:color w:val="auto"/>
              </w:rPr>
            </w:pPr>
            <w:r>
              <w:rPr>
                <w:rFonts w:ascii="Arial" w:cs="Arial" w:eastAsia="Arial" w:hAnsi="Arial"/>
                <w:sz w:val="18"/>
                <w:szCs w:val="18"/>
                <w:color w:val="auto"/>
              </w:rPr>
              <w:t>Lease liabilities included in</w:t>
            </w:r>
          </w:p>
        </w:tc>
        <w:tc>
          <w:tcPr>
            <w:tcW w:w="32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$ 1,216</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180" w:type="dxa"/>
            <w:vAlign w:val="bottom"/>
          </w:tcPr>
          <w:p>
            <w:pPr>
              <w:ind w:left="80"/>
              <w:spacing w:after="0" w:line="201" w:lineRule="exact"/>
              <w:rPr>
                <w:sz w:val="20"/>
                <w:szCs w:val="20"/>
                <w:color w:val="auto"/>
              </w:rPr>
            </w:pPr>
            <w:r>
              <w:rPr>
                <w:rFonts w:ascii="Arial" w:cs="Arial" w:eastAsia="Arial" w:hAnsi="Arial"/>
                <w:sz w:val="18"/>
                <w:szCs w:val="18"/>
                <w:color w:val="auto"/>
              </w:rPr>
              <w:t>Accrued liabilities</w:t>
            </w:r>
          </w:p>
        </w:tc>
        <w:tc>
          <w:tcPr>
            <w:tcW w:w="3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1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 noncurrent liabilities</w:t>
            </w:r>
          </w:p>
        </w:tc>
        <w:tc>
          <w:tcPr>
            <w:tcW w:w="3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18,564</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Total finance lease liabilities</w:t>
            </w: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$ 19,780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180" w:type="dxa"/>
            <w:vAlign w:val="bottom"/>
            <w:tcBorders>
              <w:bottom w:val="single" w:sz="8" w:color="auto"/>
            </w:tcBorders>
          </w:tcPr>
          <w:p>
            <w:pPr>
              <w:spacing w:after="0"/>
              <w:rPr>
                <w:sz w:val="13"/>
                <w:szCs w:val="13"/>
                <w:color w:val="auto"/>
              </w:rPr>
            </w:pPr>
          </w:p>
        </w:tc>
        <w:tc>
          <w:tcPr>
            <w:tcW w:w="3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5"/>
        </w:trPr>
        <w:tc>
          <w:tcPr>
            <w:tcW w:w="20" w:type="dxa"/>
            <w:vAlign w:val="bottom"/>
          </w:tcPr>
          <w:p>
            <w:pPr>
              <w:spacing w:after="0"/>
              <w:rPr>
                <w:sz w:val="24"/>
                <w:szCs w:val="24"/>
                <w:color w:val="auto"/>
              </w:rPr>
            </w:pPr>
          </w:p>
        </w:tc>
        <w:tc>
          <w:tcPr>
            <w:tcW w:w="8180" w:type="dxa"/>
            <w:vAlign w:val="bottom"/>
          </w:tcPr>
          <w:p>
            <w:pPr>
              <w:ind w:left="640"/>
              <w:spacing w:after="0"/>
              <w:rPr>
                <w:sz w:val="20"/>
                <w:szCs w:val="20"/>
                <w:color w:val="auto"/>
              </w:rPr>
            </w:pPr>
            <w:r>
              <w:rPr>
                <w:rFonts w:ascii="Arial" w:cs="Arial" w:eastAsia="Arial" w:hAnsi="Arial"/>
                <w:sz w:val="18"/>
                <w:szCs w:val="18"/>
                <w:color w:val="auto"/>
              </w:rPr>
              <w:t>Additional information for leases existing at March 31, 2019 was as follows:</w:t>
            </w:r>
          </w:p>
        </w:tc>
        <w:tc>
          <w:tcPr>
            <w:tcW w:w="3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18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180" w:type="dxa"/>
            <w:vAlign w:val="bottom"/>
          </w:tcPr>
          <w:p>
            <w:pPr>
              <w:spacing w:after="0" w:line="180" w:lineRule="exact"/>
              <w:rPr>
                <w:sz w:val="20"/>
                <w:szCs w:val="20"/>
                <w:color w:val="auto"/>
              </w:rPr>
            </w:pPr>
            <w:r>
              <w:rPr>
                <w:rFonts w:ascii="Arial" w:cs="Arial" w:eastAsia="Arial" w:hAnsi="Arial"/>
                <w:sz w:val="18"/>
                <w:szCs w:val="18"/>
                <w:b w:val="1"/>
                <w:bCs w:val="1"/>
                <w:color w:val="auto"/>
              </w:rPr>
              <w:t>Weighted average remaining lease term</w:t>
            </w:r>
          </w:p>
        </w:tc>
        <w:tc>
          <w:tcPr>
            <w:tcW w:w="32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5 years</w:t>
            </w:r>
          </w:p>
        </w:tc>
        <w:tc>
          <w:tcPr>
            <w:tcW w:w="0" w:type="dxa"/>
            <w:vAlign w:val="bottom"/>
          </w:tcPr>
          <w:p>
            <w:pPr>
              <w:spacing w:after="0"/>
              <w:rPr>
                <w:sz w:val="1"/>
                <w:szCs w:val="1"/>
                <w:color w:val="auto"/>
              </w:rPr>
            </w:pPr>
          </w:p>
        </w:tc>
      </w:tr>
      <w:tr>
        <w:trPr>
          <w:trHeight w:val="201"/>
        </w:trPr>
        <w:tc>
          <w:tcPr>
            <w:tcW w:w="8200" w:type="dxa"/>
            <w:vAlign w:val="bottom"/>
            <w:gridSpan w:val="2"/>
          </w:tcPr>
          <w:p>
            <w:pPr>
              <w:spacing w:after="0" w:line="201" w:lineRule="exact"/>
              <w:rPr>
                <w:sz w:val="20"/>
                <w:szCs w:val="20"/>
                <w:color w:val="auto"/>
              </w:rPr>
            </w:pPr>
            <w:r>
              <w:rPr>
                <w:rFonts w:ascii="Arial" w:cs="Arial" w:eastAsia="Arial" w:hAnsi="Arial"/>
                <w:sz w:val="18"/>
                <w:szCs w:val="18"/>
                <w:color w:val="auto"/>
              </w:rPr>
              <w:t>Operating leases</w:t>
            </w:r>
          </w:p>
        </w:tc>
        <w:tc>
          <w:tcPr>
            <w:tcW w:w="3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0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32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 years</w:t>
            </w:r>
          </w:p>
        </w:tc>
        <w:tc>
          <w:tcPr>
            <w:tcW w:w="0" w:type="dxa"/>
            <w:vAlign w:val="bottom"/>
          </w:tcPr>
          <w:p>
            <w:pPr>
              <w:spacing w:after="0"/>
              <w:rPr>
                <w:sz w:val="1"/>
                <w:szCs w:val="1"/>
                <w:color w:val="auto"/>
              </w:rPr>
            </w:pPr>
          </w:p>
        </w:tc>
      </w:tr>
      <w:tr>
        <w:trPr>
          <w:trHeight w:val="177"/>
        </w:trPr>
        <w:tc>
          <w:tcPr>
            <w:tcW w:w="8200" w:type="dxa"/>
            <w:vAlign w:val="bottom"/>
            <w:tcBorders>
              <w:bottom w:val="single" w:sz="8" w:color="auto"/>
            </w:tcBorders>
            <w:gridSpan w:val="2"/>
          </w:tcPr>
          <w:p>
            <w:pPr>
              <w:spacing w:after="0"/>
              <w:rPr>
                <w:sz w:val="15"/>
                <w:szCs w:val="15"/>
                <w:color w:val="auto"/>
              </w:rPr>
            </w:pPr>
          </w:p>
        </w:tc>
        <w:tc>
          <w:tcPr>
            <w:tcW w:w="32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820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Weighted average discount rate</w:t>
            </w:r>
          </w:p>
        </w:tc>
        <w:tc>
          <w:tcPr>
            <w:tcW w:w="3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8200" w:type="dxa"/>
            <w:vAlign w:val="bottom"/>
            <w:gridSpan w:val="2"/>
          </w:tcPr>
          <w:p>
            <w:pPr>
              <w:spacing w:after="0" w:line="201" w:lineRule="exact"/>
              <w:rPr>
                <w:sz w:val="20"/>
                <w:szCs w:val="20"/>
                <w:color w:val="auto"/>
              </w:rPr>
            </w:pPr>
            <w:r>
              <w:rPr>
                <w:rFonts w:ascii="Arial" w:cs="Arial" w:eastAsia="Arial" w:hAnsi="Arial"/>
                <w:sz w:val="18"/>
                <w:szCs w:val="18"/>
                <w:color w:val="auto"/>
              </w:rPr>
              <w:t>Operating leases</w:t>
            </w:r>
          </w:p>
        </w:tc>
        <w:tc>
          <w:tcPr>
            <w:tcW w:w="32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820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auto"/>
            </w:tcBorders>
          </w:tcPr>
          <w:p>
            <w:pPr>
              <w:spacing w:after="0"/>
              <w:rPr>
                <w:sz w:val="16"/>
                <w:szCs w:val="16"/>
                <w:color w:val="auto"/>
              </w:rPr>
            </w:pPr>
          </w:p>
        </w:tc>
        <w:tc>
          <w:tcPr>
            <w:tcW w:w="818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Maturities of lease liabilities as of March 31, 2019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100" w:type="dxa"/>
            <w:vAlign w:val="bottom"/>
            <w:tcBorders>
              <w:top w:val="single" w:sz="8" w:color="auto"/>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Operating leases</w:t>
            </w:r>
          </w:p>
        </w:tc>
        <w:tc>
          <w:tcPr>
            <w:tcW w:w="24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Finance lease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line="173" w:lineRule="exact"/>
              <w:rPr>
                <w:sz w:val="20"/>
                <w:szCs w:val="20"/>
                <w:color w:val="auto"/>
              </w:rPr>
            </w:pPr>
            <w:r>
              <w:rPr>
                <w:rFonts w:ascii="Arial" w:cs="Arial" w:eastAsia="Arial" w:hAnsi="Arial"/>
                <w:sz w:val="18"/>
                <w:szCs w:val="18"/>
                <w:color w:val="auto"/>
              </w:rPr>
              <w:t>Year ending December 31,</w:t>
            </w:r>
          </w:p>
        </w:tc>
        <w:tc>
          <w:tcPr>
            <w:tcW w:w="51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$ 3,487</w:t>
            </w:r>
          </w:p>
        </w:tc>
        <w:tc>
          <w:tcPr>
            <w:tcW w:w="246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$ 2,057</w:t>
            </w:r>
          </w:p>
        </w:tc>
        <w:tc>
          <w:tcPr>
            <w:tcW w:w="0" w:type="dxa"/>
            <w:vAlign w:val="bottom"/>
          </w:tcPr>
          <w:p>
            <w:pPr>
              <w:spacing w:after="0"/>
              <w:rPr>
                <w:sz w:val="1"/>
                <w:szCs w:val="1"/>
                <w:color w:val="auto"/>
              </w:rPr>
            </w:pPr>
          </w:p>
        </w:tc>
      </w:tr>
      <w:tr>
        <w:trPr>
          <w:trHeight w:val="201"/>
        </w:trPr>
        <w:tc>
          <w:tcPr>
            <w:tcW w:w="3880" w:type="dxa"/>
            <w:vAlign w:val="bottom"/>
          </w:tcPr>
          <w:p>
            <w:pPr>
              <w:spacing w:after="0" w:line="201" w:lineRule="exact"/>
              <w:rPr>
                <w:sz w:val="20"/>
                <w:szCs w:val="20"/>
                <w:color w:val="auto"/>
              </w:rPr>
            </w:pPr>
            <w:r>
              <w:rPr>
                <w:rFonts w:ascii="Arial" w:cs="Arial" w:eastAsia="Arial" w:hAnsi="Arial"/>
                <w:sz w:val="18"/>
                <w:szCs w:val="18"/>
                <w:color w:val="auto"/>
              </w:rPr>
              <w:t>2019</w:t>
            </w:r>
          </w:p>
        </w:tc>
        <w:tc>
          <w:tcPr>
            <w:tcW w:w="5100" w:type="dxa"/>
            <w:vAlign w:val="bottom"/>
            <w:vMerge w:val="continue"/>
          </w:tcPr>
          <w:p>
            <w:pPr>
              <w:spacing w:after="0"/>
              <w:rPr>
                <w:sz w:val="17"/>
                <w:szCs w:val="17"/>
                <w:color w:val="auto"/>
              </w:rPr>
            </w:pPr>
          </w:p>
        </w:tc>
        <w:tc>
          <w:tcPr>
            <w:tcW w:w="2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2020</w:t>
            </w:r>
          </w:p>
        </w:tc>
        <w:tc>
          <w:tcPr>
            <w:tcW w:w="51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4,068</w:t>
            </w:r>
          </w:p>
        </w:tc>
        <w:tc>
          <w:tcPr>
            <w:tcW w:w="2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51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2,033</w:t>
            </w:r>
          </w:p>
        </w:tc>
        <w:tc>
          <w:tcPr>
            <w:tcW w:w="2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2,790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2022</w:t>
            </w:r>
          </w:p>
        </w:tc>
        <w:tc>
          <w:tcPr>
            <w:tcW w:w="51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1,419</w:t>
            </w:r>
          </w:p>
        </w:tc>
        <w:tc>
          <w:tcPr>
            <w:tcW w:w="2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2,838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510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1,346</w:t>
            </w:r>
          </w:p>
        </w:tc>
        <w:tc>
          <w:tcPr>
            <w:tcW w:w="244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Thereafter</w:t>
            </w:r>
          </w:p>
        </w:tc>
        <w:tc>
          <w:tcPr>
            <w:tcW w:w="5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3,047</w:t>
            </w:r>
          </w:p>
        </w:tc>
        <w:tc>
          <w:tcPr>
            <w:tcW w:w="2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15,512</w:t>
            </w: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8"/>
                <w:szCs w:val="18"/>
                <w:color w:val="auto"/>
              </w:rPr>
              <w:t>Total lease payments</w:t>
            </w:r>
          </w:p>
        </w:tc>
        <w:tc>
          <w:tcPr>
            <w:tcW w:w="5100" w:type="dxa"/>
            <w:vAlign w:val="bottom"/>
          </w:tcPr>
          <w:p>
            <w:pPr>
              <w:jc w:val="right"/>
              <w:ind w:right="310"/>
              <w:spacing w:after="0"/>
              <w:rPr>
                <w:sz w:val="20"/>
                <w:szCs w:val="20"/>
                <w:color w:val="auto"/>
              </w:rPr>
            </w:pPr>
            <w:r>
              <w:rPr>
                <w:rFonts w:ascii="Arial" w:cs="Arial" w:eastAsia="Arial" w:hAnsi="Arial"/>
                <w:sz w:val="18"/>
                <w:szCs w:val="18"/>
                <w:b w:val="1"/>
                <w:bCs w:val="1"/>
                <w:color w:val="auto"/>
              </w:rPr>
              <w:t>15,400</w:t>
            </w:r>
          </w:p>
        </w:tc>
        <w:tc>
          <w:tcPr>
            <w:tcW w:w="24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28,991</w:t>
            </w:r>
          </w:p>
        </w:tc>
        <w:tc>
          <w:tcPr>
            <w:tcW w:w="0" w:type="dxa"/>
            <w:vAlign w:val="bottom"/>
          </w:tcPr>
          <w:p>
            <w:pPr>
              <w:spacing w:after="0"/>
              <w:rPr>
                <w:sz w:val="1"/>
                <w:szCs w:val="1"/>
                <w:color w:val="auto"/>
              </w:rPr>
            </w:pPr>
          </w:p>
        </w:tc>
      </w:tr>
      <w:tr>
        <w:trPr>
          <w:trHeight w:val="355"/>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imputed interest</w:t>
            </w:r>
          </w:p>
        </w:tc>
        <w:tc>
          <w:tcPr>
            <w:tcW w:w="5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(2,283)</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(9,211)</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5100" w:type="dxa"/>
            <w:vAlign w:val="bottom"/>
          </w:tcPr>
          <w:p>
            <w:pPr>
              <w:jc w:val="right"/>
              <w:ind w:right="310"/>
              <w:spacing w:after="0"/>
              <w:rPr>
                <w:sz w:val="20"/>
                <w:szCs w:val="20"/>
                <w:color w:val="auto"/>
              </w:rPr>
            </w:pPr>
            <w:r>
              <w:rPr>
                <w:rFonts w:ascii="Arial" w:cs="Arial" w:eastAsia="Arial" w:hAnsi="Arial"/>
                <w:sz w:val="18"/>
                <w:szCs w:val="18"/>
                <w:b w:val="1"/>
                <w:bCs w:val="1"/>
                <w:color w:val="auto"/>
              </w:rPr>
              <w:t>$ 13,117</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$ 19,780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3880" w:type="dxa"/>
            <w:vAlign w:val="bottom"/>
            <w:tcBorders>
              <w:bottom w:val="single" w:sz="8" w:color="auto"/>
            </w:tcBorders>
          </w:tcPr>
          <w:p>
            <w:pPr>
              <w:spacing w:after="0"/>
              <w:rPr>
                <w:sz w:val="13"/>
                <w:szCs w:val="13"/>
                <w:color w:val="auto"/>
              </w:rPr>
            </w:pPr>
          </w:p>
        </w:tc>
        <w:tc>
          <w:tcPr>
            <w:tcW w:w="51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4"/>
        </w:trPr>
        <w:tc>
          <w:tcPr>
            <w:tcW w:w="3880" w:type="dxa"/>
            <w:vAlign w:val="bottom"/>
          </w:tcPr>
          <w:p>
            <w:pPr>
              <w:spacing w:after="0"/>
              <w:rPr>
                <w:sz w:val="24"/>
                <w:szCs w:val="24"/>
                <w:color w:val="auto"/>
              </w:rPr>
            </w:pPr>
          </w:p>
        </w:tc>
        <w:tc>
          <w:tcPr>
            <w:tcW w:w="510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14</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80" w:type="dxa"/>
            <w:vAlign w:val="bottom"/>
            <w:tcBorders>
              <w:bottom w:val="single" w:sz="8" w:color="auto"/>
            </w:tcBorders>
          </w:tcPr>
          <w:p>
            <w:pPr>
              <w:spacing w:after="0"/>
              <w:rPr>
                <w:sz w:val="12"/>
                <w:szCs w:val="12"/>
                <w:color w:val="auto"/>
              </w:rPr>
            </w:pPr>
          </w:p>
        </w:tc>
        <w:tc>
          <w:tcPr>
            <w:tcW w:w="510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14" w:name="page15"/>
    <w:bookmarkEnd w:id="14"/>
    <w:p>
      <w:pPr>
        <w:ind w:right="40" w:firstLine="648"/>
        <w:spacing w:after="0" w:line="248" w:lineRule="auto"/>
        <w:rPr>
          <w:sz w:val="20"/>
          <w:szCs w:val="20"/>
          <w:color w:val="auto"/>
        </w:rPr>
      </w:pPr>
      <w:r>
        <w:rPr>
          <w:rFonts w:ascii="Arial" w:cs="Arial" w:eastAsia="Arial" w:hAnsi="Arial"/>
          <w:sz w:val="18"/>
          <w:szCs w:val="18"/>
          <w:color w:val="auto"/>
        </w:rPr>
        <w:t>The finance lease liability includes the SLC lease described above, but excludes additional manufacturing space that was included in the September 2018 modification of that lease. We will take control of the additional space during the fourth quarter of 2019, which will be the commencement of this lease component, at which time the lease liability and ROU asset will be recorded. We will have control of the additional space through 2029 and the additional space will increase gross cash outflows during that period by $6.1 million.</w:t>
      </w:r>
    </w:p>
    <w:p>
      <w:pPr>
        <w:spacing w:after="0" w:line="130" w:lineRule="exact"/>
        <w:rPr>
          <w:sz w:val="20"/>
          <w:szCs w:val="20"/>
          <w:color w:val="auto"/>
        </w:rPr>
      </w:pPr>
    </w:p>
    <w:p>
      <w:pPr>
        <w:jc w:val="both"/>
        <w:ind w:right="100" w:firstLine="648"/>
        <w:spacing w:after="0" w:line="276" w:lineRule="auto"/>
        <w:rPr>
          <w:sz w:val="20"/>
          <w:szCs w:val="20"/>
          <w:color w:val="auto"/>
        </w:rPr>
      </w:pPr>
      <w:r>
        <w:rPr>
          <w:rFonts w:ascii="Arial" w:cs="Arial" w:eastAsia="Arial" w:hAnsi="Arial"/>
          <w:sz w:val="18"/>
          <w:szCs w:val="18"/>
          <w:color w:val="auto"/>
        </w:rPr>
        <w:t>As of December 31, 2018, future rental payments required under operating leases with initial or remaining non-cancelable lease terms in excess of one year, were: 2019, $4.6 million; 2020, $3.2 million; 2021, $2.1 million; 2022, $1.5 million; and 2023 and thereafter, $6.5 million.</w:t>
      </w:r>
    </w:p>
    <w:p>
      <w:pPr>
        <w:spacing w:after="0" w:line="118" w:lineRule="exact"/>
        <w:rPr>
          <w:sz w:val="20"/>
          <w:szCs w:val="20"/>
          <w:color w:val="auto"/>
        </w:rPr>
      </w:pPr>
    </w:p>
    <w:p>
      <w:pPr>
        <w:ind w:right="200" w:firstLine="648"/>
        <w:spacing w:after="0" w:line="276" w:lineRule="auto"/>
        <w:rPr>
          <w:sz w:val="20"/>
          <w:szCs w:val="20"/>
          <w:color w:val="auto"/>
        </w:rPr>
      </w:pPr>
      <w:r>
        <w:rPr>
          <w:rFonts w:ascii="Arial" w:cs="Arial" w:eastAsia="Arial" w:hAnsi="Arial"/>
          <w:sz w:val="18"/>
          <w:szCs w:val="18"/>
          <w:color w:val="auto"/>
        </w:rPr>
        <w:t>As of December 31, 2018, the following schedule presents future minimum annual payments under the SLC lease finance obligation, and the present value of the minimum payments: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40" w:type="dxa"/>
            <w:vAlign w:val="bottom"/>
            <w:tcBorders>
              <w:top w:val="single" w:sz="8" w:color="auto"/>
              <w:bottom w:val="single" w:sz="8" w:color="auto"/>
            </w:tcBorders>
          </w:tcPr>
          <w:p>
            <w:pPr>
              <w:spacing w:after="0"/>
              <w:rPr>
                <w:sz w:val="18"/>
                <w:szCs w:val="18"/>
                <w:color w:val="auto"/>
              </w:rPr>
            </w:pPr>
          </w:p>
        </w:tc>
        <w:tc>
          <w:tcPr>
            <w:tcW w:w="5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c>
          <w:tcPr>
            <w:tcW w:w="2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line="173" w:lineRule="exact"/>
              <w:rPr>
                <w:sz w:val="20"/>
                <w:szCs w:val="20"/>
                <w:color w:val="auto"/>
              </w:rPr>
            </w:pPr>
            <w:r>
              <w:rPr>
                <w:rFonts w:ascii="Arial" w:cs="Arial" w:eastAsia="Arial" w:hAnsi="Arial"/>
                <w:sz w:val="18"/>
                <w:szCs w:val="18"/>
                <w:color w:val="auto"/>
              </w:rPr>
              <w:t>Year ending December 31,</w:t>
            </w:r>
          </w:p>
        </w:tc>
        <w:tc>
          <w:tcPr>
            <w:tcW w:w="52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2019</w:t>
            </w:r>
          </w:p>
        </w:tc>
        <w:tc>
          <w:tcPr>
            <w:tcW w:w="5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$ 2,451</w:t>
            </w: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2020</w:t>
            </w:r>
          </w:p>
        </w:tc>
        <w:tc>
          <w:tcPr>
            <w:tcW w:w="5260" w:type="dxa"/>
            <w:vAlign w:val="bottom"/>
          </w:tcPr>
          <w:p>
            <w:pPr>
              <w:jc w:val="right"/>
              <w:spacing w:after="0" w:line="202" w:lineRule="exact"/>
              <w:rPr>
                <w:sz w:val="20"/>
                <w:szCs w:val="20"/>
                <w:color w:val="auto"/>
              </w:rPr>
            </w:pPr>
            <w:r>
              <w:rPr>
                <w:rFonts w:ascii="Arial" w:cs="Arial" w:eastAsia="Arial" w:hAnsi="Arial"/>
                <w:sz w:val="18"/>
                <w:szCs w:val="18"/>
                <w:color w:val="auto"/>
              </w:rPr>
              <w:t>2,974</w:t>
            </w:r>
          </w:p>
        </w:tc>
        <w:tc>
          <w:tcPr>
            <w:tcW w:w="20" w:type="dxa"/>
            <w:vAlign w:val="bottom"/>
          </w:tcPr>
          <w:p>
            <w:pPr>
              <w:spacing w:after="0"/>
              <w:rPr>
                <w:sz w:val="17"/>
                <w:szCs w:val="17"/>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2021</w:t>
            </w:r>
          </w:p>
        </w:tc>
        <w:tc>
          <w:tcPr>
            <w:tcW w:w="5260" w:type="dxa"/>
            <w:vAlign w:val="bottom"/>
          </w:tcPr>
          <w:p>
            <w:pPr>
              <w:jc w:val="right"/>
              <w:spacing w:after="0" w:line="202" w:lineRule="exact"/>
              <w:rPr>
                <w:sz w:val="20"/>
                <w:szCs w:val="20"/>
                <w:color w:val="auto"/>
              </w:rPr>
            </w:pPr>
            <w:r>
              <w:rPr>
                <w:rFonts w:ascii="Arial" w:cs="Arial" w:eastAsia="Arial" w:hAnsi="Arial"/>
                <w:sz w:val="18"/>
                <w:szCs w:val="18"/>
                <w:color w:val="auto"/>
              </w:rPr>
              <w:t>2,990</w:t>
            </w:r>
          </w:p>
        </w:tc>
        <w:tc>
          <w:tcPr>
            <w:tcW w:w="20" w:type="dxa"/>
            <w:vAlign w:val="bottom"/>
          </w:tcPr>
          <w:p>
            <w:pPr>
              <w:spacing w:after="0"/>
              <w:rPr>
                <w:sz w:val="17"/>
                <w:szCs w:val="17"/>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2022</w:t>
            </w:r>
          </w:p>
        </w:tc>
        <w:tc>
          <w:tcPr>
            <w:tcW w:w="5260" w:type="dxa"/>
            <w:vAlign w:val="bottom"/>
          </w:tcPr>
          <w:p>
            <w:pPr>
              <w:jc w:val="right"/>
              <w:spacing w:after="0" w:line="202" w:lineRule="exact"/>
              <w:rPr>
                <w:sz w:val="20"/>
                <w:szCs w:val="20"/>
                <w:color w:val="auto"/>
              </w:rPr>
            </w:pPr>
            <w:r>
              <w:rPr>
                <w:rFonts w:ascii="Arial" w:cs="Arial" w:eastAsia="Arial" w:hAnsi="Arial"/>
                <w:sz w:val="18"/>
                <w:szCs w:val="18"/>
                <w:color w:val="auto"/>
              </w:rPr>
              <w:t>3,054</w:t>
            </w:r>
          </w:p>
        </w:tc>
        <w:tc>
          <w:tcPr>
            <w:tcW w:w="20" w:type="dxa"/>
            <w:vAlign w:val="bottom"/>
          </w:tcPr>
          <w:p>
            <w:pPr>
              <w:spacing w:after="0"/>
              <w:rPr>
                <w:sz w:val="17"/>
                <w:szCs w:val="17"/>
                <w:color w:val="auto"/>
              </w:rPr>
            </w:pPr>
          </w:p>
        </w:tc>
      </w:tr>
      <w:tr>
        <w:trPr>
          <w:trHeight w:val="203"/>
        </w:trPr>
        <w:tc>
          <w:tcPr>
            <w:tcW w:w="6160" w:type="dxa"/>
            <w:vAlign w:val="bottom"/>
            <w:gridSpan w:val="2"/>
          </w:tcPr>
          <w:p>
            <w:pPr>
              <w:spacing w:after="0" w:line="202" w:lineRule="exact"/>
              <w:rPr>
                <w:sz w:val="20"/>
                <w:szCs w:val="20"/>
                <w:color w:val="auto"/>
              </w:rPr>
            </w:pPr>
            <w:r>
              <w:rPr>
                <w:rFonts w:ascii="Arial" w:cs="Arial" w:eastAsia="Arial" w:hAnsi="Arial"/>
                <w:sz w:val="18"/>
                <w:szCs w:val="18"/>
                <w:color w:val="auto"/>
              </w:rPr>
              <w:t>2023</w:t>
            </w:r>
          </w:p>
        </w:tc>
        <w:tc>
          <w:tcPr>
            <w:tcW w:w="5260" w:type="dxa"/>
            <w:vAlign w:val="bottom"/>
          </w:tcPr>
          <w:p>
            <w:pPr>
              <w:jc w:val="right"/>
              <w:spacing w:after="0" w:line="202" w:lineRule="exact"/>
              <w:rPr>
                <w:sz w:val="20"/>
                <w:szCs w:val="20"/>
                <w:color w:val="auto"/>
              </w:rPr>
            </w:pPr>
            <w:r>
              <w:rPr>
                <w:rFonts w:ascii="Arial" w:cs="Arial" w:eastAsia="Arial" w:hAnsi="Arial"/>
                <w:sz w:val="18"/>
                <w:szCs w:val="18"/>
                <w:color w:val="auto"/>
              </w:rPr>
              <w:t>3,277</w:t>
            </w:r>
          </w:p>
        </w:tc>
        <w:tc>
          <w:tcPr>
            <w:tcW w:w="20" w:type="dxa"/>
            <w:vAlign w:val="bottom"/>
          </w:tcPr>
          <w:p>
            <w:pPr>
              <w:spacing w:after="0"/>
              <w:rPr>
                <w:sz w:val="17"/>
                <w:szCs w:val="17"/>
                <w:color w:val="auto"/>
              </w:rPr>
            </w:pPr>
          </w:p>
        </w:tc>
      </w:tr>
      <w:tr>
        <w:trPr>
          <w:trHeight w:val="225"/>
        </w:trPr>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Thereafter</w:t>
            </w:r>
          </w:p>
        </w:tc>
        <w:tc>
          <w:tcPr>
            <w:tcW w:w="5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18,930</w:t>
            </w:r>
          </w:p>
        </w:tc>
      </w:tr>
      <w:tr>
        <w:trPr>
          <w:trHeight w:val="236"/>
        </w:trPr>
        <w:tc>
          <w:tcPr>
            <w:tcW w:w="6160" w:type="dxa"/>
            <w:vAlign w:val="bottom"/>
            <w:gridSpan w:val="2"/>
          </w:tcPr>
          <w:p>
            <w:pPr>
              <w:spacing w:after="0"/>
              <w:rPr>
                <w:sz w:val="20"/>
                <w:szCs w:val="20"/>
                <w:color w:val="auto"/>
              </w:rPr>
            </w:pPr>
            <w:r>
              <w:rPr>
                <w:rFonts w:ascii="Arial" w:cs="Arial" w:eastAsia="Arial" w:hAnsi="Arial"/>
                <w:sz w:val="18"/>
                <w:szCs w:val="18"/>
                <w:color w:val="auto"/>
              </w:rPr>
              <w:t>Total minimum payments</w:t>
            </w:r>
          </w:p>
        </w:tc>
        <w:tc>
          <w:tcPr>
            <w:tcW w:w="5280" w:type="dxa"/>
            <w:vAlign w:val="bottom"/>
            <w:gridSpan w:val="2"/>
          </w:tcPr>
          <w:p>
            <w:pPr>
              <w:jc w:val="right"/>
              <w:ind w:right="20"/>
              <w:spacing w:after="0"/>
              <w:rPr>
                <w:sz w:val="20"/>
                <w:szCs w:val="20"/>
                <w:color w:val="auto"/>
              </w:rPr>
            </w:pPr>
            <w:r>
              <w:rPr>
                <w:rFonts w:ascii="Arial" w:cs="Arial" w:eastAsia="Arial" w:hAnsi="Arial"/>
                <w:sz w:val="18"/>
                <w:szCs w:val="18"/>
                <w:color w:val="auto"/>
              </w:rPr>
              <w:t>33,676</w:t>
            </w:r>
          </w:p>
        </w:tc>
      </w:tr>
      <w:tr>
        <w:trPr>
          <w:trHeight w:val="365"/>
        </w:trPr>
        <w:tc>
          <w:tcPr>
            <w:tcW w:w="61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5280" w:type="dxa"/>
            <w:vAlign w:val="bottom"/>
            <w:gridSpan w:val="2"/>
          </w:tcPr>
          <w:p>
            <w:pPr>
              <w:jc w:val="right"/>
              <w:ind w:right="20"/>
              <w:spacing w:after="0"/>
              <w:rPr>
                <w:sz w:val="20"/>
                <w:szCs w:val="20"/>
                <w:color w:val="auto"/>
              </w:rPr>
            </w:pPr>
            <w:r>
              <w:rPr>
                <w:rFonts w:ascii="Arial" w:cs="Arial" w:eastAsia="Arial" w:hAnsi="Arial"/>
                <w:sz w:val="18"/>
                <w:szCs w:val="18"/>
                <w:color w:val="auto"/>
              </w:rPr>
              <w:t>(7,790)</w:t>
            </w:r>
          </w:p>
        </w:tc>
      </w:tr>
      <w:tr>
        <w:trPr>
          <w:trHeight w:val="236"/>
        </w:trPr>
        <w:tc>
          <w:tcPr>
            <w:tcW w:w="6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Total</w:t>
            </w:r>
          </w:p>
        </w:tc>
        <w:tc>
          <w:tcPr>
            <w:tcW w:w="5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$ 25,886</w:t>
            </w:r>
          </w:p>
        </w:tc>
        <w:tc>
          <w:tcPr>
            <w:tcW w:w="20" w:type="dxa"/>
            <w:vAlign w:val="bottom"/>
          </w:tcPr>
          <w:p>
            <w:pPr>
              <w:spacing w:after="0"/>
              <w:rPr>
                <w:sz w:val="20"/>
                <w:szCs w:val="20"/>
                <w:color w:val="auto"/>
              </w:rPr>
            </w:pPr>
          </w:p>
        </w:tc>
      </w:tr>
      <w:tr>
        <w:trPr>
          <w:trHeight w:val="169"/>
        </w:trPr>
        <w:tc>
          <w:tcPr>
            <w:tcW w:w="20" w:type="dxa"/>
            <w:vAlign w:val="bottom"/>
            <w:tcBorders>
              <w:bottom w:val="single" w:sz="8" w:color="auto"/>
            </w:tcBorders>
          </w:tcPr>
          <w:p>
            <w:pPr>
              <w:spacing w:after="0"/>
              <w:rPr>
                <w:sz w:val="14"/>
                <w:szCs w:val="14"/>
                <w:color w:val="auto"/>
              </w:rPr>
            </w:pPr>
          </w:p>
        </w:tc>
        <w:tc>
          <w:tcPr>
            <w:tcW w:w="6140" w:type="dxa"/>
            <w:vAlign w:val="bottom"/>
            <w:tcBorders>
              <w:bottom w:val="single" w:sz="8" w:color="auto"/>
            </w:tcBorders>
          </w:tcPr>
          <w:p>
            <w:pPr>
              <w:spacing w:after="0"/>
              <w:rPr>
                <w:sz w:val="14"/>
                <w:szCs w:val="14"/>
                <w:color w:val="auto"/>
              </w:rPr>
            </w:pPr>
          </w:p>
        </w:tc>
        <w:tc>
          <w:tcPr>
            <w:tcW w:w="5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bl>
    <w:p>
      <w:pPr>
        <w:spacing w:after="0" w:line="355" w:lineRule="exact"/>
        <w:rPr>
          <w:sz w:val="20"/>
          <w:szCs w:val="20"/>
          <w:color w:val="auto"/>
        </w:rPr>
      </w:pPr>
    </w:p>
    <w:p>
      <w:pPr>
        <w:ind w:right="60" w:firstLine="648"/>
        <w:spacing w:after="0" w:line="276" w:lineRule="auto"/>
        <w:rPr>
          <w:sz w:val="20"/>
          <w:szCs w:val="20"/>
          <w:color w:val="auto"/>
        </w:rPr>
      </w:pPr>
      <w:r>
        <w:rPr>
          <w:rFonts w:ascii="Arial" w:cs="Arial" w:eastAsia="Arial" w:hAnsi="Arial"/>
          <w:sz w:val="18"/>
          <w:szCs w:val="18"/>
          <w:color w:val="auto"/>
        </w:rPr>
        <w:t>As of December 31, 2018, the capitalized value associated with the SLC lease was included in Property, plant, and equipment, net at a value of $17.3 million, which included a gross cost of $20.8 million, and Accumulated depreciation of $3.5 million.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 Pensions and Other Postretirement Benefit Plans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Pension Plans</w:t>
      </w:r>
    </w:p>
    <w:p>
      <w:pPr>
        <w:spacing w:after="0" w:line="183" w:lineRule="exact"/>
        <w:rPr>
          <w:sz w:val="20"/>
          <w:szCs w:val="20"/>
          <w:color w:val="auto"/>
        </w:rPr>
      </w:pPr>
    </w:p>
    <w:p>
      <w:pPr>
        <w:ind w:right="180" w:firstLine="648"/>
        <w:spacing w:after="0" w:line="245" w:lineRule="auto"/>
        <w:rPr>
          <w:sz w:val="20"/>
          <w:szCs w:val="20"/>
          <w:color w:val="auto"/>
        </w:rPr>
      </w:pPr>
      <w:r>
        <w:rPr>
          <w:rFonts w:ascii="Arial" w:cs="Arial" w:eastAsia="Arial" w:hAnsi="Arial"/>
          <w:sz w:val="18"/>
          <w:szCs w:val="18"/>
          <w:color w:val="auto"/>
        </w:rPr>
        <w:t>The Company has defined benefit pension plans covering certain U.S. and non-U.S. employees. The U.S. qualified defined benefit pension plan has been closed to new participants since October 1998, and benefits accrued under this plan have been frozen since February 2009. As a result of the freeze, employees covered by the pension plan will receive, at retirement, benefits already accrued through February 2009 but no new benefits accrue after that date. Benefit accruals under the U.S. Supplemental Executive Retirement Plan ("SERP") were similarly frozen. The eligibility, benefit formulas, and contribution requirements for plans outside of the U.S. vary by location.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Postretirement Benefits</w:t>
      </w:r>
    </w:p>
    <w:p>
      <w:pPr>
        <w:spacing w:after="0" w:line="169" w:lineRule="exact"/>
        <w:rPr>
          <w:sz w:val="20"/>
          <w:szCs w:val="20"/>
          <w:color w:val="auto"/>
        </w:rPr>
      </w:pPr>
    </w:p>
    <w:p>
      <w:pPr>
        <w:jc w:val="both"/>
        <w:ind w:right="220" w:firstLine="648"/>
        <w:spacing w:after="0" w:line="255" w:lineRule="auto"/>
        <w:rPr>
          <w:sz w:val="20"/>
          <w:szCs w:val="20"/>
          <w:color w:val="auto"/>
        </w:rPr>
      </w:pPr>
      <w:r>
        <w:rPr>
          <w:rFonts w:ascii="Arial" w:cs="Arial" w:eastAsia="Arial" w:hAnsi="Arial"/>
          <w:sz w:val="18"/>
          <w:szCs w:val="18"/>
          <w:color w:val="auto"/>
        </w:rPr>
        <w:t>The Company also provides certain postretirement benefits to retired employees in the U.S. and Canada. The Company accrues the cost of providing postretirement benefits during the active service period of the employees. The Company currently funds the plans as claims are paid.</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5" w:name="page16"/>
    <w:bookmarkEnd w:id="15"/>
    <w:p>
      <w:pPr>
        <w:ind w:left="660"/>
        <w:spacing w:after="0"/>
        <w:rPr>
          <w:sz w:val="20"/>
          <w:szCs w:val="20"/>
          <w:color w:val="auto"/>
        </w:rPr>
      </w:pPr>
      <w:r>
        <w:rPr>
          <w:rFonts w:ascii="Arial" w:cs="Arial" w:eastAsia="Arial" w:hAnsi="Arial"/>
          <w:sz w:val="18"/>
          <w:szCs w:val="18"/>
          <w:color w:val="auto"/>
        </w:rPr>
        <w:t>The composition of the net periodic benefit cost for the three months ended March 31, 2019 and 2018, was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54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Pension plans</w:t>
            </w:r>
          </w:p>
        </w:tc>
        <w:tc>
          <w:tcPr>
            <w:tcW w:w="120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2"/>
          </w:tcPr>
          <w:p>
            <w:pPr>
              <w:jc w:val="right"/>
              <w:ind w:right="70"/>
              <w:spacing w:after="0" w:line="191" w:lineRule="exact"/>
              <w:rPr>
                <w:sz w:val="20"/>
                <w:szCs w:val="20"/>
                <w:color w:val="auto"/>
              </w:rPr>
            </w:pPr>
            <w:r>
              <w:rPr>
                <w:rFonts w:ascii="Arial" w:cs="Arial" w:eastAsia="Arial" w:hAnsi="Arial"/>
                <w:sz w:val="18"/>
                <w:szCs w:val="18"/>
                <w:b w:val="1"/>
                <w:bCs w:val="1"/>
                <w:color w:val="auto"/>
              </w:rPr>
              <w:t>Other postretirement benefits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64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2019</w:t>
            </w: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540" w:type="dxa"/>
            <w:vAlign w:val="bottom"/>
          </w:tcPr>
          <w:p>
            <w:pPr>
              <w:spacing w:after="0" w:line="173" w:lineRule="exact"/>
              <w:rPr>
                <w:sz w:val="20"/>
                <w:szCs w:val="20"/>
                <w:color w:val="auto"/>
              </w:rPr>
            </w:pPr>
            <w:r>
              <w:rPr>
                <w:rFonts w:ascii="Arial" w:cs="Arial" w:eastAsia="Arial" w:hAnsi="Arial"/>
                <w:sz w:val="18"/>
                <w:szCs w:val="18"/>
                <w:color w:val="auto"/>
              </w:rPr>
              <w:t>Components of net periodic benefit cost:</w:t>
            </w:r>
          </w:p>
        </w:tc>
        <w:tc>
          <w:tcPr>
            <w:tcW w:w="29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$632</w:t>
            </w:r>
          </w:p>
        </w:tc>
        <w:tc>
          <w:tcPr>
            <w:tcW w:w="1200" w:type="dxa"/>
            <w:vAlign w:val="bottom"/>
          </w:tcPr>
          <w:p>
            <w:pPr>
              <w:spacing w:after="0"/>
              <w:rPr>
                <w:sz w:val="15"/>
                <w:szCs w:val="15"/>
                <w:color w:val="auto"/>
              </w:rPr>
            </w:pPr>
          </w:p>
        </w:tc>
        <w:tc>
          <w:tcPr>
            <w:tcW w:w="164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$47</w:t>
            </w:r>
          </w:p>
        </w:tc>
        <w:tc>
          <w:tcPr>
            <w:tcW w:w="1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540" w:type="dxa"/>
            <w:vAlign w:val="bottom"/>
          </w:tcPr>
          <w:p>
            <w:pPr>
              <w:spacing w:after="0" w:line="201" w:lineRule="exact"/>
              <w:rPr>
                <w:sz w:val="20"/>
                <w:szCs w:val="20"/>
                <w:color w:val="auto"/>
              </w:rPr>
            </w:pPr>
            <w:r>
              <w:rPr>
                <w:rFonts w:ascii="Arial" w:cs="Arial" w:eastAsia="Arial" w:hAnsi="Arial"/>
                <w:sz w:val="18"/>
                <w:szCs w:val="18"/>
                <w:color w:val="auto"/>
              </w:rPr>
              <w:t>Service cost</w:t>
            </w:r>
          </w:p>
        </w:tc>
        <w:tc>
          <w:tcPr>
            <w:tcW w:w="2920" w:type="dxa"/>
            <w:vAlign w:val="bottom"/>
            <w:vMerge w:val="continue"/>
          </w:tcPr>
          <w:p>
            <w:pPr>
              <w:spacing w:after="0"/>
              <w:rPr>
                <w:sz w:val="17"/>
                <w:szCs w:val="17"/>
                <w:color w:val="auto"/>
              </w:rPr>
            </w:pPr>
          </w:p>
        </w:tc>
        <w:tc>
          <w:tcPr>
            <w:tcW w:w="1200" w:type="dxa"/>
            <w:vAlign w:val="bottom"/>
          </w:tcPr>
          <w:p>
            <w:pPr>
              <w:jc w:val="right"/>
              <w:spacing w:after="0" w:line="201" w:lineRule="exact"/>
              <w:rPr>
                <w:sz w:val="20"/>
                <w:szCs w:val="20"/>
                <w:color w:val="auto"/>
              </w:rPr>
            </w:pPr>
            <w:r>
              <w:rPr>
                <w:rFonts w:ascii="Arial" w:cs="Arial" w:eastAsia="Arial" w:hAnsi="Arial"/>
                <w:sz w:val="18"/>
                <w:szCs w:val="18"/>
                <w:color w:val="auto"/>
              </w:rPr>
              <w:t>$699</w:t>
            </w:r>
          </w:p>
        </w:tc>
        <w:tc>
          <w:tcPr>
            <w:tcW w:w="1640" w:type="dxa"/>
            <w:vAlign w:val="bottom"/>
            <w:vMerge w:val="continue"/>
          </w:tcPr>
          <w:p>
            <w:pPr>
              <w:spacing w:after="0"/>
              <w:rPr>
                <w:sz w:val="17"/>
                <w:szCs w:val="17"/>
                <w:color w:val="auto"/>
              </w:rPr>
            </w:pPr>
          </w:p>
        </w:tc>
        <w:tc>
          <w:tcPr>
            <w:tcW w:w="1120" w:type="dxa"/>
            <w:vAlign w:val="bottom"/>
          </w:tcPr>
          <w:p>
            <w:pPr>
              <w:jc w:val="right"/>
              <w:spacing w:after="0" w:line="201"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29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1,794</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1,820</w:t>
            </w:r>
          </w:p>
        </w:tc>
        <w:tc>
          <w:tcPr>
            <w:tcW w:w="16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528</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507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Expected return on assets</w:t>
            </w:r>
          </w:p>
        </w:tc>
        <w:tc>
          <w:tcPr>
            <w:tcW w:w="29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(2,057)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(2,247)</w:t>
            </w:r>
          </w:p>
        </w:tc>
        <w:tc>
          <w:tcPr>
            <w:tcW w:w="16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spacing w:after="0" w:line="202" w:lineRule="exact"/>
              <w:rPr>
                <w:sz w:val="20"/>
                <w:szCs w:val="20"/>
                <w:color w:val="auto"/>
              </w:rPr>
            </w:pPr>
            <w:r>
              <w:rPr>
                <w:rFonts w:ascii="Arial" w:cs="Arial" w:eastAsia="Arial" w:hAnsi="Arial"/>
                <w:sz w:val="18"/>
                <w:szCs w:val="18"/>
                <w:color w:val="auto"/>
              </w:rPr>
              <w:t>Amortization of prior service cost/(credit)</w:t>
            </w:r>
          </w:p>
        </w:tc>
        <w:tc>
          <w:tcPr>
            <w:tcW w:w="292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17</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8</w:t>
            </w:r>
          </w:p>
        </w:tc>
        <w:tc>
          <w:tcPr>
            <w:tcW w:w="164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(1,122)</w:t>
            </w:r>
          </w:p>
        </w:tc>
        <w:tc>
          <w:tcPr>
            <w:tcW w:w="11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(1,122)</w:t>
            </w:r>
          </w:p>
        </w:tc>
        <w:tc>
          <w:tcPr>
            <w:tcW w:w="0" w:type="dxa"/>
            <w:vAlign w:val="bottom"/>
          </w:tcPr>
          <w:p>
            <w:pPr>
              <w:spacing w:after="0"/>
              <w:rPr>
                <w:sz w:val="1"/>
                <w:szCs w:val="1"/>
                <w:color w:val="auto"/>
              </w:rPr>
            </w:pPr>
          </w:p>
        </w:tc>
      </w:tr>
      <w:tr>
        <w:trPr>
          <w:trHeight w:val="227"/>
        </w:trPr>
        <w:tc>
          <w:tcPr>
            <w:tcW w:w="4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Amortization of net actuarial loss</w:t>
            </w:r>
          </w:p>
        </w:tc>
        <w:tc>
          <w:tcPr>
            <w:tcW w:w="2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564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557</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4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benefit cost</w:t>
            </w:r>
          </w:p>
        </w:tc>
        <w:tc>
          <w:tcPr>
            <w:tcW w:w="292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b w:val="1"/>
                <w:bCs w:val="1"/>
                <w:color w:val="auto"/>
              </w:rPr>
              <w:t>$950</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$838</w:t>
            </w:r>
          </w:p>
        </w:tc>
        <w:tc>
          <w:tcPr>
            <w:tcW w:w="16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b w:val="1"/>
                <w:bCs w:val="1"/>
                <w:color w:val="auto"/>
              </w:rPr>
              <w:t>$10</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Service cost for defined benefit pension and postretirement plans are reported in the same line item or items as other compensation costs arising from services rendered by the pertinent employees during the period. Other components of net periodic benefit cost are presented in the income statement separately from the service cost component and outside a subtotal of income from operations, in the line item Other (income)/expense, net in the Consolidated Statements of Income.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 Restructuring</w:t>
      </w:r>
    </w:p>
    <w:p>
      <w:pPr>
        <w:spacing w:after="0" w:line="171" w:lineRule="exact"/>
        <w:rPr>
          <w:sz w:val="20"/>
          <w:szCs w:val="20"/>
          <w:color w:val="auto"/>
        </w:rPr>
      </w:pPr>
    </w:p>
    <w:p>
      <w:pPr>
        <w:ind w:right="140" w:firstLine="648"/>
        <w:spacing w:after="0" w:line="245" w:lineRule="auto"/>
        <w:rPr>
          <w:sz w:val="20"/>
          <w:szCs w:val="20"/>
          <w:color w:val="auto"/>
        </w:rPr>
      </w:pPr>
      <w:r>
        <w:rPr>
          <w:rFonts w:ascii="Arial" w:cs="Arial" w:eastAsia="Arial" w:hAnsi="Arial"/>
          <w:sz w:val="18"/>
          <w:szCs w:val="18"/>
          <w:color w:val="auto"/>
        </w:rPr>
        <w:t>MC restructuring charges include expenses for the first three months of 2019 and 2018 related to discontinued operations at its MC production facility in Sélestat, France. In 2018, the plan was approved by the French Labor Ministry which led to restructuring expense of $8.1 million in the first three months of 2018 for severance and outplacement costs for the approximately 50 positions that were terminated under this plan. In the first quarter of 2019, restructuring charges were $0.4 million. Since 2017, we have recorded $12.1 million of restructuring charges related to this action.</w:t>
      </w:r>
    </w:p>
    <w:p>
      <w:pPr>
        <w:spacing w:after="0" w:line="14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AEC restructuring charges include expenses for the first three months of 2019 and 2018 related to work force reductions in AEC locations in Salt Lake City, Utah and Rochester, New Hampshire. The restructuring charges for the first three months of 2019 and 2018 include expenses of $0.1 million and $0.2 million, respectively.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charges reported in the Consolidated Statements of Income under “Restructuring expenses, net”: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80" w:type="dxa"/>
            <w:vAlign w:val="bottom"/>
            <w:tcBorders>
              <w:top w:val="single" w:sz="8" w:color="auto"/>
            </w:tcBorders>
          </w:tcPr>
          <w:p>
            <w:pPr>
              <w:spacing w:after="0"/>
              <w:rPr>
                <w:sz w:val="17"/>
                <w:szCs w:val="17"/>
                <w:color w:val="auto"/>
              </w:rPr>
            </w:pPr>
          </w:p>
        </w:tc>
        <w:tc>
          <w:tcPr>
            <w:tcW w:w="7340" w:type="dxa"/>
            <w:vAlign w:val="bottom"/>
            <w:tcBorders>
              <w:top w:val="single" w:sz="8" w:color="auto"/>
            </w:tcBorders>
            <w:gridSpan w:val="2"/>
          </w:tcPr>
          <w:p>
            <w:pPr>
              <w:jc w:val="right"/>
              <w:ind w:right="350"/>
              <w:spacing w:after="0" w:line="205" w:lineRule="exact"/>
              <w:rPr>
                <w:sz w:val="20"/>
                <w:szCs w:val="20"/>
                <w:color w:val="auto"/>
              </w:rPr>
            </w:pPr>
            <w:r>
              <w:rPr>
                <w:rFonts w:ascii="Arial" w:cs="Arial" w:eastAsia="Arial" w:hAnsi="Arial"/>
                <w:sz w:val="18"/>
                <w:szCs w:val="18"/>
                <w:b w:val="1"/>
                <w:bCs w:val="1"/>
                <w:color w:val="auto"/>
              </w:rPr>
              <w:t>Three months ended March 31,</w:t>
            </w:r>
          </w:p>
        </w:tc>
        <w:tc>
          <w:tcPr>
            <w:tcW w:w="40" w:type="dxa"/>
            <w:vAlign w:val="bottom"/>
            <w:gridSpan w:val="2"/>
          </w:tcPr>
          <w:p>
            <w:pPr>
              <w:spacing w:after="0"/>
              <w:rPr>
                <w:sz w:val="17"/>
                <w:szCs w:val="17"/>
                <w:color w:val="auto"/>
              </w:rPr>
            </w:pPr>
          </w:p>
        </w:tc>
      </w:tr>
      <w:tr>
        <w:trPr>
          <w:trHeight w:val="22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60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2019</w:t>
            </w: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408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6040" w:type="dxa"/>
            <w:vAlign w:val="bottom"/>
          </w:tcPr>
          <w:p>
            <w:pPr>
              <w:jc w:val="right"/>
              <w:ind w:right="210"/>
              <w:spacing w:after="0" w:line="171" w:lineRule="exact"/>
              <w:rPr>
                <w:sz w:val="20"/>
                <w:szCs w:val="20"/>
                <w:color w:val="auto"/>
              </w:rPr>
            </w:pPr>
            <w:r>
              <w:rPr>
                <w:rFonts w:ascii="Arial" w:cs="Arial" w:eastAsia="Arial" w:hAnsi="Arial"/>
                <w:sz w:val="18"/>
                <w:szCs w:val="18"/>
                <w:b w:val="1"/>
                <w:bCs w:val="1"/>
                <w:color w:val="auto"/>
              </w:rPr>
              <w:t>$401</w:t>
            </w:r>
          </w:p>
        </w:tc>
        <w:tc>
          <w:tcPr>
            <w:tcW w:w="1300" w:type="dxa"/>
            <w:vAlign w:val="bottom"/>
          </w:tcPr>
          <w:p>
            <w:pPr>
              <w:jc w:val="right"/>
              <w:spacing w:after="0" w:line="171" w:lineRule="exact"/>
              <w:rPr>
                <w:sz w:val="20"/>
                <w:szCs w:val="20"/>
                <w:color w:val="auto"/>
              </w:rPr>
            </w:pPr>
            <w:r>
              <w:rPr>
                <w:rFonts w:ascii="Arial" w:cs="Arial" w:eastAsia="Arial" w:hAnsi="Arial"/>
                <w:sz w:val="18"/>
                <w:szCs w:val="18"/>
                <w:color w:val="auto"/>
              </w:rPr>
              <w:t>$8,352</w:t>
            </w:r>
          </w:p>
        </w:tc>
        <w:tc>
          <w:tcPr>
            <w:tcW w:w="40" w:type="dxa"/>
            <w:vAlign w:val="bottom"/>
            <w:gridSpan w:val="2"/>
          </w:tcPr>
          <w:p>
            <w:pPr>
              <w:spacing w:after="0"/>
              <w:rPr>
                <w:sz w:val="14"/>
                <w:szCs w:val="14"/>
                <w:color w:val="auto"/>
              </w:rPr>
            </w:pPr>
          </w:p>
        </w:tc>
      </w:tr>
      <w:tr>
        <w:trPr>
          <w:trHeight w:val="203"/>
        </w:trPr>
        <w:tc>
          <w:tcPr>
            <w:tcW w:w="408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6040" w:type="dxa"/>
            <w:vAlign w:val="bottom"/>
          </w:tcPr>
          <w:p>
            <w:pPr>
              <w:jc w:val="right"/>
              <w:ind w:right="210"/>
              <w:spacing w:after="0" w:line="202" w:lineRule="exact"/>
              <w:rPr>
                <w:sz w:val="20"/>
                <w:szCs w:val="20"/>
                <w:color w:val="auto"/>
              </w:rPr>
            </w:pPr>
            <w:r>
              <w:rPr>
                <w:rFonts w:ascii="Arial" w:cs="Arial" w:eastAsia="Arial" w:hAnsi="Arial"/>
                <w:sz w:val="18"/>
                <w:szCs w:val="18"/>
                <w:b w:val="1"/>
                <w:bCs w:val="1"/>
                <w:color w:val="auto"/>
              </w:rPr>
              <w:t>83</w:t>
            </w:r>
          </w:p>
        </w:tc>
        <w:tc>
          <w:tcPr>
            <w:tcW w:w="13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w:t>
            </w:r>
          </w:p>
        </w:tc>
        <w:tc>
          <w:tcPr>
            <w:tcW w:w="20" w:type="dxa"/>
            <w:vAlign w:val="bottom"/>
          </w:tcPr>
          <w:p>
            <w:pPr>
              <w:spacing w:after="0"/>
              <w:rPr>
                <w:sz w:val="17"/>
                <w:szCs w:val="17"/>
                <w:color w:val="auto"/>
              </w:rPr>
            </w:pPr>
          </w:p>
        </w:tc>
      </w:tr>
      <w:tr>
        <w:trPr>
          <w:trHeight w:val="227"/>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6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03"/>
        </w:trPr>
        <w:tc>
          <w:tcPr>
            <w:tcW w:w="4080" w:type="dxa"/>
            <w:vAlign w:val="bottom"/>
          </w:tcPr>
          <w:p>
            <w:pPr>
              <w:ind w:left="60"/>
              <w:spacing w:after="0" w:line="196" w:lineRule="exact"/>
              <w:rPr>
                <w:sz w:val="20"/>
                <w:szCs w:val="20"/>
                <w:color w:val="auto"/>
              </w:rPr>
            </w:pPr>
            <w:r>
              <w:rPr>
                <w:rFonts w:ascii="Arial" w:cs="Arial" w:eastAsia="Arial" w:hAnsi="Arial"/>
                <w:sz w:val="18"/>
                <w:szCs w:val="18"/>
                <w:color w:val="auto"/>
              </w:rPr>
              <w:t>Total</w:t>
            </w:r>
          </w:p>
        </w:tc>
        <w:tc>
          <w:tcPr>
            <w:tcW w:w="6040" w:type="dxa"/>
            <w:vAlign w:val="bottom"/>
          </w:tcPr>
          <w:p>
            <w:pPr>
              <w:jc w:val="right"/>
              <w:ind w:right="210"/>
              <w:spacing w:after="0" w:line="196" w:lineRule="exact"/>
              <w:rPr>
                <w:sz w:val="20"/>
                <w:szCs w:val="20"/>
                <w:color w:val="auto"/>
              </w:rPr>
            </w:pPr>
            <w:r>
              <w:rPr>
                <w:rFonts w:ascii="Arial" w:cs="Arial" w:eastAsia="Arial" w:hAnsi="Arial"/>
                <w:sz w:val="18"/>
                <w:szCs w:val="18"/>
                <w:b w:val="1"/>
                <w:bCs w:val="1"/>
                <w:color w:val="auto"/>
              </w:rPr>
              <w:t>$484</w:t>
            </w:r>
          </w:p>
        </w:tc>
        <w:tc>
          <w:tcPr>
            <w:tcW w:w="1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$8,573</w:t>
            </w:r>
          </w:p>
        </w:tc>
        <w:tc>
          <w:tcPr>
            <w:tcW w:w="20" w:type="dxa"/>
            <w:vAlign w:val="bottom"/>
          </w:tcPr>
          <w:p>
            <w:pPr>
              <w:spacing w:after="0"/>
              <w:rPr>
                <w:sz w:val="17"/>
                <w:szCs w:val="17"/>
                <w:color w:val="auto"/>
              </w:rPr>
            </w:pPr>
          </w:p>
        </w:tc>
      </w:tr>
      <w:tr>
        <w:trPr>
          <w:trHeight w:val="324"/>
        </w:trPr>
        <w:tc>
          <w:tcPr>
            <w:tcW w:w="4080" w:type="dxa"/>
            <w:vAlign w:val="bottom"/>
            <w:tcBorders>
              <w:top w:val="single" w:sz="8" w:color="auto"/>
            </w:tcBorders>
          </w:tcPr>
          <w:p>
            <w:pPr>
              <w:spacing w:after="0"/>
              <w:rPr>
                <w:sz w:val="24"/>
                <w:szCs w:val="24"/>
                <w:color w:val="auto"/>
              </w:rPr>
            </w:pPr>
          </w:p>
        </w:tc>
        <w:tc>
          <w:tcPr>
            <w:tcW w:w="6040" w:type="dxa"/>
            <w:vAlign w:val="bottom"/>
            <w:tcBorders>
              <w:top w:val="single" w:sz="8" w:color="auto"/>
            </w:tcBorders>
          </w:tcPr>
          <w:p>
            <w:pPr>
              <w:jc w:val="right"/>
              <w:ind w:right="4230"/>
              <w:spacing w:after="0"/>
              <w:rPr>
                <w:sz w:val="20"/>
                <w:szCs w:val="20"/>
                <w:color w:val="auto"/>
              </w:rPr>
            </w:pPr>
            <w:r>
              <w:rPr>
                <w:rFonts w:ascii="Times New Roman" w:cs="Times New Roman" w:eastAsia="Times New Roman" w:hAnsi="Times New Roman"/>
                <w:sz w:val="18"/>
                <w:szCs w:val="18"/>
                <w:color w:val="auto"/>
              </w:rPr>
              <w:t>16</w:t>
            </w: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080" w:type="dxa"/>
            <w:vAlign w:val="bottom"/>
            <w:tcBorders>
              <w:bottom w:val="single" w:sz="8" w:color="auto"/>
            </w:tcBorders>
          </w:tcPr>
          <w:p>
            <w:pPr>
              <w:spacing w:after="0"/>
              <w:rPr>
                <w:sz w:val="12"/>
                <w:szCs w:val="12"/>
                <w:color w:val="auto"/>
              </w:rPr>
            </w:pPr>
          </w:p>
        </w:tc>
        <w:tc>
          <w:tcPr>
            <w:tcW w:w="60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ectPr>
          <w:pgSz w:w="11900" w:h="16838" w:orient="portrait"/>
          <w:cols w:equalWidth="0" w:num="1">
            <w:col w:w="11420"/>
          </w:cols>
          <w:pgMar w:left="240" w:top="468"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16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tcPr>
          <w:p>
            <w:pPr>
              <w:ind w:left="2520"/>
              <w:spacing w:after="0" w:line="191" w:lineRule="exact"/>
              <w:rPr>
                <w:sz w:val="20"/>
                <w:szCs w:val="20"/>
                <w:color w:val="auto"/>
              </w:rPr>
            </w:pPr>
            <w:r>
              <w:rPr>
                <w:rFonts w:ascii="Arial" w:cs="Arial" w:eastAsia="Arial" w:hAnsi="Arial"/>
                <w:sz w:val="18"/>
                <w:szCs w:val="18"/>
                <w:b w:val="1"/>
                <w:bCs w:val="1"/>
                <w:color w:val="auto"/>
              </w:rPr>
              <w:t>Total</w:t>
            </w:r>
          </w:p>
        </w:tc>
        <w:tc>
          <w:tcPr>
            <w:tcW w:w="96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Termination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b w:val="1"/>
                <w:bCs w:val="1"/>
                <w:color w:val="auto"/>
              </w:rPr>
              <w:t>Three months ended March 31, 2019</w:t>
            </w:r>
          </w:p>
        </w:tc>
        <w:tc>
          <w:tcPr>
            <w:tcW w:w="3420" w:type="dxa"/>
            <w:vAlign w:val="bottom"/>
          </w:tcPr>
          <w:p>
            <w:pPr>
              <w:jc w:val="center"/>
              <w:ind w:left="189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960" w:type="dxa"/>
            <w:vAlign w:val="bottom"/>
          </w:tcPr>
          <w:p>
            <w:pPr>
              <w:spacing w:after="0"/>
              <w:rPr>
                <w:sz w:val="17"/>
                <w:szCs w:val="17"/>
                <w:color w:val="auto"/>
              </w:rPr>
            </w:pPr>
          </w:p>
        </w:tc>
        <w:tc>
          <w:tcPr>
            <w:tcW w:w="1900" w:type="dxa"/>
            <w:vAlign w:val="bottom"/>
            <w:gridSpan w:val="2"/>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and other</w:t>
            </w:r>
          </w:p>
        </w:tc>
        <w:tc>
          <w:tcPr>
            <w:tcW w:w="0" w:type="dxa"/>
            <w:vAlign w:val="bottom"/>
          </w:tcPr>
          <w:p>
            <w:pPr>
              <w:spacing w:after="0"/>
              <w:rPr>
                <w:sz w:val="1"/>
                <w:szCs w:val="1"/>
                <w:color w:val="auto"/>
              </w:rPr>
            </w:pPr>
          </w:p>
        </w:tc>
      </w:tr>
      <w:tr>
        <w:trPr>
          <w:trHeight w:val="253"/>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42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costs incurred</w:t>
            </w:r>
          </w:p>
        </w:tc>
        <w:tc>
          <w:tcPr>
            <w:tcW w:w="960" w:type="dxa"/>
            <w:vAlign w:val="bottom"/>
          </w:tcPr>
          <w:p>
            <w:pPr>
              <w:spacing w:after="0"/>
              <w:rPr>
                <w:sz w:val="21"/>
                <w:szCs w:val="21"/>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costs</w:t>
            </w:r>
          </w:p>
        </w:tc>
        <w:tc>
          <w:tcPr>
            <w:tcW w:w="0" w:type="dxa"/>
            <w:vAlign w:val="bottom"/>
          </w:tcPr>
          <w:p>
            <w:pPr>
              <w:spacing w:after="0"/>
              <w:rPr>
                <w:sz w:val="1"/>
                <w:szCs w:val="1"/>
                <w:color w:val="auto"/>
              </w:rPr>
            </w:pPr>
          </w:p>
        </w:tc>
      </w:tr>
      <w:tr>
        <w:trPr>
          <w:trHeight w:val="177"/>
        </w:trPr>
        <w:tc>
          <w:tcPr>
            <w:tcW w:w="5160" w:type="dxa"/>
            <w:vAlign w:val="bottom"/>
            <w:tcBorders>
              <w:bottom w:val="single" w:sz="8" w:color="auto"/>
            </w:tcBorders>
            <w:vMerge w:val="continue"/>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420" w:type="dxa"/>
            <w:vAlign w:val="bottom"/>
          </w:tcPr>
          <w:p>
            <w:pPr>
              <w:spacing w:after="0"/>
              <w:rPr>
                <w:sz w:val="15"/>
                <w:szCs w:val="15"/>
                <w:color w:val="auto"/>
              </w:rPr>
            </w:pPr>
          </w:p>
        </w:tc>
        <w:tc>
          <w:tcPr>
            <w:tcW w:w="9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$401</w:t>
            </w:r>
          </w:p>
        </w:tc>
        <w:tc>
          <w:tcPr>
            <w:tcW w:w="1880" w:type="dxa"/>
            <w:vAlign w:val="bottom"/>
          </w:tcPr>
          <w:p>
            <w:pPr>
              <w:jc w:val="right"/>
              <w:spacing w:after="0" w:line="173" w:lineRule="exact"/>
              <w:rPr>
                <w:sz w:val="20"/>
                <w:szCs w:val="20"/>
                <w:color w:val="auto"/>
              </w:rPr>
            </w:pPr>
            <w:r>
              <w:rPr>
                <w:rFonts w:ascii="Arial" w:cs="Arial" w:eastAsia="Arial" w:hAnsi="Arial"/>
                <w:sz w:val="18"/>
                <w:szCs w:val="18"/>
                <w:color w:val="auto"/>
              </w:rPr>
              <w:t>$401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420" w:type="dxa"/>
            <w:vAlign w:val="bottom"/>
          </w:tcPr>
          <w:p>
            <w:pPr>
              <w:spacing w:after="0"/>
              <w:rPr>
                <w:sz w:val="17"/>
                <w:szCs w:val="17"/>
                <w:color w:val="auto"/>
              </w:rPr>
            </w:pPr>
          </w:p>
        </w:tc>
        <w:tc>
          <w:tcPr>
            <w:tcW w:w="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83</w:t>
            </w:r>
          </w:p>
        </w:tc>
        <w:tc>
          <w:tcPr>
            <w:tcW w:w="19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$484</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51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3420" w:type="dxa"/>
            <w:vAlign w:val="bottom"/>
          </w:tcPr>
          <w:p>
            <w:pPr>
              <w:jc w:val="center"/>
              <w:ind w:left="1910"/>
              <w:spacing w:after="0" w:line="171" w:lineRule="exact"/>
              <w:rPr>
                <w:sz w:val="20"/>
                <w:szCs w:val="20"/>
                <w:color w:val="auto"/>
              </w:rPr>
            </w:pPr>
            <w:r>
              <w:rPr>
                <w:rFonts w:ascii="Arial" w:cs="Arial" w:eastAsia="Arial" w:hAnsi="Arial"/>
                <w:sz w:val="18"/>
                <w:szCs w:val="18"/>
                <w:b w:val="1"/>
                <w:bCs w:val="1"/>
                <w:color w:val="auto"/>
                <w:w w:val="97"/>
              </w:rPr>
              <w:t>Total</w:t>
            </w:r>
          </w:p>
        </w:tc>
        <w:tc>
          <w:tcPr>
            <w:tcW w:w="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3420" w:type="dxa"/>
            <w:vAlign w:val="bottom"/>
          </w:tcPr>
          <w:p>
            <w:pPr>
              <w:jc w:val="center"/>
              <w:ind w:left="1890"/>
              <w:spacing w:after="0" w:line="202" w:lineRule="exact"/>
              <w:rPr>
                <w:sz w:val="20"/>
                <w:szCs w:val="20"/>
                <w:color w:val="auto"/>
              </w:rPr>
            </w:pPr>
            <w:r>
              <w:rPr>
                <w:rFonts w:ascii="Arial" w:cs="Arial" w:eastAsia="Arial" w:hAnsi="Arial"/>
                <w:sz w:val="18"/>
                <w:szCs w:val="18"/>
                <w:b w:val="1"/>
                <w:bCs w:val="1"/>
                <w:color w:val="auto"/>
                <w:w w:val="99"/>
              </w:rPr>
              <w:t>restructuring</w:t>
            </w:r>
          </w:p>
        </w:tc>
        <w:tc>
          <w:tcPr>
            <w:tcW w:w="960" w:type="dxa"/>
            <w:vAlign w:val="bottom"/>
          </w:tcPr>
          <w:p>
            <w:pPr>
              <w:spacing w:after="0"/>
              <w:rPr>
                <w:sz w:val="17"/>
                <w:szCs w:val="17"/>
                <w:color w:val="auto"/>
              </w:rPr>
            </w:pPr>
          </w:p>
        </w:tc>
        <w:tc>
          <w:tcPr>
            <w:tcW w:w="190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7"/>
              </w:rPr>
              <w:t>Termination</w:t>
            </w:r>
          </w:p>
        </w:tc>
        <w:tc>
          <w:tcPr>
            <w:tcW w:w="0" w:type="dxa"/>
            <w:vAlign w:val="bottom"/>
          </w:tcPr>
          <w:p>
            <w:pPr>
              <w:spacing w:after="0"/>
              <w:rPr>
                <w:sz w:val="1"/>
                <w:szCs w:val="1"/>
                <w:color w:val="auto"/>
              </w:rPr>
            </w:pPr>
          </w:p>
        </w:tc>
      </w:tr>
      <w:tr>
        <w:trPr>
          <w:trHeight w:val="145"/>
        </w:trPr>
        <w:tc>
          <w:tcPr>
            <w:tcW w:w="5160" w:type="dxa"/>
            <w:vAlign w:val="bottom"/>
            <w:vMerge w:val="continue"/>
          </w:tcPr>
          <w:p>
            <w:pPr>
              <w:spacing w:after="0"/>
              <w:rPr>
                <w:sz w:val="12"/>
                <w:szCs w:val="12"/>
                <w:color w:val="auto"/>
              </w:rPr>
            </w:pPr>
          </w:p>
        </w:tc>
        <w:tc>
          <w:tcPr>
            <w:tcW w:w="3420" w:type="dxa"/>
            <w:vAlign w:val="bottom"/>
            <w:vMerge w:val="restart"/>
          </w:tcPr>
          <w:p>
            <w:pPr>
              <w:jc w:val="center"/>
              <w:ind w:left="1950"/>
              <w:spacing w:after="0" w:line="202" w:lineRule="exact"/>
              <w:rPr>
                <w:sz w:val="20"/>
                <w:szCs w:val="20"/>
                <w:color w:val="auto"/>
              </w:rPr>
            </w:pPr>
            <w:r>
              <w:rPr>
                <w:rFonts w:ascii="Arial" w:cs="Arial" w:eastAsia="Arial" w:hAnsi="Arial"/>
                <w:sz w:val="18"/>
                <w:szCs w:val="18"/>
                <w:b w:val="1"/>
                <w:bCs w:val="1"/>
                <w:color w:val="auto"/>
                <w:w w:val="97"/>
              </w:rPr>
              <w:t>costs</w:t>
            </w:r>
          </w:p>
        </w:tc>
        <w:tc>
          <w:tcPr>
            <w:tcW w:w="960" w:type="dxa"/>
            <w:vAlign w:val="bottom"/>
          </w:tcPr>
          <w:p>
            <w:pPr>
              <w:spacing w:after="0"/>
              <w:rPr>
                <w:sz w:val="12"/>
                <w:szCs w:val="12"/>
                <w:color w:val="auto"/>
              </w:rPr>
            </w:pPr>
          </w:p>
        </w:tc>
        <w:tc>
          <w:tcPr>
            <w:tcW w:w="1900" w:type="dxa"/>
            <w:vAlign w:val="bottom"/>
            <w:gridSpan w:val="2"/>
            <w:vMerge w:val="restart"/>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and other</w:t>
            </w:r>
          </w:p>
        </w:tc>
        <w:tc>
          <w:tcPr>
            <w:tcW w:w="0" w:type="dxa"/>
            <w:vAlign w:val="bottom"/>
          </w:tcPr>
          <w:p>
            <w:pPr>
              <w:spacing w:after="0"/>
              <w:rPr>
                <w:sz w:val="1"/>
                <w:szCs w:val="1"/>
                <w:color w:val="auto"/>
              </w:rPr>
            </w:pPr>
          </w:p>
        </w:tc>
      </w:tr>
      <w:tr>
        <w:trPr>
          <w:trHeight w:val="58"/>
        </w:trPr>
        <w:tc>
          <w:tcPr>
            <w:tcW w:w="516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(in thousands)</w:t>
            </w:r>
          </w:p>
        </w:tc>
        <w:tc>
          <w:tcPr>
            <w:tcW w:w="3420" w:type="dxa"/>
            <w:vAlign w:val="bottom"/>
          </w:tcPr>
          <w:p>
            <w:pPr>
              <w:jc w:val="center"/>
              <w:ind w:left="1850"/>
              <w:spacing w:after="0"/>
              <w:rPr>
                <w:sz w:val="20"/>
                <w:szCs w:val="20"/>
                <w:color w:val="auto"/>
              </w:rPr>
            </w:pPr>
            <w:r>
              <w:rPr>
                <w:rFonts w:ascii="Arial" w:cs="Arial" w:eastAsia="Arial" w:hAnsi="Arial"/>
                <w:sz w:val="18"/>
                <w:szCs w:val="18"/>
                <w:b w:val="1"/>
                <w:bCs w:val="1"/>
                <w:color w:val="auto"/>
                <w:w w:val="99"/>
              </w:rPr>
              <w:t>incurred</w:t>
            </w:r>
          </w:p>
        </w:tc>
        <w:tc>
          <w:tcPr>
            <w:tcW w:w="960" w:type="dxa"/>
            <w:vAlign w:val="bottom"/>
          </w:tcPr>
          <w:p>
            <w:pPr>
              <w:spacing w:after="0"/>
              <w:rPr>
                <w:sz w:val="21"/>
                <w:szCs w:val="21"/>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costs</w:t>
            </w:r>
          </w:p>
        </w:tc>
        <w:tc>
          <w:tcPr>
            <w:tcW w:w="0" w:type="dxa"/>
            <w:vAlign w:val="bottom"/>
          </w:tcPr>
          <w:p>
            <w:pPr>
              <w:spacing w:after="0"/>
              <w:rPr>
                <w:sz w:val="1"/>
                <w:szCs w:val="1"/>
                <w:color w:val="auto"/>
              </w:rPr>
            </w:pPr>
          </w:p>
        </w:tc>
      </w:tr>
      <w:tr>
        <w:trPr>
          <w:trHeight w:val="177"/>
        </w:trPr>
        <w:tc>
          <w:tcPr>
            <w:tcW w:w="5160" w:type="dxa"/>
            <w:vAlign w:val="bottom"/>
            <w:tcBorders>
              <w:bottom w:val="single" w:sz="8" w:color="auto"/>
            </w:tcBorders>
            <w:vMerge w:val="continue"/>
          </w:tcPr>
          <w:p>
            <w:pPr>
              <w:spacing w:after="0"/>
              <w:rPr>
                <w:sz w:val="15"/>
                <w:szCs w:val="15"/>
                <w:color w:val="auto"/>
              </w:rPr>
            </w:pPr>
          </w:p>
        </w:tc>
        <w:tc>
          <w:tcPr>
            <w:tcW w:w="34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5160" w:type="dxa"/>
            <w:vAlign w:val="bottom"/>
          </w:tcPr>
          <w:p>
            <w:pPr>
              <w:spacing w:after="0" w:line="173" w:lineRule="exact"/>
              <w:rPr>
                <w:sz w:val="20"/>
                <w:szCs w:val="20"/>
                <w:color w:val="auto"/>
              </w:rPr>
            </w:pPr>
            <w:r>
              <w:rPr>
                <w:rFonts w:ascii="Arial" w:cs="Arial" w:eastAsia="Arial" w:hAnsi="Arial"/>
                <w:sz w:val="18"/>
                <w:szCs w:val="18"/>
                <w:color w:val="auto"/>
              </w:rPr>
              <w:t>Machine Clothing</w:t>
            </w:r>
          </w:p>
        </w:tc>
        <w:tc>
          <w:tcPr>
            <w:tcW w:w="3420" w:type="dxa"/>
            <w:vAlign w:val="bottom"/>
          </w:tcPr>
          <w:p>
            <w:pPr>
              <w:spacing w:after="0"/>
              <w:rPr>
                <w:sz w:val="15"/>
                <w:szCs w:val="15"/>
                <w:color w:val="auto"/>
              </w:rPr>
            </w:pPr>
          </w:p>
        </w:tc>
        <w:tc>
          <w:tcPr>
            <w:tcW w:w="960" w:type="dxa"/>
            <w:vAlign w:val="bottom"/>
          </w:tcPr>
          <w:p>
            <w:pPr>
              <w:jc w:val="right"/>
              <w:ind w:right="190"/>
              <w:spacing w:after="0" w:line="173" w:lineRule="exact"/>
              <w:rPr>
                <w:sz w:val="20"/>
                <w:szCs w:val="20"/>
                <w:color w:val="auto"/>
              </w:rPr>
            </w:pPr>
            <w:r>
              <w:rPr>
                <w:rFonts w:ascii="Arial" w:cs="Arial" w:eastAsia="Arial" w:hAnsi="Arial"/>
                <w:sz w:val="18"/>
                <w:szCs w:val="18"/>
                <w:color w:val="auto"/>
              </w:rPr>
              <w:t>$8,352</w:t>
            </w:r>
          </w:p>
        </w:tc>
        <w:tc>
          <w:tcPr>
            <w:tcW w:w="1880" w:type="dxa"/>
            <w:vAlign w:val="bottom"/>
          </w:tcPr>
          <w:p>
            <w:pPr>
              <w:jc w:val="right"/>
              <w:spacing w:after="0" w:line="173" w:lineRule="exact"/>
              <w:rPr>
                <w:sz w:val="20"/>
                <w:szCs w:val="20"/>
                <w:color w:val="auto"/>
              </w:rPr>
            </w:pPr>
            <w:r>
              <w:rPr>
                <w:rFonts w:ascii="Arial" w:cs="Arial" w:eastAsia="Arial" w:hAnsi="Arial"/>
                <w:sz w:val="18"/>
                <w:szCs w:val="18"/>
                <w:color w:val="auto"/>
              </w:rPr>
              <w:t>$8,352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420" w:type="dxa"/>
            <w:vAlign w:val="bottom"/>
          </w:tcPr>
          <w:p>
            <w:pPr>
              <w:spacing w:after="0"/>
              <w:rPr>
                <w:sz w:val="17"/>
                <w:szCs w:val="17"/>
                <w:color w:val="auto"/>
              </w:rPr>
            </w:pPr>
          </w:p>
        </w:tc>
        <w:tc>
          <w:tcPr>
            <w:tcW w:w="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221</w:t>
            </w:r>
          </w:p>
        </w:tc>
        <w:tc>
          <w:tcPr>
            <w:tcW w:w="1880" w:type="dxa"/>
            <w:vAlign w:val="bottom"/>
          </w:tcPr>
          <w:p>
            <w:pPr>
              <w:jc w:val="right"/>
              <w:spacing w:after="0" w:line="202" w:lineRule="exact"/>
              <w:rPr>
                <w:sz w:val="20"/>
                <w:szCs w:val="20"/>
                <w:color w:val="auto"/>
              </w:rPr>
            </w:pPr>
            <w:r>
              <w:rPr>
                <w:rFonts w:ascii="Arial" w:cs="Arial" w:eastAsia="Arial" w:hAnsi="Arial"/>
                <w:sz w:val="18"/>
                <w:szCs w:val="18"/>
                <w:color w:val="auto"/>
              </w:rPr>
              <w:t>221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$8,573</w:t>
            </w:r>
          </w:p>
        </w:tc>
        <w:tc>
          <w:tcPr>
            <w:tcW w:w="1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$8,573</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69" w:lineRule="exact"/>
        <w:rPr>
          <w:sz w:val="20"/>
          <w:szCs w:val="20"/>
          <w:color w:val="auto"/>
        </w:rPr>
      </w:pPr>
    </w:p>
    <w:p>
      <w:pPr>
        <w:ind w:right="640" w:firstLine="648"/>
        <w:spacing w:after="0" w:line="276" w:lineRule="auto"/>
        <w:rPr>
          <w:sz w:val="20"/>
          <w:szCs w:val="20"/>
          <w:color w:val="auto"/>
        </w:rPr>
      </w:pPr>
      <w:r>
        <w:rPr>
          <w:rFonts w:ascii="Arial" w:cs="Arial" w:eastAsia="Arial" w:hAnsi="Arial"/>
          <w:sz w:val="18"/>
          <w:szCs w:val="18"/>
          <w:color w:val="auto"/>
        </w:rPr>
        <w:t>We expect substantially all of Accrued liabilities for restructuring at March 31, 2019 will be paid within one year. The table below presents the year-to-date changes in restructuring liabilities for 2019 and 2018, all of which related to termination costs: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8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jc w:val="center"/>
              <w:ind w:left="390"/>
              <w:spacing w:after="0" w:line="191" w:lineRule="exact"/>
              <w:rPr>
                <w:sz w:val="20"/>
                <w:szCs w:val="20"/>
                <w:color w:val="auto"/>
              </w:rPr>
            </w:pPr>
            <w:r>
              <w:rPr>
                <w:rFonts w:ascii="Arial" w:cs="Arial" w:eastAsia="Arial" w:hAnsi="Arial"/>
                <w:sz w:val="18"/>
                <w:szCs w:val="18"/>
                <w:b w:val="1"/>
                <w:bCs w:val="1"/>
                <w:color w:val="auto"/>
                <w:w w:val="99"/>
              </w:rPr>
              <w:t>December 31,</w:t>
            </w:r>
          </w:p>
        </w:tc>
        <w:tc>
          <w:tcPr>
            <w:tcW w:w="162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9"/>
              </w:rPr>
              <w:t>Restructuring</w:t>
            </w:r>
          </w:p>
        </w:tc>
        <w:tc>
          <w:tcPr>
            <w:tcW w:w="134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rPr>
              <w:t>Currency</w:t>
            </w:r>
          </w:p>
        </w:tc>
        <w:tc>
          <w:tcPr>
            <w:tcW w:w="148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8"/>
              </w:rPr>
              <w:t>March 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2018</w:t>
            </w:r>
          </w:p>
        </w:tc>
        <w:tc>
          <w:tcPr>
            <w:tcW w:w="1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charges accrued</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Payments</w:t>
            </w:r>
          </w:p>
        </w:tc>
        <w:tc>
          <w:tcPr>
            <w:tcW w:w="17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translation /other</w:t>
            </w: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280" w:type="dxa"/>
            <w:vAlign w:val="bottom"/>
          </w:tcPr>
          <w:p>
            <w:pPr>
              <w:spacing w:after="0"/>
              <w:rPr>
                <w:sz w:val="20"/>
                <w:szCs w:val="20"/>
                <w:color w:val="auto"/>
              </w:rPr>
            </w:pPr>
            <w:r>
              <w:rPr>
                <w:rFonts w:ascii="Arial" w:cs="Arial" w:eastAsia="Arial" w:hAnsi="Arial"/>
                <w:sz w:val="18"/>
                <w:szCs w:val="18"/>
                <w:color w:val="auto"/>
              </w:rPr>
              <w:t>Total termination and other costs</w:t>
            </w:r>
          </w:p>
        </w:tc>
        <w:tc>
          <w:tcPr>
            <w:tcW w:w="2000" w:type="dxa"/>
            <w:vAlign w:val="bottom"/>
          </w:tcPr>
          <w:p>
            <w:pPr>
              <w:jc w:val="right"/>
              <w:spacing w:after="0"/>
              <w:rPr>
                <w:sz w:val="20"/>
                <w:szCs w:val="20"/>
                <w:color w:val="auto"/>
              </w:rPr>
            </w:pPr>
            <w:r>
              <w:rPr>
                <w:rFonts w:ascii="Arial" w:cs="Arial" w:eastAsia="Arial" w:hAnsi="Arial"/>
                <w:sz w:val="18"/>
                <w:szCs w:val="18"/>
                <w:color w:val="auto"/>
              </w:rPr>
              <w:t>$5,570</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$484</w:t>
            </w:r>
          </w:p>
        </w:tc>
        <w:tc>
          <w:tcPr>
            <w:tcW w:w="1340" w:type="dxa"/>
            <w:vAlign w:val="bottom"/>
          </w:tcPr>
          <w:p>
            <w:pPr>
              <w:jc w:val="right"/>
              <w:spacing w:after="0"/>
              <w:rPr>
                <w:sz w:val="20"/>
                <w:szCs w:val="20"/>
                <w:color w:val="auto"/>
              </w:rPr>
            </w:pPr>
            <w:r>
              <w:rPr>
                <w:rFonts w:ascii="Arial" w:cs="Arial" w:eastAsia="Arial" w:hAnsi="Arial"/>
                <w:sz w:val="18"/>
                <w:szCs w:val="18"/>
                <w:color w:val="auto"/>
              </w:rPr>
              <w:t>($876)</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$23</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$5,201</w:t>
            </w:r>
          </w:p>
        </w:tc>
        <w:tc>
          <w:tcPr>
            <w:tcW w:w="0" w:type="dxa"/>
            <w:vAlign w:val="bottom"/>
          </w:tcPr>
          <w:p>
            <w:pPr>
              <w:spacing w:after="0"/>
              <w:rPr>
                <w:sz w:val="1"/>
                <w:szCs w:val="1"/>
                <w:color w:val="auto"/>
              </w:rPr>
            </w:pPr>
          </w:p>
        </w:tc>
      </w:tr>
      <w:tr>
        <w:trPr>
          <w:trHeight w:val="588"/>
        </w:trPr>
        <w:tc>
          <w:tcPr>
            <w:tcW w:w="3280" w:type="dxa"/>
            <w:vAlign w:val="bottom"/>
            <w:tcBorders>
              <w:top w:val="single" w:sz="8" w:color="auto"/>
              <w:bottom w:val="single" w:sz="8" w:color="auto"/>
            </w:tcBorders>
          </w:tcPr>
          <w:p>
            <w:pPr>
              <w:spacing w:after="0"/>
              <w:rPr>
                <w:sz w:val="24"/>
                <w:szCs w:val="24"/>
                <w:color w:val="auto"/>
              </w:rPr>
            </w:pPr>
          </w:p>
        </w:tc>
        <w:tc>
          <w:tcPr>
            <w:tcW w:w="2000" w:type="dxa"/>
            <w:vAlign w:val="bottom"/>
            <w:tcBorders>
              <w:top w:val="single" w:sz="8" w:color="auto"/>
              <w:bottom w:val="single" w:sz="8" w:color="auto"/>
            </w:tcBorders>
          </w:tcPr>
          <w:p>
            <w:pPr>
              <w:spacing w:after="0"/>
              <w:rPr>
                <w:sz w:val="24"/>
                <w:szCs w:val="24"/>
                <w:color w:val="auto"/>
              </w:rPr>
            </w:pPr>
          </w:p>
        </w:tc>
        <w:tc>
          <w:tcPr>
            <w:tcW w:w="162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1700" w:type="dxa"/>
            <w:vAlign w:val="bottom"/>
            <w:tcBorders>
              <w:top w:val="single" w:sz="8" w:color="auto"/>
              <w:bottom w:val="single" w:sz="8" w:color="auto"/>
            </w:tcBorders>
          </w:tcPr>
          <w:p>
            <w:pPr>
              <w:spacing w:after="0"/>
              <w:rPr>
                <w:sz w:val="24"/>
                <w:szCs w:val="24"/>
                <w:color w:val="auto"/>
              </w:rPr>
            </w:pPr>
          </w:p>
        </w:tc>
        <w:tc>
          <w:tcPr>
            <w:tcW w:w="1480" w:type="dxa"/>
            <w:vAlign w:val="bottom"/>
            <w:tcBorders>
              <w:top w:val="single" w:sz="8" w:color="auto"/>
              <w:bottom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280" w:type="dxa"/>
            <w:vAlign w:val="bottom"/>
          </w:tcPr>
          <w:p>
            <w:pPr>
              <w:spacing w:after="0"/>
              <w:rPr>
                <w:sz w:val="14"/>
                <w:szCs w:val="14"/>
                <w:color w:val="auto"/>
              </w:rPr>
            </w:pPr>
          </w:p>
        </w:tc>
        <w:tc>
          <w:tcPr>
            <w:tcW w:w="2000" w:type="dxa"/>
            <w:vAlign w:val="bottom"/>
          </w:tcPr>
          <w:p>
            <w:pPr>
              <w:jc w:val="center"/>
              <w:ind w:left="390"/>
              <w:spacing w:after="0" w:line="171" w:lineRule="exact"/>
              <w:rPr>
                <w:sz w:val="20"/>
                <w:szCs w:val="20"/>
                <w:color w:val="auto"/>
              </w:rPr>
            </w:pPr>
            <w:r>
              <w:rPr>
                <w:rFonts w:ascii="Arial" w:cs="Arial" w:eastAsia="Arial" w:hAnsi="Arial"/>
                <w:sz w:val="18"/>
                <w:szCs w:val="18"/>
                <w:b w:val="1"/>
                <w:bCs w:val="1"/>
                <w:color w:val="auto"/>
                <w:w w:val="99"/>
              </w:rPr>
              <w:t>December 31,</w:t>
            </w:r>
          </w:p>
        </w:tc>
        <w:tc>
          <w:tcPr>
            <w:tcW w:w="1620" w:type="dxa"/>
            <w:vAlign w:val="bottom"/>
          </w:tcPr>
          <w:p>
            <w:pPr>
              <w:jc w:val="center"/>
              <w:ind w:right="70"/>
              <w:spacing w:after="0" w:line="171" w:lineRule="exact"/>
              <w:rPr>
                <w:sz w:val="20"/>
                <w:szCs w:val="20"/>
                <w:color w:val="auto"/>
              </w:rPr>
            </w:pPr>
            <w:r>
              <w:rPr>
                <w:rFonts w:ascii="Arial" w:cs="Arial" w:eastAsia="Arial" w:hAnsi="Arial"/>
                <w:sz w:val="18"/>
                <w:szCs w:val="18"/>
                <w:b w:val="1"/>
                <w:bCs w:val="1"/>
                <w:color w:val="auto"/>
                <w:w w:val="99"/>
              </w:rPr>
              <w:t>Restructuring</w:t>
            </w:r>
          </w:p>
        </w:tc>
        <w:tc>
          <w:tcPr>
            <w:tcW w:w="1340" w:type="dxa"/>
            <w:vAlign w:val="bottom"/>
          </w:tcPr>
          <w:p>
            <w:pPr>
              <w:spacing w:after="0"/>
              <w:rPr>
                <w:sz w:val="14"/>
                <w:szCs w:val="14"/>
                <w:color w:val="auto"/>
              </w:rPr>
            </w:pPr>
          </w:p>
        </w:tc>
        <w:tc>
          <w:tcPr>
            <w:tcW w:w="1700" w:type="dxa"/>
            <w:vAlign w:val="bottom"/>
          </w:tcPr>
          <w:p>
            <w:pPr>
              <w:jc w:val="center"/>
              <w:ind w:right="130"/>
              <w:spacing w:after="0" w:line="171" w:lineRule="exact"/>
              <w:rPr>
                <w:sz w:val="20"/>
                <w:szCs w:val="20"/>
                <w:color w:val="auto"/>
              </w:rPr>
            </w:pPr>
            <w:r>
              <w:rPr>
                <w:rFonts w:ascii="Arial" w:cs="Arial" w:eastAsia="Arial" w:hAnsi="Arial"/>
                <w:sz w:val="18"/>
                <w:szCs w:val="18"/>
                <w:b w:val="1"/>
                <w:bCs w:val="1"/>
                <w:color w:val="auto"/>
              </w:rPr>
              <w:t>Currency</w:t>
            </w:r>
          </w:p>
        </w:tc>
        <w:tc>
          <w:tcPr>
            <w:tcW w:w="1480" w:type="dxa"/>
            <w:vAlign w:val="bottom"/>
          </w:tcPr>
          <w:p>
            <w:pPr>
              <w:jc w:val="center"/>
              <w:ind w:right="130"/>
              <w:spacing w:after="0" w:line="171" w:lineRule="exact"/>
              <w:rPr>
                <w:sz w:val="20"/>
                <w:szCs w:val="20"/>
                <w:color w:val="auto"/>
              </w:rPr>
            </w:pPr>
            <w:r>
              <w:rPr>
                <w:rFonts w:ascii="Arial" w:cs="Arial" w:eastAsia="Arial" w:hAnsi="Arial"/>
                <w:sz w:val="18"/>
                <w:szCs w:val="18"/>
                <w:b w:val="1"/>
                <w:bCs w:val="1"/>
                <w:color w:val="auto"/>
                <w:w w:val="98"/>
              </w:rPr>
              <w:t>March 31,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0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b w:val="1"/>
                <w:bCs w:val="1"/>
                <w:color w:val="auto"/>
                <w:w w:val="99"/>
              </w:rPr>
              <w:t>2017</w:t>
            </w:r>
          </w:p>
        </w:tc>
        <w:tc>
          <w:tcPr>
            <w:tcW w:w="16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rPr>
              <w:t>charges accrued</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Payments</w:t>
            </w:r>
          </w:p>
        </w:tc>
        <w:tc>
          <w:tcPr>
            <w:tcW w:w="17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translation /other</w:t>
            </w:r>
          </w:p>
        </w:tc>
        <w:tc>
          <w:tcPr>
            <w:tcW w:w="14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3280" w:type="dxa"/>
            <w:vAlign w:val="bottom"/>
          </w:tcPr>
          <w:p>
            <w:pPr>
              <w:spacing w:after="0"/>
              <w:rPr>
                <w:sz w:val="20"/>
                <w:szCs w:val="20"/>
                <w:color w:val="auto"/>
              </w:rPr>
            </w:pPr>
            <w:r>
              <w:rPr>
                <w:rFonts w:ascii="Arial" w:cs="Arial" w:eastAsia="Arial" w:hAnsi="Arial"/>
                <w:sz w:val="18"/>
                <w:szCs w:val="18"/>
                <w:color w:val="auto"/>
              </w:rPr>
              <w:t>Total termination and other costs</w:t>
            </w:r>
          </w:p>
        </w:tc>
        <w:tc>
          <w:tcPr>
            <w:tcW w:w="2000" w:type="dxa"/>
            <w:vAlign w:val="bottom"/>
          </w:tcPr>
          <w:p>
            <w:pPr>
              <w:jc w:val="right"/>
              <w:spacing w:after="0"/>
              <w:rPr>
                <w:sz w:val="20"/>
                <w:szCs w:val="20"/>
                <w:color w:val="auto"/>
              </w:rPr>
            </w:pPr>
            <w:r>
              <w:rPr>
                <w:rFonts w:ascii="Arial" w:cs="Arial" w:eastAsia="Arial" w:hAnsi="Arial"/>
                <w:sz w:val="18"/>
                <w:szCs w:val="18"/>
                <w:color w:val="auto"/>
              </w:rPr>
              <w:t>$3,326</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$8,573</w:t>
            </w:r>
          </w:p>
        </w:tc>
        <w:tc>
          <w:tcPr>
            <w:tcW w:w="1340" w:type="dxa"/>
            <w:vAlign w:val="bottom"/>
          </w:tcPr>
          <w:p>
            <w:pPr>
              <w:jc w:val="right"/>
              <w:spacing w:after="0"/>
              <w:rPr>
                <w:sz w:val="20"/>
                <w:szCs w:val="20"/>
                <w:color w:val="auto"/>
              </w:rPr>
            </w:pPr>
            <w:r>
              <w:rPr>
                <w:rFonts w:ascii="Arial" w:cs="Arial" w:eastAsia="Arial" w:hAnsi="Arial"/>
                <w:sz w:val="18"/>
                <w:szCs w:val="18"/>
                <w:color w:val="auto"/>
              </w:rPr>
              <w:t>($2,051)</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$25</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$9,873</w:t>
            </w:r>
          </w:p>
        </w:tc>
        <w:tc>
          <w:tcPr>
            <w:tcW w:w="0" w:type="dxa"/>
            <w:vAlign w:val="bottom"/>
          </w:tcPr>
          <w:p>
            <w:pPr>
              <w:spacing w:after="0"/>
              <w:rPr>
                <w:sz w:val="1"/>
                <w:szCs w:val="1"/>
                <w:color w:val="auto"/>
              </w:rPr>
            </w:pPr>
          </w:p>
        </w:tc>
      </w:tr>
      <w:tr>
        <w:trPr>
          <w:trHeight w:val="318"/>
        </w:trPr>
        <w:tc>
          <w:tcPr>
            <w:tcW w:w="3280" w:type="dxa"/>
            <w:vAlign w:val="bottom"/>
            <w:tcBorders>
              <w:top w:val="single" w:sz="8" w:color="auto"/>
            </w:tcBorders>
          </w:tcPr>
          <w:p>
            <w:pPr>
              <w:spacing w:after="0"/>
              <w:rPr>
                <w:sz w:val="24"/>
                <w:szCs w:val="24"/>
                <w:color w:val="auto"/>
              </w:rPr>
            </w:pPr>
          </w:p>
        </w:tc>
        <w:tc>
          <w:tcPr>
            <w:tcW w:w="20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color w:val="auto"/>
              </w:rPr>
              <w:t>17</w:t>
            </w:r>
          </w:p>
        </w:tc>
        <w:tc>
          <w:tcPr>
            <w:tcW w:w="134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80" w:type="dxa"/>
            <w:vAlign w:val="bottom"/>
            <w:tcBorders>
              <w:bottom w:val="single" w:sz="8" w:color="auto"/>
            </w:tcBorders>
          </w:tcPr>
          <w:p>
            <w:pPr>
              <w:spacing w:after="0"/>
              <w:rPr>
                <w:sz w:val="12"/>
                <w:szCs w:val="12"/>
                <w:color w:val="auto"/>
              </w:rPr>
            </w:pPr>
          </w:p>
        </w:tc>
        <w:tc>
          <w:tcPr>
            <w:tcW w:w="20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71"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6. Other (Income)/Expense, net</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Other (Income)/Expense, net are: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00" w:type="dxa"/>
            <w:vAlign w:val="bottom"/>
            <w:tcBorders>
              <w:top w:val="single" w:sz="8" w:color="auto"/>
            </w:tcBorders>
          </w:tcPr>
          <w:p>
            <w:pPr>
              <w:spacing w:after="0"/>
              <w:rPr>
                <w:sz w:val="16"/>
                <w:szCs w:val="16"/>
                <w:color w:val="auto"/>
              </w:rPr>
            </w:pPr>
          </w:p>
        </w:tc>
        <w:tc>
          <w:tcPr>
            <w:tcW w:w="4320" w:type="dxa"/>
            <w:vAlign w:val="bottom"/>
            <w:tcBorders>
              <w:top w:val="single" w:sz="8" w:color="auto"/>
            </w:tcBorders>
            <w:gridSpan w:val="2"/>
          </w:tcPr>
          <w:p>
            <w:pPr>
              <w:jc w:val="right"/>
              <w:ind w:right="730"/>
              <w:spacing w:after="0" w:line="191" w:lineRule="exact"/>
              <w:rPr>
                <w:sz w:val="20"/>
                <w:szCs w:val="20"/>
                <w:color w:val="auto"/>
              </w:rPr>
            </w:pPr>
            <w:r>
              <w:rPr>
                <w:rFonts w:ascii="Arial" w:cs="Arial" w:eastAsia="Arial" w:hAnsi="Arial"/>
                <w:sz w:val="18"/>
                <w:szCs w:val="18"/>
                <w:b w:val="1"/>
                <w:bCs w:val="1"/>
                <w:color w:val="auto"/>
              </w:rPr>
              <w:t>Three months ended March 31,</w:t>
            </w:r>
          </w:p>
        </w:tc>
        <w:tc>
          <w:tcPr>
            <w:tcW w:w="40" w:type="dxa"/>
            <w:vAlign w:val="bottom"/>
            <w:gridSpan w:val="2"/>
          </w:tcPr>
          <w:p>
            <w:pPr>
              <w:spacing w:after="0"/>
              <w:rPr>
                <w:sz w:val="16"/>
                <w:szCs w:val="16"/>
                <w:color w:val="auto"/>
              </w:rPr>
            </w:pPr>
          </w:p>
        </w:tc>
      </w:tr>
      <w:tr>
        <w:trPr>
          <w:trHeight w:val="227"/>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26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2019</w:t>
            </w:r>
          </w:p>
        </w:tc>
        <w:tc>
          <w:tcPr>
            <w:tcW w:w="17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7100" w:type="dxa"/>
            <w:vAlign w:val="bottom"/>
          </w:tcPr>
          <w:p>
            <w:pPr>
              <w:spacing w:after="0" w:line="171" w:lineRule="exact"/>
              <w:rPr>
                <w:sz w:val="20"/>
                <w:szCs w:val="20"/>
                <w:color w:val="auto"/>
              </w:rPr>
            </w:pPr>
            <w:r>
              <w:rPr>
                <w:rFonts w:ascii="Arial" w:cs="Arial" w:eastAsia="Arial" w:hAnsi="Arial"/>
                <w:sz w:val="18"/>
                <w:szCs w:val="18"/>
                <w:color w:val="auto"/>
              </w:rPr>
              <w:t>Currency transaction (gains)/losses</w:t>
            </w:r>
          </w:p>
        </w:tc>
        <w:tc>
          <w:tcPr>
            <w:tcW w:w="2600" w:type="dxa"/>
            <w:vAlign w:val="bottom"/>
          </w:tcPr>
          <w:p>
            <w:pPr>
              <w:jc w:val="right"/>
              <w:ind w:right="350"/>
              <w:spacing w:after="0" w:line="171" w:lineRule="exact"/>
              <w:rPr>
                <w:sz w:val="20"/>
                <w:szCs w:val="20"/>
                <w:color w:val="auto"/>
              </w:rPr>
            </w:pPr>
            <w:r>
              <w:rPr>
                <w:rFonts w:ascii="Arial" w:cs="Arial" w:eastAsia="Arial" w:hAnsi="Arial"/>
                <w:sz w:val="18"/>
                <w:szCs w:val="18"/>
                <w:b w:val="1"/>
                <w:bCs w:val="1"/>
                <w:color w:val="auto"/>
              </w:rPr>
              <w:t>($2,038)</w:t>
            </w:r>
          </w:p>
        </w:tc>
        <w:tc>
          <w:tcPr>
            <w:tcW w:w="1720" w:type="dxa"/>
            <w:vAlign w:val="bottom"/>
          </w:tcPr>
          <w:p>
            <w:pPr>
              <w:jc w:val="right"/>
              <w:spacing w:after="0" w:line="171" w:lineRule="exact"/>
              <w:rPr>
                <w:sz w:val="20"/>
                <w:szCs w:val="20"/>
                <w:color w:val="auto"/>
              </w:rPr>
            </w:pPr>
            <w:r>
              <w:rPr>
                <w:rFonts w:ascii="Arial" w:cs="Arial" w:eastAsia="Arial" w:hAnsi="Arial"/>
                <w:sz w:val="18"/>
                <w:szCs w:val="18"/>
                <w:color w:val="auto"/>
              </w:rPr>
              <w:t>$690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Bank fees and amortization of debt issuance costs</w:t>
            </w:r>
          </w:p>
        </w:tc>
        <w:tc>
          <w:tcPr>
            <w:tcW w:w="26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109</w:t>
            </w:r>
          </w:p>
        </w:tc>
        <w:tc>
          <w:tcPr>
            <w:tcW w:w="1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108</w:t>
            </w:r>
          </w:p>
        </w:tc>
        <w:tc>
          <w:tcPr>
            <w:tcW w:w="20" w:type="dxa"/>
            <w:vAlign w:val="bottom"/>
          </w:tcPr>
          <w:p>
            <w:pPr>
              <w:spacing w:after="0"/>
              <w:rPr>
                <w:sz w:val="17"/>
                <w:szCs w:val="17"/>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Components of net periodic pension and postretirement cost other than service</w:t>
            </w:r>
          </w:p>
        </w:tc>
        <w:tc>
          <w:tcPr>
            <w:tcW w:w="26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281</w:t>
            </w:r>
          </w:p>
        </w:tc>
        <w:tc>
          <w:tcPr>
            <w:tcW w:w="1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263</w:t>
            </w:r>
          </w:p>
        </w:tc>
        <w:tc>
          <w:tcPr>
            <w:tcW w:w="20" w:type="dxa"/>
            <w:vAlign w:val="bottom"/>
          </w:tcPr>
          <w:p>
            <w:pPr>
              <w:spacing w:after="0"/>
              <w:rPr>
                <w:sz w:val="17"/>
                <w:szCs w:val="17"/>
                <w:color w:val="auto"/>
              </w:rPr>
            </w:pPr>
          </w:p>
        </w:tc>
      </w:tr>
      <w:tr>
        <w:trPr>
          <w:trHeight w:val="227"/>
        </w:trPr>
        <w:tc>
          <w:tcPr>
            <w:tcW w:w="7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26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440</w:t>
            </w:r>
          </w:p>
        </w:tc>
        <w:tc>
          <w:tcPr>
            <w:tcW w:w="1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9"/>
                <w:szCs w:val="19"/>
                <w:color w:val="auto"/>
              </w:rPr>
            </w:pPr>
          </w:p>
        </w:tc>
      </w:tr>
      <w:tr>
        <w:trPr>
          <w:trHeight w:val="196"/>
        </w:trPr>
        <w:tc>
          <w:tcPr>
            <w:tcW w:w="7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6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($1,208)</w:t>
            </w:r>
          </w:p>
        </w:tc>
        <w:tc>
          <w:tcPr>
            <w:tcW w:w="17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$1,452</w:t>
            </w:r>
          </w:p>
        </w:tc>
        <w:tc>
          <w:tcPr>
            <w:tcW w:w="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 Income Taxes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components of income tax expense for the three months ended March 31, 2019 and 2018:</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520" w:type="dxa"/>
            <w:vAlign w:val="bottom"/>
            <w:tcBorders>
              <w:top w:val="single" w:sz="8" w:color="auto"/>
            </w:tcBorders>
          </w:tcPr>
          <w:p>
            <w:pPr>
              <w:spacing w:after="0"/>
              <w:rPr>
                <w:sz w:val="16"/>
                <w:szCs w:val="16"/>
                <w:color w:val="auto"/>
              </w:rPr>
            </w:pPr>
          </w:p>
        </w:tc>
        <w:tc>
          <w:tcPr>
            <w:tcW w:w="3880" w:type="dxa"/>
            <w:vAlign w:val="bottom"/>
            <w:tcBorders>
              <w:top w:val="single" w:sz="8" w:color="auto"/>
            </w:tcBorders>
            <w:gridSpan w:val="2"/>
          </w:tcPr>
          <w:p>
            <w:pPr>
              <w:jc w:val="right"/>
              <w:ind w:right="390"/>
              <w:spacing w:after="0" w:line="191"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spacing w:after="0"/>
              <w:rPr>
                <w:sz w:val="17"/>
                <w:szCs w:val="17"/>
                <w:color w:val="auto"/>
              </w:rPr>
            </w:pPr>
          </w:p>
        </w:tc>
        <w:tc>
          <w:tcPr>
            <w:tcW w:w="29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5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9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7540" w:type="dxa"/>
            <w:vAlign w:val="bottom"/>
            <w:gridSpan w:val="2"/>
          </w:tcPr>
          <w:p>
            <w:pPr>
              <w:spacing w:after="0" w:line="173" w:lineRule="exact"/>
              <w:rPr>
                <w:sz w:val="20"/>
                <w:szCs w:val="20"/>
                <w:color w:val="auto"/>
              </w:rPr>
            </w:pPr>
            <w:r>
              <w:rPr>
                <w:rFonts w:ascii="Arial" w:cs="Arial" w:eastAsia="Arial" w:hAnsi="Arial"/>
                <w:sz w:val="18"/>
                <w:szCs w:val="18"/>
                <w:color w:val="auto"/>
              </w:rPr>
              <w:t>Income tax based on income from continuing operations, at estimated tax</w:t>
            </w:r>
          </w:p>
        </w:tc>
        <w:tc>
          <w:tcPr>
            <w:tcW w:w="2960" w:type="dxa"/>
            <w:vAlign w:val="bottom"/>
            <w:vMerge w:val="restart"/>
          </w:tcPr>
          <w:p>
            <w:pPr>
              <w:jc w:val="right"/>
              <w:ind w:right="350"/>
              <w:spacing w:after="0"/>
              <w:rPr>
                <w:sz w:val="20"/>
                <w:szCs w:val="20"/>
                <w:color w:val="auto"/>
              </w:rPr>
            </w:pPr>
            <w:r>
              <w:rPr>
                <w:rFonts w:ascii="Arial" w:cs="Arial" w:eastAsia="Arial" w:hAnsi="Arial"/>
                <w:sz w:val="18"/>
                <w:szCs w:val="18"/>
                <w:b w:val="1"/>
                <w:bCs w:val="1"/>
                <w:color w:val="auto"/>
              </w:rPr>
              <w:t>$10,847</w:t>
            </w: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1"/>
        </w:trPr>
        <w:tc>
          <w:tcPr>
            <w:tcW w:w="7540" w:type="dxa"/>
            <w:vAlign w:val="bottom"/>
            <w:gridSpan w:val="2"/>
          </w:tcPr>
          <w:p>
            <w:pPr>
              <w:spacing w:after="0"/>
              <w:rPr>
                <w:sz w:val="20"/>
                <w:szCs w:val="20"/>
                <w:color w:val="auto"/>
              </w:rPr>
            </w:pPr>
            <w:r>
              <w:rPr>
                <w:rFonts w:ascii="Arial" w:cs="Arial" w:eastAsia="Arial" w:hAnsi="Arial"/>
                <w:sz w:val="18"/>
                <w:szCs w:val="18"/>
                <w:color w:val="auto"/>
              </w:rPr>
              <w:t>rates of 29.4% and 32.5%, respectively</w:t>
            </w:r>
          </w:p>
        </w:tc>
        <w:tc>
          <w:tcPr>
            <w:tcW w:w="2960" w:type="dxa"/>
            <w:vAlign w:val="bottom"/>
            <w:vMerge w:val="continue"/>
          </w:tcPr>
          <w:p>
            <w:pPr>
              <w:spacing w:after="0"/>
              <w:rPr>
                <w:sz w:val="21"/>
                <w:szCs w:val="21"/>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$3,656</w:t>
            </w:r>
          </w:p>
        </w:tc>
        <w:tc>
          <w:tcPr>
            <w:tcW w:w="0" w:type="dxa"/>
            <w:vAlign w:val="bottom"/>
          </w:tcPr>
          <w:p>
            <w:pPr>
              <w:spacing w:after="0"/>
              <w:rPr>
                <w:sz w:val="1"/>
                <w:szCs w:val="1"/>
                <w:color w:val="auto"/>
              </w:rPr>
            </w:pPr>
          </w:p>
        </w:tc>
      </w:tr>
      <w:tr>
        <w:trPr>
          <w:trHeight w:val="177"/>
        </w:trPr>
        <w:tc>
          <w:tcPr>
            <w:tcW w:w="7540" w:type="dxa"/>
            <w:vAlign w:val="bottom"/>
            <w:tcBorders>
              <w:bottom w:val="single" w:sz="8" w:color="auto"/>
            </w:tcBorders>
            <w:gridSpan w:val="2"/>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540" w:type="dxa"/>
            <w:vAlign w:val="bottom"/>
            <w:gridSpan w:val="2"/>
          </w:tcPr>
          <w:p>
            <w:pPr>
              <w:spacing w:after="0"/>
              <w:rPr>
                <w:sz w:val="20"/>
                <w:szCs w:val="20"/>
                <w:color w:val="auto"/>
              </w:rPr>
            </w:pPr>
            <w:r>
              <w:rPr>
                <w:rFonts w:ascii="Arial" w:cs="Arial" w:eastAsia="Arial" w:hAnsi="Arial"/>
                <w:sz w:val="18"/>
                <w:szCs w:val="18"/>
                <w:color w:val="auto"/>
              </w:rPr>
              <w:t>Income tax before discrete items</w:t>
            </w: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10,847</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540" w:type="dxa"/>
            <w:vAlign w:val="bottom"/>
            <w:gridSpan w:val="2"/>
          </w:tcPr>
          <w:p>
            <w:pPr>
              <w:spacing w:after="0"/>
              <w:rPr>
                <w:sz w:val="20"/>
                <w:szCs w:val="20"/>
                <w:color w:val="auto"/>
              </w:rPr>
            </w:pPr>
            <w:r>
              <w:rPr>
                <w:rFonts w:ascii="Arial" w:cs="Arial" w:eastAsia="Arial" w:hAnsi="Arial"/>
                <w:sz w:val="18"/>
                <w:szCs w:val="18"/>
                <w:color w:val="auto"/>
              </w:rPr>
              <w:t>Discrete tax expense:</w:t>
            </w:r>
          </w:p>
        </w:tc>
        <w:tc>
          <w:tcPr>
            <w:tcW w:w="2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7520" w:type="dxa"/>
            <w:vAlign w:val="bottom"/>
          </w:tcPr>
          <w:p>
            <w:pPr>
              <w:ind w:left="80"/>
              <w:spacing w:after="0"/>
              <w:rPr>
                <w:sz w:val="20"/>
                <w:szCs w:val="20"/>
                <w:color w:val="auto"/>
              </w:rPr>
            </w:pPr>
            <w:r>
              <w:rPr>
                <w:rFonts w:ascii="Arial" w:cs="Arial" w:eastAsia="Arial" w:hAnsi="Arial"/>
                <w:sz w:val="18"/>
                <w:szCs w:val="18"/>
                <w:color w:val="auto"/>
              </w:rPr>
              <w:t>Exercise of U.S. stock options</w:t>
            </w: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(50)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Adjustments to prior period tax liabilities</w:t>
            </w:r>
          </w:p>
        </w:tc>
        <w:tc>
          <w:tcPr>
            <w:tcW w:w="29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194</w:t>
            </w:r>
          </w:p>
        </w:tc>
        <w:tc>
          <w:tcPr>
            <w:tcW w:w="9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Provision for resolution of tax audits and contingencies, net</w:t>
            </w:r>
          </w:p>
        </w:tc>
        <w:tc>
          <w:tcPr>
            <w:tcW w:w="29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(2,232)</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20" w:type="dxa"/>
            <w:vAlign w:val="bottom"/>
          </w:tcPr>
          <w:p>
            <w:pPr>
              <w:ind w:left="80"/>
              <w:spacing w:after="0" w:line="202" w:lineRule="exact"/>
              <w:rPr>
                <w:sz w:val="20"/>
                <w:szCs w:val="20"/>
                <w:color w:val="auto"/>
              </w:rPr>
            </w:pPr>
            <w:r>
              <w:rPr>
                <w:rFonts w:ascii="Arial" w:cs="Arial" w:eastAsia="Arial" w:hAnsi="Arial"/>
                <w:sz w:val="18"/>
                <w:szCs w:val="18"/>
                <w:color w:val="auto"/>
              </w:rPr>
              <w:t>Adjustment related to prior period change in opening valuation allowance</w:t>
            </w:r>
          </w:p>
        </w:tc>
        <w:tc>
          <w:tcPr>
            <w:tcW w:w="29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(1,346)</w:t>
            </w:r>
          </w:p>
        </w:tc>
        <w:tc>
          <w:tcPr>
            <w:tcW w:w="9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5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Other</w:t>
            </w:r>
          </w:p>
        </w:tc>
        <w:tc>
          <w:tcPr>
            <w:tcW w:w="2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63</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income tax expense</w:t>
            </w:r>
          </w:p>
        </w:tc>
        <w:tc>
          <w:tcPr>
            <w:tcW w:w="296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$7,476</w:t>
            </w:r>
          </w:p>
        </w:tc>
        <w:tc>
          <w:tcPr>
            <w:tcW w:w="9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$3,365</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The first-quarter estimated annual effective tax rate on continuing operations was 29.4 percent in 2019, compared to 32.5 percent for the same period in 2018.</w:t>
      </w:r>
    </w:p>
    <w:p>
      <w:pPr>
        <w:spacing w:after="0" w:line="1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Income tax expense for the quarter was computed in accordance with ASC 740-270 “Income Taxes – Interim Reporting”. Under this method, loss jurisdictions, which cannot recognize a tax benefit with regard to their generated losses, are excluded from the annual effective tax rate (AETR) calculation and their taxes will be recorded discretely in each quarter.</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Company’s tax rate is affected by recurring items such as the income tax rate in the U.S. and in non-U.S. jurisdictions and the mix of income earned in those jurisdictions, including changes in losses and income from excluded loss jurisdictions, and the impact of discrete items in the respective quarter.</w:t>
      </w:r>
    </w:p>
    <w:p>
      <w:pPr>
        <w:spacing w:after="0" w:line="137"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The Company records the residual U.S. and foreign taxes on certain amounts of foreign earnings that have been targeted for repatriation to the U.S. These amounts are not considered to be indefinitely reinvested, and the Company accrued for the tax cost on these earnings to the extent they cannot be repatriated in a tax-free manner. The Company has targeted for repatriation $159.2 million of current year and prior year earnings of the Company’s foreign operations. If these earnings were distributed, the Company would be subject to foreign withholding taxes of $4.1 million and state income taxes of $3.3 million which have already been recorded.</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18" w:name="page19"/>
    <w:bookmarkEnd w:id="18"/>
    <w:p>
      <w:pPr>
        <w:jc w:val="both"/>
        <w:ind w:firstLine="648"/>
        <w:spacing w:after="0" w:line="248" w:lineRule="auto"/>
        <w:rPr>
          <w:sz w:val="20"/>
          <w:szCs w:val="20"/>
          <w:color w:val="auto"/>
        </w:rPr>
      </w:pPr>
      <w:r>
        <w:rPr>
          <w:rFonts w:ascii="Arial" w:cs="Arial" w:eastAsia="Arial" w:hAnsi="Arial"/>
          <w:sz w:val="18"/>
          <w:szCs w:val="18"/>
          <w:color w:val="auto"/>
        </w:rPr>
        <w:t>The Company conducts business globally and, as a result, files income tax returns in the U.S. federal jurisdiction and various state and foreign jurisdictions. In the normal course of business the Company is subject to examination by taxing authorities throughout the world, including major jurisdictions such as the United States, Brazil, Canada, France, Germany, Italy, Mexico, and Switzerland. The open tax years in these jurisdictions range from 2007 to 2019. The Company is currently under audit in non-U.S. tax jurisdictions, including but not limited to Italy.</w:t>
      </w:r>
    </w:p>
    <w:p>
      <w:pPr>
        <w:spacing w:after="0" w:line="130"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8"/>
          <w:szCs w:val="18"/>
          <w:color w:val="auto"/>
        </w:rPr>
        <w:t>In the first quarter of 2019, the Company recorded a net benefit of $ 2.2 million for tax audit settlements with Canada. The Canadian Revenue Agency agreed to accept the Company’s appeal of all protested issues. The Company has begun to receive refunds from the Canadian Revenue Agency and Ontario for taxes that were pre-paid at the time of protests. As such, the Company determined that it is more likely than not that the liability for unrecognized tax benefits of $2.2 million that was recorded as of December 31, 2018 was no longer warranted and thus it was reduced in the first quarter of 2019, resulting in a $2.2 million discrete tax benefit.</w:t>
      </w:r>
    </w:p>
    <w:p>
      <w:pPr>
        <w:spacing w:after="0" w:line="14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As of each reporting date, management considers new evidence, both positive and negative, that could affect its view of the future realization of deferred tax assets. There was no evidence obtained during the first quarter 2019 that would require the Company to make any changes to its view of the future realization of deferred tax assets. In the first quarter of 2019, the Company recorded a $1.3 million out-of-period immaterial adjustment related to a German tax valuation allowance.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 Earnings Per Share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amounts used in computing earnings per share and the weighted average number of shares of potentially dilutive securities are as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340" w:type="dxa"/>
            <w:vAlign w:val="bottom"/>
            <w:tcBorders>
              <w:top w:val="single" w:sz="8" w:color="auto"/>
            </w:tcBorders>
          </w:tcPr>
          <w:p>
            <w:pPr>
              <w:spacing w:after="0"/>
              <w:rPr>
                <w:sz w:val="16"/>
                <w:szCs w:val="16"/>
                <w:color w:val="auto"/>
              </w:rPr>
            </w:pPr>
          </w:p>
        </w:tc>
        <w:tc>
          <w:tcPr>
            <w:tcW w:w="6080" w:type="dxa"/>
            <w:vAlign w:val="bottom"/>
            <w:tcBorders>
              <w:top w:val="single" w:sz="8" w:color="auto"/>
            </w:tcBorders>
            <w:gridSpan w:val="2"/>
          </w:tcPr>
          <w:p>
            <w:pPr>
              <w:jc w:val="right"/>
              <w:ind w:right="730"/>
              <w:spacing w:after="0" w:line="191"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17"/>
                <w:szCs w:val="17"/>
                <w:color w:val="auto"/>
              </w:rPr>
            </w:pPr>
          </w:p>
        </w:tc>
        <w:tc>
          <w:tcPr>
            <w:tcW w:w="490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rPr>
              <w:t>March 31,</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market price and earnings per share)</w:t>
            </w:r>
          </w:p>
        </w:tc>
        <w:tc>
          <w:tcPr>
            <w:tcW w:w="49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b w:val="1"/>
                <w:bCs w:val="1"/>
                <w:color w:val="auto"/>
              </w:rPr>
              <w:t>2019</w:t>
            </w: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5340" w:type="dxa"/>
            <w:vAlign w:val="bottom"/>
          </w:tcPr>
          <w:p>
            <w:pPr>
              <w:spacing w:after="0"/>
              <w:rPr>
                <w:sz w:val="20"/>
                <w:szCs w:val="20"/>
                <w:color w:val="auto"/>
              </w:rPr>
            </w:pPr>
            <w:r>
              <w:rPr>
                <w:rFonts w:ascii="Arial" w:cs="Arial" w:eastAsia="Arial" w:hAnsi="Arial"/>
                <w:sz w:val="18"/>
                <w:szCs w:val="18"/>
                <w:color w:val="auto"/>
              </w:rPr>
              <w:t>Net income attributable to the Company</w:t>
            </w:r>
          </w:p>
        </w:tc>
        <w:tc>
          <w:tcPr>
            <w:tcW w:w="4900" w:type="dxa"/>
            <w:vAlign w:val="bottom"/>
          </w:tcPr>
          <w:p>
            <w:pPr>
              <w:jc w:val="right"/>
              <w:ind w:right="430"/>
              <w:spacing w:after="0"/>
              <w:rPr>
                <w:sz w:val="20"/>
                <w:szCs w:val="20"/>
                <w:color w:val="auto"/>
              </w:rPr>
            </w:pPr>
            <w:r>
              <w:rPr>
                <w:rFonts w:ascii="Arial" w:cs="Arial" w:eastAsia="Arial" w:hAnsi="Arial"/>
                <w:sz w:val="18"/>
                <w:szCs w:val="18"/>
                <w:b w:val="1"/>
                <w:bCs w:val="1"/>
                <w:color w:val="auto"/>
              </w:rPr>
              <w:t>$29,190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$7,662</w:t>
            </w:r>
          </w:p>
        </w:tc>
        <w:tc>
          <w:tcPr>
            <w:tcW w:w="0" w:type="dxa"/>
            <w:vAlign w:val="bottom"/>
          </w:tcPr>
          <w:p>
            <w:pPr>
              <w:spacing w:after="0"/>
              <w:rPr>
                <w:sz w:val="1"/>
                <w:szCs w:val="1"/>
                <w:color w:val="auto"/>
              </w:rPr>
            </w:pPr>
          </w:p>
        </w:tc>
      </w:tr>
      <w:tr>
        <w:trPr>
          <w:trHeight w:val="376"/>
        </w:trPr>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49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80"/>
              <w:spacing w:after="0" w:line="202" w:lineRule="exact"/>
              <w:rPr>
                <w:sz w:val="20"/>
                <w:szCs w:val="20"/>
                <w:color w:val="auto"/>
              </w:rPr>
            </w:pPr>
            <w:r>
              <w:rPr>
                <w:rFonts w:ascii="Arial" w:cs="Arial" w:eastAsia="Arial" w:hAnsi="Arial"/>
                <w:sz w:val="18"/>
                <w:szCs w:val="18"/>
                <w:color w:val="auto"/>
              </w:rPr>
              <w:t>Weighted average number of shares used in</w:t>
            </w:r>
          </w:p>
        </w:tc>
        <w:tc>
          <w:tcPr>
            <w:tcW w:w="49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32,272</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180"/>
              <w:spacing w:after="0" w:line="201" w:lineRule="exact"/>
              <w:rPr>
                <w:sz w:val="20"/>
                <w:szCs w:val="20"/>
                <w:color w:val="auto"/>
              </w:rPr>
            </w:pPr>
            <w:r>
              <w:rPr>
                <w:rFonts w:ascii="Arial" w:cs="Arial" w:eastAsia="Arial" w:hAnsi="Arial"/>
                <w:sz w:val="18"/>
                <w:szCs w:val="18"/>
                <w:color w:val="auto"/>
              </w:rPr>
              <w:t>calculating basic net income per share</w:t>
            </w:r>
          </w:p>
        </w:tc>
        <w:tc>
          <w:tcPr>
            <w:tcW w:w="4900" w:type="dxa"/>
            <w:vAlign w:val="bottom"/>
            <w:vMerge w:val="continue"/>
          </w:tcPr>
          <w:p>
            <w:pPr>
              <w:spacing w:after="0"/>
              <w:rPr>
                <w:sz w:val="17"/>
                <w:szCs w:val="17"/>
                <w:color w:val="auto"/>
              </w:rPr>
            </w:pPr>
          </w:p>
        </w:tc>
        <w:tc>
          <w:tcPr>
            <w:tcW w:w="12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32,220</w:t>
            </w:r>
          </w:p>
        </w:tc>
        <w:tc>
          <w:tcPr>
            <w:tcW w:w="0" w:type="dxa"/>
            <w:vAlign w:val="bottom"/>
          </w:tcPr>
          <w:p>
            <w:pPr>
              <w:spacing w:after="0"/>
              <w:rPr>
                <w:sz w:val="1"/>
                <w:szCs w:val="1"/>
                <w:color w:val="auto"/>
              </w:rPr>
            </w:pPr>
          </w:p>
        </w:tc>
      </w:tr>
      <w:tr>
        <w:trPr>
          <w:trHeight w:val="205"/>
        </w:trPr>
        <w:tc>
          <w:tcPr>
            <w:tcW w:w="5340" w:type="dxa"/>
            <w:vAlign w:val="bottom"/>
          </w:tcPr>
          <w:p>
            <w:pPr>
              <w:spacing w:after="0" w:line="205" w:lineRule="exact"/>
              <w:rPr>
                <w:sz w:val="20"/>
                <w:szCs w:val="20"/>
                <w:color w:val="auto"/>
              </w:rPr>
            </w:pPr>
            <w:r>
              <w:rPr>
                <w:rFonts w:ascii="Arial" w:cs="Arial" w:eastAsia="Arial" w:hAnsi="Arial"/>
                <w:sz w:val="18"/>
                <w:szCs w:val="18"/>
                <w:b w:val="1"/>
                <w:bCs w:val="1"/>
                <w:color w:val="auto"/>
              </w:rPr>
              <w:t>Effect of dilutive stock-based compensation plans:</w:t>
            </w:r>
          </w:p>
        </w:tc>
        <w:tc>
          <w:tcPr>
            <w:tcW w:w="490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13</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180"/>
              <w:spacing w:after="0"/>
              <w:rPr>
                <w:sz w:val="20"/>
                <w:szCs w:val="20"/>
                <w:color w:val="auto"/>
              </w:rPr>
            </w:pPr>
            <w:r>
              <w:rPr>
                <w:rFonts w:ascii="Arial" w:cs="Arial" w:eastAsia="Arial" w:hAnsi="Arial"/>
                <w:sz w:val="18"/>
                <w:szCs w:val="18"/>
                <w:color w:val="auto"/>
              </w:rPr>
              <w:t>Stock options</w:t>
            </w:r>
          </w:p>
        </w:tc>
        <w:tc>
          <w:tcPr>
            <w:tcW w:w="4900" w:type="dxa"/>
            <w:vAlign w:val="bottom"/>
            <w:vMerge w:val="continue"/>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76"/>
        </w:trPr>
        <w:tc>
          <w:tcPr>
            <w:tcW w:w="5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Weighted average number of shares used in</w:t>
            </w:r>
          </w:p>
        </w:tc>
        <w:tc>
          <w:tcPr>
            <w:tcW w:w="490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32,285</w:t>
            </w: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180"/>
              <w:spacing w:after="0"/>
              <w:rPr>
                <w:sz w:val="20"/>
                <w:szCs w:val="20"/>
                <w:color w:val="auto"/>
              </w:rPr>
            </w:pPr>
            <w:r>
              <w:rPr>
                <w:rFonts w:ascii="Arial" w:cs="Arial" w:eastAsia="Arial" w:hAnsi="Arial"/>
                <w:sz w:val="18"/>
                <w:szCs w:val="18"/>
                <w:color w:val="auto"/>
              </w:rPr>
              <w:t>calculating diluted net income per share</w:t>
            </w:r>
          </w:p>
        </w:tc>
        <w:tc>
          <w:tcPr>
            <w:tcW w:w="4900" w:type="dxa"/>
            <w:vAlign w:val="bottom"/>
            <w:vMerge w:val="continue"/>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32,236</w:t>
            </w:r>
          </w:p>
        </w:tc>
        <w:tc>
          <w:tcPr>
            <w:tcW w:w="0" w:type="dxa"/>
            <w:vAlign w:val="bottom"/>
          </w:tcPr>
          <w:p>
            <w:pPr>
              <w:spacing w:after="0"/>
              <w:rPr>
                <w:sz w:val="1"/>
                <w:szCs w:val="1"/>
                <w:color w:val="auto"/>
              </w:rPr>
            </w:pPr>
          </w:p>
        </w:tc>
      </w:tr>
      <w:tr>
        <w:trPr>
          <w:trHeight w:val="376"/>
        </w:trPr>
        <w:tc>
          <w:tcPr>
            <w:tcW w:w="53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Average market price of common stock used</w:t>
            </w:r>
          </w:p>
        </w:tc>
        <w:tc>
          <w:tcPr>
            <w:tcW w:w="490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$71.24</w:t>
            </w: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340" w:type="dxa"/>
            <w:vAlign w:val="bottom"/>
          </w:tcPr>
          <w:p>
            <w:pPr>
              <w:ind w:left="180"/>
              <w:spacing w:after="0"/>
              <w:rPr>
                <w:sz w:val="20"/>
                <w:szCs w:val="20"/>
                <w:color w:val="auto"/>
              </w:rPr>
            </w:pPr>
            <w:r>
              <w:rPr>
                <w:rFonts w:ascii="Arial" w:cs="Arial" w:eastAsia="Arial" w:hAnsi="Arial"/>
                <w:sz w:val="18"/>
                <w:szCs w:val="18"/>
                <w:color w:val="auto"/>
              </w:rPr>
              <w:t>for calculation of dilutive shares</w:t>
            </w:r>
          </w:p>
        </w:tc>
        <w:tc>
          <w:tcPr>
            <w:tcW w:w="4900" w:type="dxa"/>
            <w:vAlign w:val="bottom"/>
            <w:vMerge w:val="continue"/>
          </w:tcPr>
          <w:p>
            <w:pPr>
              <w:spacing w:after="0"/>
              <w:rPr>
                <w:sz w:val="19"/>
                <w:szCs w:val="19"/>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$63.86</w:t>
            </w:r>
          </w:p>
        </w:tc>
        <w:tc>
          <w:tcPr>
            <w:tcW w:w="0" w:type="dxa"/>
            <w:vAlign w:val="bottom"/>
          </w:tcPr>
          <w:p>
            <w:pPr>
              <w:spacing w:after="0"/>
              <w:rPr>
                <w:sz w:val="1"/>
                <w:szCs w:val="1"/>
                <w:color w:val="auto"/>
              </w:rPr>
            </w:pPr>
          </w:p>
        </w:tc>
      </w:tr>
      <w:tr>
        <w:trPr>
          <w:trHeight w:val="376"/>
        </w:trPr>
        <w:tc>
          <w:tcPr>
            <w:tcW w:w="53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the Company per share:</w:t>
            </w:r>
          </w:p>
        </w:tc>
        <w:tc>
          <w:tcPr>
            <w:tcW w:w="4900" w:type="dxa"/>
            <w:vAlign w:val="bottom"/>
            <w:tcBorders>
              <w:top w:val="single" w:sz="8" w:color="auto"/>
            </w:tcBorders>
            <w:vMerge w:val="restart"/>
          </w:tcPr>
          <w:p>
            <w:pPr>
              <w:jc w:val="right"/>
              <w:ind w:right="430"/>
              <w:spacing w:after="0"/>
              <w:rPr>
                <w:sz w:val="20"/>
                <w:szCs w:val="20"/>
                <w:color w:val="auto"/>
              </w:rPr>
            </w:pPr>
            <w:r>
              <w:rPr>
                <w:rFonts w:ascii="Arial" w:cs="Arial" w:eastAsia="Arial" w:hAnsi="Arial"/>
                <w:sz w:val="18"/>
                <w:szCs w:val="18"/>
                <w:b w:val="1"/>
                <w:bCs w:val="1"/>
                <w:color w:val="auto"/>
              </w:rPr>
              <w:t>$0.90</w:t>
            </w: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340" w:type="dxa"/>
            <w:vAlign w:val="bottom"/>
          </w:tcPr>
          <w:p>
            <w:pPr>
              <w:ind w:left="180"/>
              <w:spacing w:after="0" w:line="201" w:lineRule="exact"/>
              <w:rPr>
                <w:sz w:val="20"/>
                <w:szCs w:val="20"/>
                <w:color w:val="auto"/>
              </w:rPr>
            </w:pPr>
            <w:r>
              <w:rPr>
                <w:rFonts w:ascii="Arial" w:cs="Arial" w:eastAsia="Arial" w:hAnsi="Arial"/>
                <w:sz w:val="18"/>
                <w:szCs w:val="18"/>
                <w:color w:val="auto"/>
              </w:rPr>
              <w:t>Basic</w:t>
            </w:r>
          </w:p>
        </w:tc>
        <w:tc>
          <w:tcPr>
            <w:tcW w:w="4900" w:type="dxa"/>
            <w:vAlign w:val="bottom"/>
            <w:vMerge w:val="continue"/>
          </w:tcPr>
          <w:p>
            <w:pPr>
              <w:spacing w:after="0"/>
              <w:rPr>
                <w:sz w:val="17"/>
                <w:szCs w:val="17"/>
                <w:color w:val="auto"/>
              </w:rPr>
            </w:pPr>
          </w:p>
        </w:tc>
        <w:tc>
          <w:tcPr>
            <w:tcW w:w="120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27"/>
        </w:trPr>
        <w:tc>
          <w:tcPr>
            <w:tcW w:w="5340" w:type="dxa"/>
            <w:vAlign w:val="bottom"/>
          </w:tcPr>
          <w:p>
            <w:pPr>
              <w:ind w:left="180"/>
              <w:spacing w:after="0"/>
              <w:rPr>
                <w:sz w:val="20"/>
                <w:szCs w:val="20"/>
                <w:color w:val="auto"/>
              </w:rPr>
            </w:pPr>
            <w:r>
              <w:rPr>
                <w:rFonts w:ascii="Arial" w:cs="Arial" w:eastAsia="Arial" w:hAnsi="Arial"/>
                <w:sz w:val="18"/>
                <w:szCs w:val="18"/>
                <w:color w:val="auto"/>
              </w:rPr>
              <w:t>Diluted</w:t>
            </w:r>
          </w:p>
        </w:tc>
        <w:tc>
          <w:tcPr>
            <w:tcW w:w="4900" w:type="dxa"/>
            <w:vAlign w:val="bottom"/>
          </w:tcPr>
          <w:p>
            <w:pPr>
              <w:jc w:val="right"/>
              <w:ind w:right="430"/>
              <w:spacing w:after="0"/>
              <w:rPr>
                <w:sz w:val="20"/>
                <w:szCs w:val="20"/>
                <w:color w:val="auto"/>
              </w:rPr>
            </w:pPr>
            <w:r>
              <w:rPr>
                <w:rFonts w:ascii="Arial" w:cs="Arial" w:eastAsia="Arial" w:hAnsi="Arial"/>
                <w:sz w:val="18"/>
                <w:szCs w:val="18"/>
                <w:b w:val="1"/>
                <w:bCs w:val="1"/>
                <w:color w:val="auto"/>
              </w:rPr>
              <w:t>$0.90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318"/>
        </w:trPr>
        <w:tc>
          <w:tcPr>
            <w:tcW w:w="5340" w:type="dxa"/>
            <w:vAlign w:val="bottom"/>
            <w:tcBorders>
              <w:top w:val="single" w:sz="8" w:color="auto"/>
            </w:tcBorders>
          </w:tcPr>
          <w:p>
            <w:pPr>
              <w:spacing w:after="0"/>
              <w:rPr>
                <w:sz w:val="24"/>
                <w:szCs w:val="24"/>
                <w:color w:val="auto"/>
              </w:rPr>
            </w:pPr>
          </w:p>
        </w:tc>
        <w:tc>
          <w:tcPr>
            <w:tcW w:w="4900" w:type="dxa"/>
            <w:vAlign w:val="bottom"/>
            <w:tcBorders>
              <w:top w:val="single" w:sz="8" w:color="auto"/>
            </w:tcBorders>
          </w:tcPr>
          <w:p>
            <w:pPr>
              <w:jc w:val="right"/>
              <w:ind w:right="4350"/>
              <w:spacing w:after="0"/>
              <w:rPr>
                <w:sz w:val="20"/>
                <w:szCs w:val="20"/>
                <w:color w:val="auto"/>
              </w:rPr>
            </w:pPr>
            <w:r>
              <w:rPr>
                <w:rFonts w:ascii="Times New Roman" w:cs="Times New Roman" w:eastAsia="Times New Roman" w:hAnsi="Times New Roman"/>
                <w:sz w:val="18"/>
                <w:szCs w:val="18"/>
                <w:color w:val="auto"/>
              </w:rPr>
              <w:t>19</w:t>
            </w:r>
          </w:p>
        </w:tc>
        <w:tc>
          <w:tcPr>
            <w:tcW w:w="11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340" w:type="dxa"/>
            <w:vAlign w:val="bottom"/>
            <w:tcBorders>
              <w:bottom w:val="single" w:sz="8" w:color="auto"/>
            </w:tcBorders>
          </w:tcPr>
          <w:p>
            <w:pPr>
              <w:spacing w:after="0"/>
              <w:rPr>
                <w:sz w:val="12"/>
                <w:szCs w:val="12"/>
                <w:color w:val="auto"/>
              </w:rPr>
            </w:pPr>
          </w:p>
        </w:tc>
        <w:tc>
          <w:tcPr>
            <w:tcW w:w="49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9. Accumulated Other Comprehensive Income (AOCI)</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2018 to March 31, 2019:</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rPr>
              <w:t>Pension and</w:t>
            </w:r>
          </w:p>
        </w:tc>
        <w:tc>
          <w:tcPr>
            <w:tcW w:w="1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Derivative</w:t>
            </w:r>
          </w:p>
        </w:tc>
        <w:tc>
          <w:tcPr>
            <w:tcW w:w="17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5200" w:type="dxa"/>
            <w:vAlign w:val="bottom"/>
          </w:tcPr>
          <w:p>
            <w:pPr>
              <w:spacing w:after="0"/>
              <w:rPr>
                <w:sz w:val="17"/>
                <w:szCs w:val="17"/>
                <w:color w:val="auto"/>
              </w:rPr>
            </w:pP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Translation</w:t>
            </w:r>
          </w:p>
        </w:tc>
        <w:tc>
          <w:tcPr>
            <w:tcW w:w="15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liability</w:t>
            </w:r>
          </w:p>
        </w:tc>
        <w:tc>
          <w:tcPr>
            <w:tcW w:w="13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valuation</w:t>
            </w:r>
          </w:p>
        </w:tc>
        <w:tc>
          <w:tcPr>
            <w:tcW w:w="1720" w:type="dxa"/>
            <w:vAlign w:val="bottom"/>
            <w:gridSpan w:val="2"/>
          </w:tcPr>
          <w:p>
            <w:pPr>
              <w:jc w:val="center"/>
              <w:ind w:right="140"/>
              <w:spacing w:after="0" w:line="202" w:lineRule="exact"/>
              <w:rPr>
                <w:sz w:val="20"/>
                <w:szCs w:val="20"/>
                <w:color w:val="auto"/>
              </w:rPr>
            </w:pPr>
            <w:r>
              <w:rPr>
                <w:rFonts w:ascii="Arial" w:cs="Arial" w:eastAsia="Arial" w:hAnsi="Arial"/>
                <w:sz w:val="18"/>
                <w:szCs w:val="18"/>
                <w:b w:val="1"/>
                <w:bCs w:val="1"/>
                <w:color w:val="auto"/>
                <w:w w:val="99"/>
              </w:rPr>
              <w:t>Comprehensive</w:t>
            </w:r>
          </w:p>
        </w:tc>
      </w:tr>
      <w:tr>
        <w:trPr>
          <w:trHeight w:val="227"/>
        </w:trPr>
        <w:tc>
          <w:tcPr>
            <w:tcW w:w="52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64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adjustments</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adjustments</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adjustment</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8"/>
              </w:rPr>
              <w:t>Income</w:t>
            </w:r>
          </w:p>
        </w:tc>
      </w:tr>
      <w:tr>
        <w:trPr>
          <w:trHeight w:val="196"/>
        </w:trPr>
        <w:tc>
          <w:tcPr>
            <w:tcW w:w="5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2018</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($115,976)</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($47,109)</w:t>
            </w:r>
          </w:p>
        </w:tc>
        <w:tc>
          <w:tcPr>
            <w:tcW w:w="13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$4,697</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($158,388)</w:t>
            </w:r>
          </w:p>
        </w:tc>
        <w:tc>
          <w:tcPr>
            <w:tcW w:w="20" w:type="dxa"/>
            <w:vAlign w:val="bottom"/>
            <w:tcBorders>
              <w:bottom w:val="single" w:sz="8" w:color="auto"/>
            </w:tcBorders>
          </w:tcPr>
          <w:p>
            <w:pPr>
              <w:spacing w:after="0"/>
              <w:rPr>
                <w:sz w:val="17"/>
                <w:szCs w:val="17"/>
                <w:color w:val="auto"/>
              </w:rPr>
            </w:pPr>
          </w:p>
        </w:tc>
      </w:tr>
      <w:tr>
        <w:trPr>
          <w:trHeight w:val="173"/>
        </w:trPr>
        <w:tc>
          <w:tcPr>
            <w:tcW w:w="5200" w:type="dxa"/>
            <w:vAlign w:val="bottom"/>
          </w:tcPr>
          <w:p>
            <w:pPr>
              <w:spacing w:after="0" w:line="173" w:lineRule="exact"/>
              <w:rPr>
                <w:sz w:val="20"/>
                <w:szCs w:val="20"/>
                <w:color w:val="auto"/>
              </w:rPr>
            </w:pPr>
            <w:r>
              <w:rPr>
                <w:rFonts w:ascii="Arial" w:cs="Arial" w:eastAsia="Arial" w:hAnsi="Arial"/>
                <w:sz w:val="18"/>
                <w:szCs w:val="18"/>
                <w:color w:val="auto"/>
              </w:rPr>
              <w:t>Other comprehensive income/(loss) before reclassifications</w:t>
            </w:r>
          </w:p>
        </w:tc>
        <w:tc>
          <w:tcPr>
            <w:tcW w:w="1640" w:type="dxa"/>
            <w:vAlign w:val="bottom"/>
          </w:tcPr>
          <w:p>
            <w:pPr>
              <w:jc w:val="right"/>
              <w:spacing w:after="0" w:line="173" w:lineRule="exact"/>
              <w:rPr>
                <w:sz w:val="20"/>
                <w:szCs w:val="20"/>
                <w:color w:val="auto"/>
              </w:rPr>
            </w:pPr>
            <w:r>
              <w:rPr>
                <w:rFonts w:ascii="Arial" w:cs="Arial" w:eastAsia="Arial" w:hAnsi="Arial"/>
                <w:sz w:val="18"/>
                <w:szCs w:val="18"/>
                <w:color w:val="auto"/>
              </w:rPr>
              <w:t>(654)</w:t>
            </w:r>
          </w:p>
        </w:tc>
        <w:tc>
          <w:tcPr>
            <w:tcW w:w="1580" w:type="dxa"/>
            <w:vAlign w:val="bottom"/>
          </w:tcPr>
          <w:p>
            <w:pPr>
              <w:jc w:val="right"/>
              <w:spacing w:after="0" w:line="173" w:lineRule="exact"/>
              <w:rPr>
                <w:sz w:val="20"/>
                <w:szCs w:val="20"/>
                <w:color w:val="auto"/>
              </w:rPr>
            </w:pPr>
            <w:r>
              <w:rPr>
                <w:rFonts w:ascii="Arial" w:cs="Arial" w:eastAsia="Arial" w:hAnsi="Arial"/>
                <w:sz w:val="18"/>
                <w:szCs w:val="18"/>
                <w:color w:val="auto"/>
              </w:rPr>
              <w:t>(152)</w:t>
            </w:r>
          </w:p>
        </w:tc>
        <w:tc>
          <w:tcPr>
            <w:tcW w:w="1300" w:type="dxa"/>
            <w:vAlign w:val="bottom"/>
          </w:tcPr>
          <w:p>
            <w:pPr>
              <w:jc w:val="right"/>
              <w:ind w:right="30"/>
              <w:spacing w:after="0" w:line="173" w:lineRule="exact"/>
              <w:rPr>
                <w:sz w:val="20"/>
                <w:szCs w:val="20"/>
                <w:color w:val="auto"/>
              </w:rPr>
            </w:pPr>
            <w:r>
              <w:rPr>
                <w:rFonts w:ascii="Arial" w:cs="Arial" w:eastAsia="Arial" w:hAnsi="Arial"/>
                <w:sz w:val="18"/>
                <w:szCs w:val="18"/>
                <w:color w:val="auto"/>
              </w:rPr>
              <w:t>(2,514)</w:t>
            </w:r>
          </w:p>
        </w:tc>
        <w:tc>
          <w:tcPr>
            <w:tcW w:w="1720" w:type="dxa"/>
            <w:vAlign w:val="bottom"/>
            <w:gridSpan w:val="2"/>
          </w:tcPr>
          <w:p>
            <w:pPr>
              <w:jc w:val="right"/>
              <w:ind w:right="20"/>
              <w:spacing w:after="0" w:line="173" w:lineRule="exact"/>
              <w:rPr>
                <w:sz w:val="20"/>
                <w:szCs w:val="20"/>
                <w:color w:val="auto"/>
              </w:rPr>
            </w:pPr>
            <w:r>
              <w:rPr>
                <w:rFonts w:ascii="Arial" w:cs="Arial" w:eastAsia="Arial" w:hAnsi="Arial"/>
                <w:sz w:val="18"/>
                <w:szCs w:val="18"/>
                <w:color w:val="auto"/>
              </w:rPr>
              <w:t>(3,320)</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Consolidated Statements of Income, net of tax</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(337)</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(337)</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Consolidated Statements of Income, net of tax</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Adjustment related to prior period change in opening valuation</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(1,346)</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(1,346)</w:t>
            </w: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(654)</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(1,487)</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(2,851)</w:t>
            </w:r>
          </w:p>
        </w:tc>
        <w:tc>
          <w:tcPr>
            <w:tcW w:w="17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(4,992)</w:t>
            </w: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March 31, 2019</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($116,630)</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($48,596)</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$1,846</w:t>
            </w:r>
          </w:p>
        </w:tc>
        <w:tc>
          <w:tcPr>
            <w:tcW w:w="17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($163,380)</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changes in the components of AOCI for the period December 31, 2017 to March 31, 2018:</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2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rPr>
              <w:t>Pension and</w:t>
            </w:r>
          </w:p>
        </w:tc>
        <w:tc>
          <w:tcPr>
            <w:tcW w:w="1300" w:type="dxa"/>
            <w:vAlign w:val="bottom"/>
            <w:tcBorders>
              <w:top w:val="single" w:sz="8" w:color="auto"/>
            </w:tcBorders>
          </w:tcPr>
          <w:p>
            <w:pPr>
              <w:spacing w:after="0"/>
              <w:rPr>
                <w:sz w:val="16"/>
                <w:szCs w:val="16"/>
                <w:color w:val="auto"/>
              </w:rPr>
            </w:pPr>
          </w:p>
        </w:tc>
        <w:tc>
          <w:tcPr>
            <w:tcW w:w="17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2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5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postretirement</w:t>
            </w:r>
          </w:p>
        </w:tc>
        <w:tc>
          <w:tcPr>
            <w:tcW w:w="130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9"/>
              </w:rPr>
              <w:t>Derivative</w:t>
            </w:r>
          </w:p>
        </w:tc>
        <w:tc>
          <w:tcPr>
            <w:tcW w:w="17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7"/>
              </w:rPr>
              <w:t>Total Other</w:t>
            </w:r>
          </w:p>
        </w:tc>
      </w:tr>
      <w:tr>
        <w:trPr>
          <w:trHeight w:val="203"/>
        </w:trPr>
        <w:tc>
          <w:tcPr>
            <w:tcW w:w="5200" w:type="dxa"/>
            <w:vAlign w:val="bottom"/>
          </w:tcPr>
          <w:p>
            <w:pPr>
              <w:spacing w:after="0"/>
              <w:rPr>
                <w:sz w:val="17"/>
                <w:szCs w:val="17"/>
                <w:color w:val="auto"/>
              </w:rPr>
            </w:pPr>
          </w:p>
        </w:tc>
        <w:tc>
          <w:tcPr>
            <w:tcW w:w="1640" w:type="dxa"/>
            <w:vAlign w:val="bottom"/>
          </w:tcPr>
          <w:p>
            <w:pPr>
              <w:jc w:val="right"/>
              <w:ind w:right="310"/>
              <w:spacing w:after="0" w:line="202" w:lineRule="exact"/>
              <w:rPr>
                <w:sz w:val="20"/>
                <w:szCs w:val="20"/>
                <w:color w:val="auto"/>
              </w:rPr>
            </w:pPr>
            <w:r>
              <w:rPr>
                <w:rFonts w:ascii="Arial" w:cs="Arial" w:eastAsia="Arial" w:hAnsi="Arial"/>
                <w:sz w:val="18"/>
                <w:szCs w:val="18"/>
                <w:b w:val="1"/>
                <w:bCs w:val="1"/>
                <w:color w:val="auto"/>
              </w:rPr>
              <w:t>Translation</w:t>
            </w:r>
          </w:p>
        </w:tc>
        <w:tc>
          <w:tcPr>
            <w:tcW w:w="15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liability</w:t>
            </w:r>
          </w:p>
        </w:tc>
        <w:tc>
          <w:tcPr>
            <w:tcW w:w="13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valuation</w:t>
            </w:r>
          </w:p>
        </w:tc>
        <w:tc>
          <w:tcPr>
            <w:tcW w:w="17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Comprehensive</w:t>
            </w:r>
          </w:p>
        </w:tc>
      </w:tr>
      <w:tr>
        <w:trPr>
          <w:trHeight w:val="227"/>
        </w:trPr>
        <w:tc>
          <w:tcPr>
            <w:tcW w:w="520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164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adjustments</w:t>
            </w:r>
          </w:p>
        </w:tc>
        <w:tc>
          <w:tcPr>
            <w:tcW w:w="15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adjustments</w:t>
            </w: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adjustment</w:t>
            </w:r>
          </w:p>
        </w:tc>
        <w:tc>
          <w:tcPr>
            <w:tcW w:w="17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8"/>
              </w:rPr>
              <w:t>Income</w:t>
            </w:r>
          </w:p>
        </w:tc>
      </w:tr>
      <w:tr>
        <w:trPr>
          <w:trHeight w:val="196"/>
        </w:trPr>
        <w:tc>
          <w:tcPr>
            <w:tcW w:w="5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1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($87,318)</w:t>
            </w:r>
          </w:p>
        </w:tc>
        <w:tc>
          <w:tcPr>
            <w:tcW w:w="1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($50,536)</w:t>
            </w:r>
          </w:p>
        </w:tc>
        <w:tc>
          <w:tcPr>
            <w:tcW w:w="130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$1,953</w:t>
            </w:r>
          </w:p>
        </w:tc>
        <w:tc>
          <w:tcPr>
            <w:tcW w:w="1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($135,901)</w:t>
            </w:r>
          </w:p>
        </w:tc>
        <w:tc>
          <w:tcPr>
            <w:tcW w:w="40" w:type="dxa"/>
            <w:vAlign w:val="bottom"/>
            <w:tcBorders>
              <w:bottom w:val="single" w:sz="8" w:color="auto"/>
            </w:tcBorders>
            <w:gridSpan w:val="2"/>
          </w:tcPr>
          <w:p>
            <w:pPr>
              <w:spacing w:after="0"/>
              <w:rPr>
                <w:sz w:val="17"/>
                <w:szCs w:val="17"/>
                <w:color w:val="auto"/>
              </w:rPr>
            </w:pPr>
          </w:p>
        </w:tc>
      </w:tr>
      <w:tr>
        <w:trPr>
          <w:trHeight w:val="173"/>
        </w:trPr>
        <w:tc>
          <w:tcPr>
            <w:tcW w:w="5200" w:type="dxa"/>
            <w:vAlign w:val="bottom"/>
          </w:tcPr>
          <w:p>
            <w:pPr>
              <w:spacing w:after="0" w:line="173" w:lineRule="exact"/>
              <w:rPr>
                <w:sz w:val="20"/>
                <w:szCs w:val="20"/>
                <w:color w:val="auto"/>
              </w:rPr>
            </w:pPr>
            <w:r>
              <w:rPr>
                <w:rFonts w:ascii="Arial" w:cs="Arial" w:eastAsia="Arial" w:hAnsi="Arial"/>
                <w:sz w:val="18"/>
                <w:szCs w:val="18"/>
                <w:color w:val="auto"/>
              </w:rPr>
              <w:t>Other comprehensive income/(loss) before reclassifications</w:t>
            </w:r>
          </w:p>
        </w:tc>
        <w:tc>
          <w:tcPr>
            <w:tcW w:w="1640" w:type="dxa"/>
            <w:vAlign w:val="bottom"/>
          </w:tcPr>
          <w:p>
            <w:pPr>
              <w:jc w:val="right"/>
              <w:spacing w:after="0" w:line="173" w:lineRule="exact"/>
              <w:rPr>
                <w:sz w:val="20"/>
                <w:szCs w:val="20"/>
                <w:color w:val="auto"/>
              </w:rPr>
            </w:pPr>
            <w:r>
              <w:rPr>
                <w:rFonts w:ascii="Arial" w:cs="Arial" w:eastAsia="Arial" w:hAnsi="Arial"/>
                <w:sz w:val="18"/>
                <w:szCs w:val="18"/>
                <w:color w:val="auto"/>
              </w:rPr>
              <w:t>17,646</w:t>
            </w:r>
          </w:p>
        </w:tc>
        <w:tc>
          <w:tcPr>
            <w:tcW w:w="1580" w:type="dxa"/>
            <w:vAlign w:val="bottom"/>
          </w:tcPr>
          <w:p>
            <w:pPr>
              <w:jc w:val="right"/>
              <w:spacing w:after="0" w:line="173" w:lineRule="exact"/>
              <w:rPr>
                <w:sz w:val="20"/>
                <w:szCs w:val="20"/>
                <w:color w:val="auto"/>
              </w:rPr>
            </w:pPr>
            <w:r>
              <w:rPr>
                <w:rFonts w:ascii="Arial" w:cs="Arial" w:eastAsia="Arial" w:hAnsi="Arial"/>
                <w:sz w:val="18"/>
                <w:szCs w:val="18"/>
                <w:color w:val="auto"/>
              </w:rPr>
              <w:t>(141)</w:t>
            </w:r>
          </w:p>
        </w:tc>
        <w:tc>
          <w:tcPr>
            <w:tcW w:w="1300" w:type="dxa"/>
            <w:vAlign w:val="bottom"/>
          </w:tcPr>
          <w:p>
            <w:pPr>
              <w:jc w:val="right"/>
              <w:ind w:right="30"/>
              <w:spacing w:after="0" w:line="173" w:lineRule="exact"/>
              <w:rPr>
                <w:sz w:val="20"/>
                <w:szCs w:val="20"/>
                <w:color w:val="auto"/>
              </w:rPr>
            </w:pPr>
            <w:r>
              <w:rPr>
                <w:rFonts w:ascii="Arial" w:cs="Arial" w:eastAsia="Arial" w:hAnsi="Arial"/>
                <w:sz w:val="18"/>
                <w:szCs w:val="18"/>
                <w:color w:val="auto"/>
              </w:rPr>
              <w:t>4,343</w:t>
            </w:r>
          </w:p>
        </w:tc>
        <w:tc>
          <w:tcPr>
            <w:tcW w:w="1740" w:type="dxa"/>
            <w:vAlign w:val="bottom"/>
            <w:gridSpan w:val="3"/>
          </w:tcPr>
          <w:p>
            <w:pPr>
              <w:jc w:val="right"/>
              <w:ind w:right="40"/>
              <w:spacing w:after="0" w:line="173" w:lineRule="exact"/>
              <w:rPr>
                <w:sz w:val="20"/>
                <w:szCs w:val="20"/>
                <w:color w:val="auto"/>
              </w:rPr>
            </w:pPr>
            <w:r>
              <w:rPr>
                <w:rFonts w:ascii="Arial" w:cs="Arial" w:eastAsia="Arial" w:hAnsi="Arial"/>
                <w:sz w:val="18"/>
                <w:szCs w:val="18"/>
                <w:color w:val="auto"/>
              </w:rPr>
              <w:t>21,848</w:t>
            </w: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Interest expense related to swaps reclassified to the</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Consolidated Statements of Income, net of tax</w:t>
            </w: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137</w:t>
            </w:r>
          </w:p>
        </w:tc>
        <w:tc>
          <w:tcPr>
            <w:tcW w:w="17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7"/>
                <w:szCs w:val="17"/>
                <w:color w:val="auto"/>
              </w:rPr>
            </w:pPr>
          </w:p>
        </w:tc>
      </w:tr>
      <w:tr>
        <w:trPr>
          <w:trHeight w:val="203"/>
        </w:trPr>
        <w:tc>
          <w:tcPr>
            <w:tcW w:w="5200" w:type="dxa"/>
            <w:vAlign w:val="bottom"/>
          </w:tcPr>
          <w:p>
            <w:pPr>
              <w:spacing w:after="0" w:line="202" w:lineRule="exact"/>
              <w:rPr>
                <w:sz w:val="20"/>
                <w:szCs w:val="20"/>
                <w:color w:val="auto"/>
              </w:rPr>
            </w:pPr>
            <w:r>
              <w:rPr>
                <w:rFonts w:ascii="Arial" w:cs="Arial" w:eastAsia="Arial" w:hAnsi="Arial"/>
                <w:sz w:val="18"/>
                <w:szCs w:val="18"/>
                <w:color w:val="auto"/>
              </w:rPr>
              <w:t>Pension and postretirement liability adjustments reclassified to</w:t>
            </w:r>
          </w:p>
        </w:tc>
        <w:tc>
          <w:tcPr>
            <w:tcW w:w="1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5"/>
        </w:trPr>
        <w:tc>
          <w:tcPr>
            <w:tcW w:w="5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Consolidated Statements of Income, net of tax</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128</w:t>
            </w:r>
          </w:p>
        </w:tc>
        <w:tc>
          <w:tcPr>
            <w:tcW w:w="20" w:type="dxa"/>
            <w:vAlign w:val="bottom"/>
          </w:tcPr>
          <w:p>
            <w:pPr>
              <w:spacing w:after="0"/>
              <w:rPr>
                <w:sz w:val="19"/>
                <w:szCs w:val="19"/>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current period other comprehensive income</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17,646</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4,480</w:t>
            </w:r>
          </w:p>
        </w:tc>
        <w:tc>
          <w:tcPr>
            <w:tcW w:w="17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22,113</w:t>
            </w:r>
          </w:p>
        </w:tc>
        <w:tc>
          <w:tcPr>
            <w:tcW w:w="20" w:type="dxa"/>
            <w:vAlign w:val="bottom"/>
          </w:tcPr>
          <w:p>
            <w:pPr>
              <w:spacing w:after="0"/>
              <w:rPr>
                <w:sz w:val="17"/>
                <w:szCs w:val="17"/>
                <w:color w:val="auto"/>
              </w:rPr>
            </w:pPr>
          </w:p>
        </w:tc>
      </w:tr>
      <w:tr>
        <w:trPr>
          <w:trHeight w:val="196"/>
        </w:trPr>
        <w:tc>
          <w:tcPr>
            <w:tcW w:w="5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March 31, 2018</w:t>
            </w:r>
          </w:p>
        </w:tc>
        <w:tc>
          <w:tcPr>
            <w:tcW w:w="1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($69,672)</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($50,549)</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$6,433</w:t>
            </w:r>
          </w:p>
        </w:tc>
        <w:tc>
          <w:tcPr>
            <w:tcW w:w="17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b w:val="1"/>
                <w:bCs w:val="1"/>
                <w:color w:val="auto"/>
              </w:rPr>
              <w:t>($113,788)</w:t>
            </w:r>
          </w:p>
        </w:tc>
        <w:tc>
          <w:tcPr>
            <w:tcW w:w="20" w:type="dxa"/>
            <w:vAlign w:val="bottom"/>
            <w:tcBorders>
              <w:bottom w:val="single" w:sz="8" w:color="auto"/>
            </w:tcBorders>
          </w:tcPr>
          <w:p>
            <w:pPr>
              <w:spacing w:after="0"/>
              <w:rPr>
                <w:sz w:val="17"/>
                <w:szCs w:val="17"/>
                <w:color w:val="auto"/>
              </w:rPr>
            </w:pPr>
          </w:p>
        </w:tc>
      </w:tr>
    </w:tbl>
    <w:p>
      <w:pPr>
        <w:spacing w:after="0" w:line="193" w:lineRule="exact"/>
        <w:rPr>
          <w:sz w:val="20"/>
          <w:szCs w:val="20"/>
          <w:color w:val="auto"/>
        </w:rPr>
      </w:pPr>
    </w:p>
    <w:p>
      <w:pPr>
        <w:ind w:right="540" w:firstLine="648"/>
        <w:spacing w:after="0" w:line="276" w:lineRule="auto"/>
        <w:rPr>
          <w:sz w:val="20"/>
          <w:szCs w:val="20"/>
          <w:color w:val="auto"/>
        </w:rPr>
      </w:pPr>
      <w:r>
        <w:rPr>
          <w:rFonts w:ascii="Arial" w:cs="Arial" w:eastAsia="Arial" w:hAnsi="Arial"/>
          <w:sz w:val="18"/>
          <w:szCs w:val="18"/>
          <w:color w:val="auto"/>
        </w:rPr>
        <w:t>The components of our Accumulated Other Comprehensive Income that are reclassified to the Statement of Income relate to our pension and postretirement plans and interest rate swaps.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0" w:name="page21"/>
    <w:bookmarkEnd w:id="20"/>
    <w:p>
      <w:pPr>
        <w:ind w:left="660" w:right="360" w:firstLine="648"/>
        <w:spacing w:after="0" w:line="276" w:lineRule="auto"/>
        <w:rPr>
          <w:sz w:val="20"/>
          <w:szCs w:val="20"/>
          <w:color w:val="auto"/>
        </w:rPr>
      </w:pPr>
      <w:r>
        <w:rPr>
          <w:rFonts w:ascii="Arial" w:cs="Arial" w:eastAsia="Arial" w:hAnsi="Arial"/>
          <w:sz w:val="18"/>
          <w:szCs w:val="18"/>
          <w:color w:val="auto"/>
        </w:rPr>
        <w:t>The table below presents the expense/(income) amounts reclassified, and the line items of the Consolidated Statements of Income that were affected for the three months ended March 31, 2019 and 2018.</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8760" w:type="dxa"/>
            <w:vAlign w:val="bottom"/>
            <w:tcBorders>
              <w:top w:val="single" w:sz="8" w:color="auto"/>
            </w:tcBorders>
          </w:tcPr>
          <w:p>
            <w:pPr>
              <w:spacing w:after="0"/>
              <w:rPr>
                <w:sz w:val="16"/>
                <w:szCs w:val="16"/>
                <w:color w:val="auto"/>
              </w:rPr>
            </w:pPr>
          </w:p>
        </w:tc>
        <w:tc>
          <w:tcPr>
            <w:tcW w:w="2640" w:type="dxa"/>
            <w:vAlign w:val="bottom"/>
            <w:tcBorders>
              <w:top w:val="single" w:sz="8" w:color="auto"/>
            </w:tcBorders>
            <w:gridSpan w:val="2"/>
          </w:tcPr>
          <w:p>
            <w:pPr>
              <w:jc w:val="right"/>
              <w:ind w:right="390"/>
              <w:spacing w:after="0" w:line="191"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spacing w:after="0"/>
              <w:rPr>
                <w:sz w:val="17"/>
                <w:szCs w:val="17"/>
                <w:color w:val="auto"/>
              </w:rPr>
            </w:pPr>
          </w:p>
        </w:tc>
        <w:tc>
          <w:tcPr>
            <w:tcW w:w="17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76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2019</w:t>
            </w: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878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Pretax Derivative valuation reclassified from Accumulated Other Comprehensive Income:</w:t>
            </w:r>
          </w:p>
        </w:tc>
        <w:tc>
          <w:tcPr>
            <w:tcW w:w="1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60" w:type="dxa"/>
            <w:vAlign w:val="bottom"/>
          </w:tcPr>
          <w:p>
            <w:pPr>
              <w:ind w:left="160"/>
              <w:spacing w:after="0" w:line="202" w:lineRule="exact"/>
              <w:rPr>
                <w:sz w:val="20"/>
                <w:szCs w:val="20"/>
                <w:color w:val="auto"/>
              </w:rPr>
            </w:pPr>
            <w:r>
              <w:rPr>
                <w:rFonts w:ascii="Arial" w:cs="Arial" w:eastAsia="Arial" w:hAnsi="Arial"/>
                <w:sz w:val="18"/>
                <w:szCs w:val="18"/>
                <w:color w:val="auto"/>
              </w:rPr>
              <w:t>Expense related to interest rate swaps included in Income</w:t>
            </w:r>
          </w:p>
        </w:tc>
        <w:tc>
          <w:tcPr>
            <w:tcW w:w="1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($452)</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60" w:type="dxa"/>
            <w:vAlign w:val="bottom"/>
          </w:tcPr>
          <w:p>
            <w:pPr>
              <w:ind w:left="160"/>
              <w:spacing w:after="0" w:line="201" w:lineRule="exact"/>
              <w:rPr>
                <w:sz w:val="20"/>
                <w:szCs w:val="20"/>
                <w:color w:val="auto"/>
              </w:rPr>
            </w:pPr>
            <w:r>
              <w:rPr>
                <w:rFonts w:ascii="Arial" w:cs="Arial" w:eastAsia="Arial" w:hAnsi="Arial"/>
                <w:sz w:val="18"/>
                <w:szCs w:val="18"/>
                <w:color w:val="auto"/>
              </w:rPr>
              <w:t>before taxes (a)</w:t>
            </w:r>
          </w:p>
        </w:tc>
        <w:tc>
          <w:tcPr>
            <w:tcW w:w="1760" w:type="dxa"/>
            <w:vAlign w:val="bottom"/>
            <w:vMerge w:val="continue"/>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Income tax effect</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115</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8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17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($337)</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Pretax pension and postretirement liabilities reclassified from Accumulated Other Comprehensive</w:t>
            </w:r>
          </w:p>
        </w:tc>
        <w:tc>
          <w:tcPr>
            <w:tcW w:w="1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7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Income:</w:t>
            </w:r>
          </w:p>
        </w:tc>
        <w:tc>
          <w:tcPr>
            <w:tcW w:w="176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(1,105)</w:t>
            </w: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8760" w:type="dxa"/>
            <w:vAlign w:val="bottom"/>
          </w:tcPr>
          <w:p>
            <w:pPr>
              <w:ind w:left="160"/>
              <w:spacing w:after="0" w:line="201" w:lineRule="exact"/>
              <w:rPr>
                <w:sz w:val="20"/>
                <w:szCs w:val="20"/>
                <w:color w:val="auto"/>
              </w:rPr>
            </w:pPr>
            <w:r>
              <w:rPr>
                <w:rFonts w:ascii="Arial" w:cs="Arial" w:eastAsia="Arial" w:hAnsi="Arial"/>
                <w:sz w:val="18"/>
                <w:szCs w:val="18"/>
                <w:color w:val="auto"/>
              </w:rPr>
              <w:t>Amortization of prior service credit</w:t>
            </w:r>
          </w:p>
        </w:tc>
        <w:tc>
          <w:tcPr>
            <w:tcW w:w="1760" w:type="dxa"/>
            <w:vAlign w:val="bottom"/>
            <w:vMerge w:val="continue"/>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(1,114)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7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Amortization of net actuarial loss</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1,121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line="171" w:lineRule="exact"/>
              <w:rPr>
                <w:sz w:val="20"/>
                <w:szCs w:val="20"/>
                <w:color w:val="auto"/>
              </w:rPr>
            </w:pPr>
            <w:r>
              <w:rPr>
                <w:rFonts w:ascii="Arial" w:cs="Arial" w:eastAsia="Arial" w:hAnsi="Arial"/>
                <w:sz w:val="18"/>
                <w:szCs w:val="18"/>
                <w:color w:val="auto"/>
              </w:rPr>
              <w:t>Total pretax amount reclassified (b)</w:t>
            </w:r>
          </w:p>
        </w:tc>
        <w:tc>
          <w:tcPr>
            <w:tcW w:w="1760" w:type="dxa"/>
            <w:vAlign w:val="bottom"/>
          </w:tcPr>
          <w:p>
            <w:pPr>
              <w:jc w:val="right"/>
              <w:ind w:right="270"/>
              <w:spacing w:after="0" w:line="171" w:lineRule="exact"/>
              <w:rPr>
                <w:sz w:val="20"/>
                <w:szCs w:val="20"/>
                <w:color w:val="auto"/>
              </w:rPr>
            </w:pPr>
            <w:r>
              <w:rPr>
                <w:rFonts w:ascii="Arial" w:cs="Arial" w:eastAsia="Arial" w:hAnsi="Arial"/>
                <w:sz w:val="18"/>
                <w:szCs w:val="18"/>
                <w:b w:val="1"/>
                <w:bCs w:val="1"/>
                <w:color w:val="auto"/>
              </w:rPr>
              <w:t>16</w:t>
            </w:r>
          </w:p>
        </w:tc>
        <w:tc>
          <w:tcPr>
            <w:tcW w:w="880" w:type="dxa"/>
            <w:vAlign w:val="bottom"/>
          </w:tcPr>
          <w:p>
            <w:pPr>
              <w:jc w:val="right"/>
              <w:spacing w:after="0" w:line="171" w:lineRule="exact"/>
              <w:rPr>
                <w:sz w:val="20"/>
                <w:szCs w:val="20"/>
                <w:color w:val="auto"/>
              </w:rPr>
            </w:pPr>
            <w:r>
              <w:rPr>
                <w:rFonts w:ascii="Arial" w:cs="Arial" w:eastAsia="Arial" w:hAnsi="Arial"/>
                <w:sz w:val="18"/>
                <w:szCs w:val="18"/>
                <w:color w:val="auto"/>
              </w:rPr>
              <w:t>183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8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 effect</w:t>
            </w:r>
          </w:p>
        </w:tc>
        <w:tc>
          <w:tcPr>
            <w:tcW w:w="1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(5)</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87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Effect on net income due to items reclassified from Accumulated Other Comprehensive Income</w:t>
            </w:r>
          </w:p>
        </w:tc>
        <w:tc>
          <w:tcPr>
            <w:tcW w:w="17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b w:val="1"/>
                <w:bCs w:val="1"/>
                <w:color w:val="auto"/>
              </w:rPr>
              <w:t>$11</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260" w:hanging="328"/>
        <w:spacing w:after="0" w:line="247" w:lineRule="auto"/>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Included in Interest expense, net, are payments related to the interest rate swap agreements and amortization of swap buyouts (see Notes 15 and 16).</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These accumulated other comprehensive income components are included in the computation of net periodic cost (see Note 4).</w:t>
      </w:r>
    </w:p>
    <w:p>
      <w:pPr>
        <w:spacing w:after="0" w:line="351"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Noncontrolling Interest</w:t>
      </w:r>
    </w:p>
    <w:p>
      <w:pPr>
        <w:spacing w:after="0" w:line="185" w:lineRule="exact"/>
        <w:rPr>
          <w:sz w:val="20"/>
          <w:szCs w:val="20"/>
          <w:color w:val="auto"/>
        </w:rPr>
      </w:pPr>
    </w:p>
    <w:p>
      <w:pPr>
        <w:ind w:right="200" w:firstLine="648"/>
        <w:spacing w:after="0" w:line="243" w:lineRule="auto"/>
        <w:rPr>
          <w:sz w:val="20"/>
          <w:szCs w:val="20"/>
          <w:color w:val="auto"/>
        </w:rPr>
      </w:pPr>
      <w:r>
        <w:rPr>
          <w:rFonts w:ascii="Arial" w:cs="Arial" w:eastAsia="Arial" w:hAnsi="Arial"/>
          <w:sz w:val="18"/>
          <w:szCs w:val="18"/>
          <w:color w:val="auto"/>
        </w:rPr>
        <w:t>Effective October 31, 2013, Safran S.A. (Safran) acquired a 10 percent equity interest in a new Albany subsidiary, Albany Safran Composites, LLC (ASC). Under the terms of the transaction agreements, ASC is the exclusive supplier to Safran of advanced 3D-woven composite parts for use in aircraft and rocket engines, thrust reversers and nacelles, and aircraft landing and braking systems (the “Safran Applications”). AEC may develop and supply parts other than advanced 3D-woven composite parts for all aerospace applications, as well as advanced 3D-woven composite parts for any aerospace applications that are not Safran Applications (such as airframe applications) and any non-aerospace applications.</w:t>
      </w:r>
    </w:p>
    <w:p>
      <w:pPr>
        <w:spacing w:after="0" w:line="134"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The agreement provides Safran an option to purchase Albany’s remaining 90 percent interest upon the occurrence of certain bankruptcy or performance default events, or if Albany’s Engineered Composites business is sold to a direct competitor of Safran. The purchase price is based initially on the same valuation of ASC used to determine Safran’s 10 percent equity interest, and increases over time as LEAP production increases.</w:t>
      </w:r>
    </w:p>
    <w:p>
      <w:pPr>
        <w:spacing w:after="0" w:line="130" w:lineRule="exact"/>
        <w:rPr>
          <w:sz w:val="20"/>
          <w:szCs w:val="20"/>
          <w:color w:val="auto"/>
        </w:rPr>
      </w:pPr>
    </w:p>
    <w:p>
      <w:pPr>
        <w:jc w:val="both"/>
        <w:ind w:right="120" w:firstLine="648"/>
        <w:spacing w:after="0" w:line="276" w:lineRule="auto"/>
        <w:rPr>
          <w:sz w:val="20"/>
          <w:szCs w:val="20"/>
          <w:color w:val="auto"/>
        </w:rPr>
      </w:pPr>
      <w:r>
        <w:rPr>
          <w:rFonts w:ascii="Arial" w:cs="Arial" w:eastAsia="Arial" w:hAnsi="Arial"/>
          <w:sz w:val="18"/>
          <w:szCs w:val="18"/>
          <w:color w:val="auto"/>
        </w:rPr>
        <w:t>In accordance with the operating agreement, Albany received a $28 million preferred holding in ASC which includes a preferred return based on the Company’s revolving credit agreement. The common shares of ASC are owned 90 percent by Albany and 10 percent by Safran.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color w:val="auto"/>
        </w:rPr>
        <w:t>The table below presents a reconciliation of income attributable to the noncontrolling interest and noncontrolling equity in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Company’s subsidiary Albany Safran Composites, LLC:</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7620" w:type="dxa"/>
            <w:vAlign w:val="bottom"/>
            <w:tcBorders>
              <w:top w:val="single" w:sz="8" w:color="auto"/>
            </w:tcBorders>
          </w:tcPr>
          <w:p>
            <w:pPr>
              <w:spacing w:after="0"/>
              <w:rPr>
                <w:sz w:val="16"/>
                <w:szCs w:val="16"/>
                <w:color w:val="auto"/>
              </w:rPr>
            </w:pPr>
          </w:p>
        </w:tc>
        <w:tc>
          <w:tcPr>
            <w:tcW w:w="3780" w:type="dxa"/>
            <w:vAlign w:val="bottom"/>
            <w:tcBorders>
              <w:top w:val="single" w:sz="8" w:color="auto"/>
            </w:tcBorders>
            <w:gridSpan w:val="2"/>
          </w:tcPr>
          <w:p>
            <w:pPr>
              <w:jc w:val="right"/>
              <w:ind w:right="530"/>
              <w:spacing w:after="0" w:line="191"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gridSpan w:val="2"/>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76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w:t>
            </w:r>
          </w:p>
        </w:tc>
        <w:tc>
          <w:tcPr>
            <w:tcW w:w="98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76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w:t>
            </w:r>
          </w:p>
        </w:tc>
        <w:tc>
          <w:tcPr>
            <w:tcW w:w="2800" w:type="dxa"/>
            <w:vAlign w:val="bottom"/>
            <w:tcBorders>
              <w:bottom w:val="single" w:sz="8" w:color="auto"/>
            </w:tcBorders>
          </w:tcPr>
          <w:p>
            <w:pPr>
              <w:jc w:val="right"/>
              <w:ind w:right="890"/>
              <w:spacing w:after="0" w:line="196" w:lineRule="exact"/>
              <w:rPr>
                <w:sz w:val="20"/>
                <w:szCs w:val="20"/>
                <w:color w:val="auto"/>
              </w:rPr>
            </w:pPr>
            <w:r>
              <w:rPr>
                <w:rFonts w:ascii="Arial" w:cs="Arial" w:eastAsia="Arial" w:hAnsi="Arial"/>
                <w:sz w:val="18"/>
                <w:szCs w:val="18"/>
                <w:b w:val="1"/>
                <w:bCs w:val="1"/>
                <w:color w:val="auto"/>
              </w:rPr>
              <w:t>2019</w:t>
            </w:r>
          </w:p>
        </w:tc>
        <w:tc>
          <w:tcPr>
            <w:tcW w:w="9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1"/>
        </w:trPr>
        <w:tc>
          <w:tcPr>
            <w:tcW w:w="7640" w:type="dxa"/>
            <w:vAlign w:val="bottom"/>
            <w:gridSpan w:val="2"/>
          </w:tcPr>
          <w:p>
            <w:pPr>
              <w:spacing w:after="0" w:line="171" w:lineRule="exact"/>
              <w:rPr>
                <w:sz w:val="20"/>
                <w:szCs w:val="20"/>
                <w:color w:val="auto"/>
              </w:rPr>
            </w:pPr>
            <w:r>
              <w:rPr>
                <w:rFonts w:ascii="Arial" w:cs="Arial" w:eastAsia="Arial" w:hAnsi="Arial"/>
                <w:sz w:val="18"/>
                <w:szCs w:val="18"/>
                <w:color w:val="auto"/>
              </w:rPr>
              <w:t>Net income of Albany Safran Composites (ASC)</w:t>
            </w:r>
          </w:p>
        </w:tc>
        <w:tc>
          <w:tcPr>
            <w:tcW w:w="2800" w:type="dxa"/>
            <w:vAlign w:val="bottom"/>
          </w:tcPr>
          <w:p>
            <w:pPr>
              <w:jc w:val="right"/>
              <w:ind w:right="290"/>
              <w:spacing w:after="0" w:line="171" w:lineRule="exact"/>
              <w:rPr>
                <w:sz w:val="20"/>
                <w:szCs w:val="20"/>
                <w:color w:val="auto"/>
              </w:rPr>
            </w:pPr>
            <w:r>
              <w:rPr>
                <w:rFonts w:ascii="Arial" w:cs="Arial" w:eastAsia="Arial" w:hAnsi="Arial"/>
                <w:sz w:val="18"/>
                <w:szCs w:val="18"/>
                <w:b w:val="1"/>
                <w:bCs w:val="1"/>
                <w:color w:val="auto"/>
              </w:rPr>
              <w:t>$2,510</w:t>
            </w:r>
          </w:p>
        </w:tc>
        <w:tc>
          <w:tcPr>
            <w:tcW w:w="980" w:type="dxa"/>
            <w:vAlign w:val="bottom"/>
          </w:tcPr>
          <w:p>
            <w:pPr>
              <w:jc w:val="right"/>
              <w:spacing w:after="0" w:line="171" w:lineRule="exact"/>
              <w:rPr>
                <w:sz w:val="20"/>
                <w:szCs w:val="20"/>
                <w:color w:val="auto"/>
              </w:rPr>
            </w:pPr>
            <w:r>
              <w:rPr>
                <w:rFonts w:ascii="Arial" w:cs="Arial" w:eastAsia="Arial" w:hAnsi="Arial"/>
                <w:sz w:val="18"/>
                <w:szCs w:val="18"/>
                <w:color w:val="auto"/>
              </w:rPr>
              <w:t>$2,681</w:t>
            </w:r>
          </w:p>
        </w:tc>
        <w:tc>
          <w:tcPr>
            <w:tcW w:w="40" w:type="dxa"/>
            <w:vAlign w:val="bottom"/>
            <w:gridSpan w:val="2"/>
          </w:tcPr>
          <w:p>
            <w:pPr>
              <w:spacing w:after="0"/>
              <w:rPr>
                <w:sz w:val="14"/>
                <w:szCs w:val="14"/>
                <w:color w:val="auto"/>
              </w:rPr>
            </w:pPr>
          </w:p>
        </w:tc>
      </w:tr>
      <w:tr>
        <w:trPr>
          <w:trHeight w:val="227"/>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Less: Return attributable to the Company's preferred holding</w:t>
            </w:r>
          </w:p>
        </w:tc>
        <w:tc>
          <w:tcPr>
            <w:tcW w:w="2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328</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9"/>
                <w:szCs w:val="19"/>
                <w:color w:val="auto"/>
              </w:rPr>
            </w:pPr>
          </w:p>
        </w:tc>
      </w:tr>
      <w:tr>
        <w:trPr>
          <w:trHeight w:val="171"/>
        </w:trPr>
        <w:tc>
          <w:tcPr>
            <w:tcW w:w="7640" w:type="dxa"/>
            <w:vAlign w:val="bottom"/>
            <w:gridSpan w:val="2"/>
          </w:tcPr>
          <w:p>
            <w:pPr>
              <w:spacing w:after="0" w:line="171" w:lineRule="exact"/>
              <w:rPr>
                <w:sz w:val="20"/>
                <w:szCs w:val="20"/>
                <w:color w:val="auto"/>
              </w:rPr>
            </w:pPr>
            <w:r>
              <w:rPr>
                <w:rFonts w:ascii="Arial" w:cs="Arial" w:eastAsia="Arial" w:hAnsi="Arial"/>
                <w:sz w:val="18"/>
                <w:szCs w:val="18"/>
                <w:color w:val="auto"/>
              </w:rPr>
              <w:t>Net income of ASC available for common ownership</w:t>
            </w:r>
          </w:p>
        </w:tc>
        <w:tc>
          <w:tcPr>
            <w:tcW w:w="2800" w:type="dxa"/>
            <w:vAlign w:val="bottom"/>
          </w:tcPr>
          <w:p>
            <w:pPr>
              <w:jc w:val="right"/>
              <w:ind w:right="290"/>
              <w:spacing w:after="0" w:line="171" w:lineRule="exact"/>
              <w:rPr>
                <w:sz w:val="20"/>
                <w:szCs w:val="20"/>
                <w:color w:val="auto"/>
              </w:rPr>
            </w:pPr>
            <w:r>
              <w:rPr>
                <w:rFonts w:ascii="Arial" w:cs="Arial" w:eastAsia="Arial" w:hAnsi="Arial"/>
                <w:sz w:val="18"/>
                <w:szCs w:val="18"/>
                <w:b w:val="1"/>
                <w:bCs w:val="1"/>
                <w:color w:val="auto"/>
              </w:rPr>
              <w:t>$2,182</w:t>
            </w:r>
          </w:p>
        </w:tc>
        <w:tc>
          <w:tcPr>
            <w:tcW w:w="1000" w:type="dxa"/>
            <w:vAlign w:val="bottom"/>
            <w:gridSpan w:val="2"/>
          </w:tcPr>
          <w:p>
            <w:pPr>
              <w:jc w:val="right"/>
              <w:ind w:right="20"/>
              <w:spacing w:after="0" w:line="171" w:lineRule="exact"/>
              <w:rPr>
                <w:sz w:val="20"/>
                <w:szCs w:val="20"/>
                <w:color w:val="auto"/>
              </w:rPr>
            </w:pPr>
            <w:r>
              <w:rPr>
                <w:rFonts w:ascii="Arial" w:cs="Arial" w:eastAsia="Arial" w:hAnsi="Arial"/>
                <w:sz w:val="18"/>
                <w:szCs w:val="18"/>
                <w:color w:val="auto"/>
              </w:rPr>
              <w:t>$2,369</w:t>
            </w:r>
          </w:p>
        </w:tc>
        <w:tc>
          <w:tcPr>
            <w:tcW w:w="20" w:type="dxa"/>
            <w:vAlign w:val="bottom"/>
          </w:tcPr>
          <w:p>
            <w:pPr>
              <w:spacing w:after="0"/>
              <w:rPr>
                <w:sz w:val="14"/>
                <w:szCs w:val="14"/>
                <w:color w:val="auto"/>
              </w:rPr>
            </w:pPr>
          </w:p>
        </w:tc>
      </w:tr>
      <w:tr>
        <w:trPr>
          <w:trHeight w:val="227"/>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Ownership percentage of noncontrolling shareholder</w:t>
            </w:r>
          </w:p>
        </w:tc>
        <w:tc>
          <w:tcPr>
            <w:tcW w:w="2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10%</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r>
        <w:trPr>
          <w:trHeight w:val="196"/>
        </w:trPr>
        <w:tc>
          <w:tcPr>
            <w:tcW w:w="7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Net income attributable to noncontrolling interest</w:t>
            </w:r>
          </w:p>
        </w:tc>
        <w:tc>
          <w:tcPr>
            <w:tcW w:w="2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$218</w:t>
            </w:r>
          </w:p>
        </w:tc>
        <w:tc>
          <w:tcPr>
            <w:tcW w:w="10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$237</w:t>
            </w:r>
          </w:p>
        </w:tc>
        <w:tc>
          <w:tcPr>
            <w:tcW w:w="20" w:type="dxa"/>
            <w:vAlign w:val="bottom"/>
          </w:tcPr>
          <w:p>
            <w:pPr>
              <w:spacing w:after="0"/>
              <w:rPr>
                <w:sz w:val="17"/>
                <w:szCs w:val="17"/>
                <w:color w:val="auto"/>
              </w:rPr>
            </w:pPr>
          </w:p>
        </w:tc>
      </w:tr>
      <w:tr>
        <w:trPr>
          <w:trHeight w:val="374"/>
        </w:trPr>
        <w:tc>
          <w:tcPr>
            <w:tcW w:w="7640" w:type="dxa"/>
            <w:vAlign w:val="bottom"/>
            <w:gridSpan w:val="2"/>
          </w:tcPr>
          <w:p>
            <w:pPr>
              <w:spacing w:after="0"/>
              <w:rPr>
                <w:sz w:val="20"/>
                <w:szCs w:val="20"/>
                <w:color w:val="auto"/>
              </w:rPr>
            </w:pPr>
            <w:r>
              <w:rPr>
                <w:rFonts w:ascii="Arial" w:cs="Arial" w:eastAsia="Arial" w:hAnsi="Arial"/>
                <w:sz w:val="18"/>
                <w:szCs w:val="18"/>
                <w:color w:val="auto"/>
              </w:rPr>
              <w:t>Noncontrolling interest, beginning of year</w:t>
            </w:r>
          </w:p>
        </w:tc>
        <w:tc>
          <w:tcPr>
            <w:tcW w:w="2800" w:type="dxa"/>
            <w:vAlign w:val="bottom"/>
          </w:tcPr>
          <w:p>
            <w:pPr>
              <w:jc w:val="right"/>
              <w:ind w:right="290"/>
              <w:spacing w:after="0"/>
              <w:rPr>
                <w:sz w:val="20"/>
                <w:szCs w:val="20"/>
                <w:color w:val="auto"/>
              </w:rPr>
            </w:pPr>
            <w:r>
              <w:rPr>
                <w:rFonts w:ascii="Arial" w:cs="Arial" w:eastAsia="Arial" w:hAnsi="Arial"/>
                <w:sz w:val="18"/>
                <w:szCs w:val="18"/>
                <w:b w:val="1"/>
                <w:bCs w:val="1"/>
                <w:color w:val="auto"/>
              </w:rPr>
              <w:t>$3,031</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$3,247</w:t>
            </w:r>
          </w:p>
        </w:tc>
      </w:tr>
      <w:tr>
        <w:trPr>
          <w:trHeight w:val="203"/>
        </w:trPr>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Decrease attributable to 2018 adoption of ASC 606</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(327)</w:t>
            </w:r>
          </w:p>
        </w:tc>
        <w:tc>
          <w:tcPr>
            <w:tcW w:w="20" w:type="dxa"/>
            <w:vAlign w:val="bottom"/>
          </w:tcPr>
          <w:p>
            <w:pPr>
              <w:spacing w:after="0"/>
              <w:rPr>
                <w:sz w:val="17"/>
                <w:szCs w:val="17"/>
                <w:color w:val="auto"/>
              </w:rPr>
            </w:pPr>
          </w:p>
        </w:tc>
      </w:tr>
      <w:tr>
        <w:trPr>
          <w:trHeight w:val="203"/>
        </w:trPr>
        <w:tc>
          <w:tcPr>
            <w:tcW w:w="7640" w:type="dxa"/>
            <w:vAlign w:val="bottom"/>
            <w:gridSpan w:val="2"/>
          </w:tcPr>
          <w:p>
            <w:pPr>
              <w:spacing w:after="0" w:line="202" w:lineRule="exact"/>
              <w:rPr>
                <w:sz w:val="20"/>
                <w:szCs w:val="20"/>
                <w:color w:val="auto"/>
              </w:rPr>
            </w:pPr>
            <w:r>
              <w:rPr>
                <w:rFonts w:ascii="Arial" w:cs="Arial" w:eastAsia="Arial" w:hAnsi="Arial"/>
                <w:sz w:val="18"/>
                <w:szCs w:val="18"/>
                <w:color w:val="auto"/>
              </w:rPr>
              <w:t>Net income attributable to noncontrolling interest</w:t>
            </w:r>
          </w:p>
        </w:tc>
        <w:tc>
          <w:tcPr>
            <w:tcW w:w="280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218</w:t>
            </w: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237</w:t>
            </w:r>
          </w:p>
        </w:tc>
        <w:tc>
          <w:tcPr>
            <w:tcW w:w="20" w:type="dxa"/>
            <w:vAlign w:val="bottom"/>
          </w:tcPr>
          <w:p>
            <w:pPr>
              <w:spacing w:after="0"/>
              <w:rPr>
                <w:sz w:val="17"/>
                <w:szCs w:val="17"/>
                <w:color w:val="auto"/>
              </w:rPr>
            </w:pPr>
          </w:p>
        </w:tc>
      </w:tr>
      <w:tr>
        <w:trPr>
          <w:trHeight w:val="227"/>
        </w:trPr>
        <w:tc>
          <w:tcPr>
            <w:tcW w:w="7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Changes in other comprehensive income attributable to noncontrolling interest</w:t>
            </w:r>
          </w:p>
        </w:tc>
        <w:tc>
          <w:tcPr>
            <w:tcW w:w="2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(8)</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r>
      <w:tr>
        <w:trPr>
          <w:trHeight w:val="196"/>
        </w:trPr>
        <w:tc>
          <w:tcPr>
            <w:tcW w:w="764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Noncontrolling interest</w:t>
            </w:r>
          </w:p>
        </w:tc>
        <w:tc>
          <w:tcPr>
            <w:tcW w:w="28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b w:val="1"/>
                <w:bCs w:val="1"/>
                <w:color w:val="auto"/>
              </w:rPr>
              <w:t>$3,241</w:t>
            </w:r>
          </w:p>
        </w:tc>
        <w:tc>
          <w:tcPr>
            <w:tcW w:w="10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$3,150</w:t>
            </w:r>
          </w:p>
        </w:tc>
        <w:tc>
          <w:tcPr>
            <w:tcW w:w="20" w:type="dxa"/>
            <w:vAlign w:val="bottom"/>
            <w:tcBorders>
              <w:bottom w:val="single" w:sz="8" w:color="auto"/>
            </w:tcBorders>
          </w:tcPr>
          <w:p>
            <w:pPr>
              <w:spacing w:after="0"/>
              <w:rPr>
                <w:sz w:val="17"/>
                <w:szCs w:val="17"/>
                <w:color w:val="auto"/>
              </w:rPr>
            </w:pP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Accounts Receivable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includes trade receivables.</w:t>
      </w:r>
    </w:p>
    <w:p>
      <w:pPr>
        <w:spacing w:after="0" w:line="171" w:lineRule="exact"/>
        <w:rPr>
          <w:sz w:val="20"/>
          <w:szCs w:val="20"/>
          <w:color w:val="auto"/>
        </w:rPr>
      </w:pPr>
    </w:p>
    <w:p>
      <w:pPr>
        <w:ind w:right="600" w:firstLine="648"/>
        <w:spacing w:after="0" w:line="276" w:lineRule="auto"/>
        <w:rPr>
          <w:sz w:val="20"/>
          <w:szCs w:val="20"/>
          <w:color w:val="auto"/>
        </w:rPr>
      </w:pPr>
      <w:r>
        <w:rPr>
          <w:rFonts w:ascii="Arial" w:cs="Arial" w:eastAsia="Arial" w:hAnsi="Arial"/>
          <w:sz w:val="18"/>
          <w:szCs w:val="18"/>
          <w:color w:val="auto"/>
        </w:rPr>
        <w:t>In connection with certain sales in Asia, the Company accepts a bank promissory note as customer payment. The notes may be presented for payment at maturity, which is less than one year.</w:t>
      </w:r>
    </w:p>
    <w:p>
      <w:pPr>
        <w:spacing w:after="0" w:line="118"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The Company also maintains allowances for doubtful accounts for estimated losses resulting from the inability of its customers to make required payments. The Company determines the allowance based on historical write-off experience, customer-specific facts and economic conditions. If the financial condition of the Company’s customers were to deteriorate, resulting in an impairment of their ability to make payments, additional allowances may be required.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2019 and December 31, 2018, Accounts receivable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20" w:type="dxa"/>
            <w:vAlign w:val="bottom"/>
            <w:tcBorders>
              <w:top w:val="single" w:sz="8" w:color="auto"/>
            </w:tcBorders>
          </w:tcPr>
          <w:p>
            <w:pPr>
              <w:spacing w:after="0"/>
              <w:rPr>
                <w:sz w:val="16"/>
                <w:szCs w:val="16"/>
                <w:color w:val="auto"/>
              </w:rPr>
            </w:pPr>
          </w:p>
        </w:tc>
        <w:tc>
          <w:tcPr>
            <w:tcW w:w="4160" w:type="dxa"/>
            <w:vAlign w:val="bottom"/>
            <w:tcBorders>
              <w:top w:val="single" w:sz="8" w:color="auto"/>
            </w:tcBorders>
          </w:tcPr>
          <w:p>
            <w:pPr>
              <w:jc w:val="right"/>
              <w:ind w:right="650"/>
              <w:spacing w:after="0" w:line="191" w:lineRule="exact"/>
              <w:rPr>
                <w:sz w:val="20"/>
                <w:szCs w:val="20"/>
                <w:color w:val="auto"/>
              </w:rPr>
            </w:pPr>
            <w:r>
              <w:rPr>
                <w:rFonts w:ascii="Arial" w:cs="Arial" w:eastAsia="Arial" w:hAnsi="Arial"/>
                <w:sz w:val="18"/>
                <w:szCs w:val="18"/>
                <w:b w:val="1"/>
                <w:bCs w:val="1"/>
                <w:color w:val="auto"/>
              </w:rPr>
              <w:t>March 31,</w:t>
            </w:r>
          </w:p>
        </w:tc>
        <w:tc>
          <w:tcPr>
            <w:tcW w:w="174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December 31,</w:t>
            </w:r>
          </w:p>
        </w:tc>
        <w:tc>
          <w:tcPr>
            <w:tcW w:w="20" w:type="dxa"/>
            <w:vAlign w:val="bottom"/>
          </w:tcPr>
          <w:p>
            <w:pPr>
              <w:spacing w:after="0"/>
              <w:rPr>
                <w:sz w:val="16"/>
                <w:szCs w:val="16"/>
                <w:color w:val="auto"/>
              </w:rPr>
            </w:pPr>
          </w:p>
        </w:tc>
      </w:tr>
      <w:tr>
        <w:trPr>
          <w:trHeight w:val="234"/>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1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2019</w:t>
            </w:r>
          </w:p>
        </w:tc>
        <w:tc>
          <w:tcPr>
            <w:tcW w:w="17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178"/>
        </w:trPr>
        <w:tc>
          <w:tcPr>
            <w:tcW w:w="5520" w:type="dxa"/>
            <w:vAlign w:val="bottom"/>
          </w:tcPr>
          <w:p>
            <w:pPr>
              <w:spacing w:after="0" w:line="178" w:lineRule="exact"/>
              <w:rPr>
                <w:sz w:val="20"/>
                <w:szCs w:val="20"/>
                <w:color w:val="auto"/>
              </w:rPr>
            </w:pPr>
            <w:r>
              <w:rPr>
                <w:rFonts w:ascii="Arial" w:cs="Arial" w:eastAsia="Arial" w:hAnsi="Arial"/>
                <w:sz w:val="18"/>
                <w:szCs w:val="18"/>
                <w:color w:val="auto"/>
              </w:rPr>
              <w:t>Trade and other accounts receivable</w:t>
            </w:r>
          </w:p>
        </w:tc>
        <w:tc>
          <w:tcPr>
            <w:tcW w:w="4160" w:type="dxa"/>
            <w:vAlign w:val="bottom"/>
          </w:tcPr>
          <w:p>
            <w:pPr>
              <w:jc w:val="right"/>
              <w:ind w:right="110"/>
              <w:spacing w:after="0" w:line="178" w:lineRule="exact"/>
              <w:rPr>
                <w:sz w:val="20"/>
                <w:szCs w:val="20"/>
                <w:color w:val="auto"/>
              </w:rPr>
            </w:pPr>
            <w:r>
              <w:rPr>
                <w:rFonts w:ascii="Arial" w:cs="Arial" w:eastAsia="Arial" w:hAnsi="Arial"/>
                <w:sz w:val="18"/>
                <w:szCs w:val="18"/>
                <w:b w:val="1"/>
                <w:bCs w:val="1"/>
                <w:color w:val="auto"/>
              </w:rPr>
              <w:t>$223,717</w:t>
            </w:r>
          </w:p>
        </w:tc>
        <w:tc>
          <w:tcPr>
            <w:tcW w:w="1740" w:type="dxa"/>
            <w:vAlign w:val="bottom"/>
          </w:tcPr>
          <w:p>
            <w:pPr>
              <w:jc w:val="right"/>
              <w:spacing w:after="0" w:line="178" w:lineRule="exact"/>
              <w:rPr>
                <w:sz w:val="20"/>
                <w:szCs w:val="20"/>
                <w:color w:val="auto"/>
              </w:rPr>
            </w:pPr>
            <w:r>
              <w:rPr>
                <w:rFonts w:ascii="Arial" w:cs="Arial" w:eastAsia="Arial" w:hAnsi="Arial"/>
                <w:sz w:val="18"/>
                <w:szCs w:val="18"/>
                <w:color w:val="auto"/>
              </w:rPr>
              <w:t>$211,244</w:t>
            </w:r>
          </w:p>
        </w:tc>
        <w:tc>
          <w:tcPr>
            <w:tcW w:w="20" w:type="dxa"/>
            <w:vAlign w:val="bottom"/>
          </w:tcPr>
          <w:p>
            <w:pPr>
              <w:spacing w:after="0"/>
              <w:rPr>
                <w:sz w:val="15"/>
                <w:szCs w:val="15"/>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Bank promissory notes</w:t>
            </w:r>
          </w:p>
        </w:tc>
        <w:tc>
          <w:tcPr>
            <w:tcW w:w="41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18,332</w:t>
            </w:r>
          </w:p>
        </w:tc>
        <w:tc>
          <w:tcPr>
            <w:tcW w:w="1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19,269</w:t>
            </w:r>
          </w:p>
        </w:tc>
      </w:tr>
      <w:tr>
        <w:trPr>
          <w:trHeight w:val="227"/>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Allowance for doubtful accounts</w:t>
            </w:r>
          </w:p>
        </w:tc>
        <w:tc>
          <w:tcPr>
            <w:tcW w:w="4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(7,922)</w:t>
            </w:r>
          </w:p>
        </w:tc>
        <w:tc>
          <w:tcPr>
            <w:tcW w:w="1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(7,337)</w:t>
            </w:r>
          </w:p>
        </w:tc>
      </w:tr>
      <w:tr>
        <w:trPr>
          <w:trHeight w:val="196"/>
        </w:trPr>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Accounts receivable, net</w:t>
            </w:r>
          </w:p>
        </w:tc>
        <w:tc>
          <w:tcPr>
            <w:tcW w:w="41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$234,127</w:t>
            </w:r>
          </w:p>
        </w:tc>
        <w:tc>
          <w:tcPr>
            <w:tcW w:w="17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$223,176</w:t>
            </w:r>
          </w:p>
        </w:tc>
      </w:tr>
    </w:tbl>
    <w:p>
      <w:pPr>
        <w:spacing w:after="0" w:line="369" w:lineRule="exact"/>
        <w:rPr>
          <w:sz w:val="20"/>
          <w:szCs w:val="20"/>
          <w:color w:val="auto"/>
        </w:rPr>
      </w:pPr>
    </w:p>
    <w:p>
      <w:pPr>
        <w:ind w:right="620"/>
        <w:spacing w:after="0" w:line="276" w:lineRule="auto"/>
        <w:rPr>
          <w:sz w:val="20"/>
          <w:szCs w:val="20"/>
          <w:color w:val="auto"/>
        </w:rPr>
      </w:pPr>
      <w:r>
        <w:rPr>
          <w:rFonts w:ascii="Arial" w:cs="Arial" w:eastAsia="Arial" w:hAnsi="Arial"/>
          <w:sz w:val="18"/>
          <w:szCs w:val="18"/>
          <w:color w:val="auto"/>
        </w:rPr>
        <w:t>The Company has Noncurrent receivables in the AEC segment that represent revenue earned which has extended payment terms. The Noncurrent receivables will be invoiced to the customer, with 2% interest, over a 10-year period starting in 2020.</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color w:val="auto"/>
        </w:rPr>
        <w:t>As of March 31, 2019 and December 31, 2018, Noncurrent receivables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980" w:type="dxa"/>
            <w:vAlign w:val="bottom"/>
            <w:tcBorders>
              <w:top w:val="single" w:sz="8" w:color="auto"/>
            </w:tcBorders>
          </w:tcPr>
          <w:p>
            <w:pPr>
              <w:spacing w:after="0"/>
              <w:rPr>
                <w:sz w:val="16"/>
                <w:szCs w:val="16"/>
                <w:color w:val="auto"/>
              </w:rPr>
            </w:pPr>
          </w:p>
        </w:tc>
        <w:tc>
          <w:tcPr>
            <w:tcW w:w="4420" w:type="dxa"/>
            <w:vAlign w:val="bottom"/>
            <w:tcBorders>
              <w:top w:val="single" w:sz="8" w:color="auto"/>
            </w:tcBorders>
          </w:tcPr>
          <w:p>
            <w:pPr>
              <w:ind w:left="3120"/>
              <w:spacing w:after="0" w:line="191" w:lineRule="exact"/>
              <w:rPr>
                <w:sz w:val="20"/>
                <w:szCs w:val="20"/>
                <w:color w:val="auto"/>
              </w:rPr>
            </w:pPr>
            <w:r>
              <w:rPr>
                <w:rFonts w:ascii="Arial" w:cs="Arial" w:eastAsia="Arial" w:hAnsi="Arial"/>
                <w:sz w:val="18"/>
                <w:szCs w:val="18"/>
                <w:b w:val="1"/>
                <w:bCs w:val="1"/>
                <w:color w:val="auto"/>
              </w:rPr>
              <w:t>March 31,</w:t>
            </w:r>
          </w:p>
        </w:tc>
        <w:tc>
          <w:tcPr>
            <w:tcW w:w="2020" w:type="dxa"/>
            <w:vAlign w:val="bottom"/>
            <w:tcBorders>
              <w:top w:val="single" w:sz="8" w:color="auto"/>
            </w:tcBorders>
          </w:tcPr>
          <w:p>
            <w:pPr>
              <w:ind w:left="460"/>
              <w:spacing w:after="0" w:line="191" w:lineRule="exact"/>
              <w:rPr>
                <w:sz w:val="20"/>
                <w:szCs w:val="20"/>
                <w:color w:val="auto"/>
              </w:rPr>
            </w:pPr>
            <w:r>
              <w:rPr>
                <w:rFonts w:ascii="Arial" w:cs="Arial" w:eastAsia="Arial" w:hAnsi="Arial"/>
                <w:sz w:val="18"/>
                <w:szCs w:val="18"/>
                <w:b w:val="1"/>
                <w:bCs w:val="1"/>
                <w:color w:val="auto"/>
              </w:rPr>
              <w:t>December 31,</w:t>
            </w:r>
          </w:p>
        </w:tc>
      </w:tr>
      <w:tr>
        <w:trPr>
          <w:trHeight w:val="227"/>
        </w:trPr>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4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20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196"/>
        </w:trPr>
        <w:tc>
          <w:tcPr>
            <w:tcW w:w="4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Noncurrent receivables</w:t>
            </w:r>
          </w:p>
        </w:tc>
        <w:tc>
          <w:tcPr>
            <w:tcW w:w="442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$45,354</w:t>
            </w:r>
          </w:p>
        </w:tc>
        <w:tc>
          <w:tcPr>
            <w:tcW w:w="20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$45,061</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Contract Assets and Liabilities</w:t>
      </w:r>
    </w:p>
    <w:p>
      <w:pPr>
        <w:spacing w:after="0" w:line="171" w:lineRule="exact"/>
        <w:rPr>
          <w:sz w:val="20"/>
          <w:szCs w:val="20"/>
          <w:color w:val="auto"/>
        </w:rPr>
      </w:pPr>
    </w:p>
    <w:p>
      <w:pPr>
        <w:ind w:right="460" w:firstLine="648"/>
        <w:spacing w:after="0" w:line="248" w:lineRule="auto"/>
        <w:rPr>
          <w:sz w:val="20"/>
          <w:szCs w:val="20"/>
          <w:color w:val="auto"/>
        </w:rPr>
      </w:pPr>
      <w:r>
        <w:rPr>
          <w:rFonts w:ascii="Arial" w:cs="Arial" w:eastAsia="Arial" w:hAnsi="Arial"/>
          <w:sz w:val="18"/>
          <w:szCs w:val="18"/>
          <w:color w:val="auto"/>
        </w:rPr>
        <w:t>Contract assets includes unbilled amounts typically resulting from sales under contracts when the cost-to-cost method of revenue recognition is utilized, and revenue recognized exceeds the amount billed to the customer. Contract assets are transferred to Accounts receivable, net when the entitlement to pay becomes unconditional. Contract liabilities include advance payments and billings in excess of revenue recognized. Contract liabilities are included in Accrued liabilities in the Consolidated Balance Sheets.</w:t>
      </w:r>
    </w:p>
    <w:p>
      <w:pPr>
        <w:spacing w:after="0" w:line="1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Contract assets and Contract liabilities are reported on the Consolidated Balance Sheets in a net position on a contract-by-contract basis at the end of each reporting period. As of March 31, 2019 and December 31, 2018 Contract assets and contract liabilities consisted of the following: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760" w:type="dxa"/>
            <w:vAlign w:val="bottom"/>
            <w:tcBorders>
              <w:top w:val="single" w:sz="8" w:color="auto"/>
            </w:tcBorders>
          </w:tcPr>
          <w:p>
            <w:pPr>
              <w:spacing w:after="0"/>
              <w:rPr>
                <w:sz w:val="16"/>
                <w:szCs w:val="16"/>
                <w:color w:val="auto"/>
              </w:rPr>
            </w:pPr>
          </w:p>
        </w:tc>
        <w:tc>
          <w:tcPr>
            <w:tcW w:w="464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March 31,</w:t>
            </w:r>
          </w:p>
        </w:tc>
        <w:tc>
          <w:tcPr>
            <w:tcW w:w="2020" w:type="dxa"/>
            <w:vAlign w:val="bottom"/>
            <w:tcBorders>
              <w:top w:val="single" w:sz="8" w:color="auto"/>
            </w:tcBorders>
          </w:tcPr>
          <w:p>
            <w:pPr>
              <w:jc w:val="right"/>
              <w:ind w:right="290"/>
              <w:spacing w:after="0" w:line="191" w:lineRule="exact"/>
              <w:rPr>
                <w:sz w:val="20"/>
                <w:szCs w:val="20"/>
                <w:color w:val="auto"/>
              </w:rPr>
            </w:pPr>
            <w:r>
              <w:rPr>
                <w:rFonts w:ascii="Arial" w:cs="Arial" w:eastAsia="Arial" w:hAnsi="Arial"/>
                <w:sz w:val="18"/>
                <w:szCs w:val="18"/>
                <w:b w:val="1"/>
                <w:bCs w:val="1"/>
                <w:color w:val="auto"/>
              </w:rPr>
              <w:t>December 31,</w:t>
            </w:r>
          </w:p>
        </w:tc>
      </w:tr>
      <w:tr>
        <w:trPr>
          <w:trHeight w:val="227"/>
        </w:trPr>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6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20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196"/>
        </w:trPr>
        <w:tc>
          <w:tcPr>
            <w:tcW w:w="4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Contract assets</w:t>
            </w:r>
          </w:p>
        </w:tc>
        <w:tc>
          <w:tcPr>
            <w:tcW w:w="464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$57,869</w:t>
            </w:r>
          </w:p>
        </w:tc>
        <w:tc>
          <w:tcPr>
            <w:tcW w:w="202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$57,447</w:t>
            </w:r>
          </w:p>
        </w:tc>
      </w:tr>
      <w:tr>
        <w:trPr>
          <w:trHeight w:val="196"/>
        </w:trPr>
        <w:tc>
          <w:tcPr>
            <w:tcW w:w="47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Contract liabilities</w:t>
            </w:r>
          </w:p>
        </w:tc>
        <w:tc>
          <w:tcPr>
            <w:tcW w:w="4640" w:type="dxa"/>
            <w:vAlign w:val="bottom"/>
            <w:tcBorders>
              <w:bottom w:val="single" w:sz="8" w:color="auto"/>
            </w:tcBorders>
          </w:tcPr>
          <w:p>
            <w:pPr>
              <w:jc w:val="right"/>
              <w:ind w:right="490"/>
              <w:spacing w:after="0" w:line="196" w:lineRule="exact"/>
              <w:rPr>
                <w:sz w:val="20"/>
                <w:szCs w:val="20"/>
                <w:color w:val="auto"/>
              </w:rPr>
            </w:pPr>
            <w:r>
              <w:rPr>
                <w:rFonts w:ascii="Arial" w:cs="Arial" w:eastAsia="Arial" w:hAnsi="Arial"/>
                <w:sz w:val="18"/>
                <w:szCs w:val="18"/>
                <w:b w:val="1"/>
                <w:bCs w:val="1"/>
                <w:color w:val="auto"/>
              </w:rPr>
              <w:t>9,865</w:t>
            </w:r>
          </w:p>
        </w:tc>
        <w:tc>
          <w:tcPr>
            <w:tcW w:w="202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9,025</w:t>
            </w:r>
          </w:p>
        </w:tc>
      </w:tr>
    </w:tbl>
    <w:p>
      <w:pPr>
        <w:spacing w:after="0" w:line="35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Contract assets increased $ 0.4 million during the three month period ended March 31, 2019. The increase was primarily due to an increase in unbilled revenue related to the satisfaction of performance obligations, in excess of the amounts billed to customers. There were no impairment losses related to our Contract assets during the three month period ended March 31, 2019.</w:t>
      </w:r>
    </w:p>
    <w:p>
      <w:pPr>
        <w:spacing w:after="0" w:line="124"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Contract liabilities increased $0.8 million during the three month period ended March 31, 2019, primarily due to increased billings in excess of revenue recognized. Revenue recognized for the three month period ended March 31, 2019, that was included in the Contract liability balance as of December 31, 2018 was $3.7 million, and included revenue in the MC and AEC segments.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Inventories</w:t>
      </w:r>
    </w:p>
    <w:p>
      <w:pPr>
        <w:spacing w:after="0" w:line="171" w:lineRule="exact"/>
        <w:rPr>
          <w:sz w:val="20"/>
          <w:szCs w:val="20"/>
          <w:color w:val="auto"/>
        </w:rPr>
      </w:pPr>
    </w:p>
    <w:p>
      <w:pPr>
        <w:ind w:right="120" w:firstLine="648"/>
        <w:spacing w:after="0" w:line="243" w:lineRule="auto"/>
        <w:rPr>
          <w:sz w:val="20"/>
          <w:szCs w:val="20"/>
          <w:color w:val="auto"/>
        </w:rPr>
      </w:pPr>
      <w:r>
        <w:rPr>
          <w:rFonts w:ascii="Arial" w:cs="Arial" w:eastAsia="Arial" w:hAnsi="Arial"/>
          <w:sz w:val="18"/>
          <w:szCs w:val="18"/>
          <w:color w:val="auto"/>
        </w:rPr>
        <w:t>Costs included in inventories are raw materials, labor, supplies and allocable depreciation and overhead. Raw material inventories are valued on an average cost basis. Other inventory cost elements are valued at cost, using the first-in, first-out method. The Company writes down the inventories for estimated obsolescence, and to lower of cost or net realizable value based upon assumptions about future demand and market conditions. If actual demand or market conditions are less favorable than those projected by the Company, additional inventory write-downs may be required. Once established, the original cost of the inventory less the related write-down represents the new cost basis of such inventories.</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color w:val="auto"/>
        </w:rPr>
        <w:t>As of March 31, 2019 and December 31, 2018, Inventories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380" w:type="dxa"/>
            <w:vAlign w:val="bottom"/>
            <w:tcBorders>
              <w:top w:val="single" w:sz="8" w:color="auto"/>
            </w:tcBorders>
            <w:gridSpan w:val="2"/>
          </w:tcPr>
          <w:p>
            <w:pPr>
              <w:spacing w:after="0" w:line="191" w:lineRule="exact"/>
              <w:rPr>
                <w:sz w:val="20"/>
                <w:szCs w:val="20"/>
                <w:color w:val="auto"/>
              </w:rPr>
            </w:pPr>
            <w:r>
              <w:rPr>
                <w:rFonts w:ascii="Arial" w:cs="Arial" w:eastAsia="Arial" w:hAnsi="Arial"/>
                <w:sz w:val="18"/>
                <w:szCs w:val="18"/>
                <w:b w:val="1"/>
                <w:bCs w:val="1"/>
                <w:color w:val="auto"/>
              </w:rPr>
              <w:t>(in thousands)</w:t>
            </w:r>
          </w:p>
        </w:tc>
        <w:tc>
          <w:tcPr>
            <w:tcW w:w="4600" w:type="dxa"/>
            <w:vAlign w:val="bottom"/>
            <w:tcBorders>
              <w:top w:val="single" w:sz="8" w:color="auto"/>
            </w:tcBorders>
          </w:tcPr>
          <w:p>
            <w:pPr>
              <w:jc w:val="right"/>
              <w:ind w:right="610"/>
              <w:spacing w:after="0" w:line="191" w:lineRule="exact"/>
              <w:rPr>
                <w:sz w:val="20"/>
                <w:szCs w:val="20"/>
                <w:color w:val="auto"/>
              </w:rPr>
            </w:pPr>
            <w:r>
              <w:rPr>
                <w:rFonts w:ascii="Arial" w:cs="Arial" w:eastAsia="Arial" w:hAnsi="Arial"/>
                <w:sz w:val="18"/>
                <w:szCs w:val="18"/>
                <w:b w:val="1"/>
                <w:bCs w:val="1"/>
                <w:color w:val="auto"/>
              </w:rPr>
              <w:t>March 31,</w:t>
            </w:r>
          </w:p>
        </w:tc>
        <w:tc>
          <w:tcPr>
            <w:tcW w:w="2440" w:type="dxa"/>
            <w:vAlign w:val="bottom"/>
            <w:tcBorders>
              <w:top w:val="single" w:sz="8" w:color="auto"/>
            </w:tcBorders>
          </w:tcPr>
          <w:p>
            <w:pPr>
              <w:jc w:val="right"/>
              <w:ind w:right="590"/>
              <w:spacing w:after="0" w:line="191" w:lineRule="exact"/>
              <w:rPr>
                <w:sz w:val="20"/>
                <w:szCs w:val="20"/>
                <w:color w:val="auto"/>
              </w:rPr>
            </w:pPr>
            <w:r>
              <w:rPr>
                <w:rFonts w:ascii="Arial" w:cs="Arial" w:eastAsia="Arial" w:hAnsi="Arial"/>
                <w:sz w:val="18"/>
                <w:szCs w:val="18"/>
                <w:b w:val="1"/>
                <w:bCs w:val="1"/>
                <w:color w:val="auto"/>
              </w:rPr>
              <w:t>December 31,</w:t>
            </w:r>
          </w:p>
        </w:tc>
      </w:tr>
      <w:tr>
        <w:trPr>
          <w:trHeight w:val="227"/>
        </w:trPr>
        <w:tc>
          <w:tcPr>
            <w:tcW w:w="20" w:type="dxa"/>
            <w:vAlign w:val="bottom"/>
          </w:tcPr>
          <w:p>
            <w:pPr>
              <w:spacing w:after="0"/>
              <w:rPr>
                <w:sz w:val="19"/>
                <w:szCs w:val="19"/>
                <w:color w:val="auto"/>
              </w:rPr>
            </w:pPr>
          </w:p>
        </w:tc>
        <w:tc>
          <w:tcPr>
            <w:tcW w:w="436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2019</w:t>
            </w:r>
          </w:p>
        </w:tc>
        <w:tc>
          <w:tcPr>
            <w:tcW w:w="24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2018</w:t>
            </w:r>
          </w:p>
        </w:tc>
      </w:tr>
      <w:tr>
        <w:trPr>
          <w:trHeight w:val="171"/>
        </w:trPr>
        <w:tc>
          <w:tcPr>
            <w:tcW w:w="20" w:type="dxa"/>
            <w:vAlign w:val="bottom"/>
          </w:tcPr>
          <w:p>
            <w:pPr>
              <w:spacing w:after="0"/>
              <w:rPr>
                <w:sz w:val="14"/>
                <w:szCs w:val="14"/>
                <w:color w:val="auto"/>
              </w:rPr>
            </w:pPr>
          </w:p>
        </w:tc>
        <w:tc>
          <w:tcPr>
            <w:tcW w:w="4360" w:type="dxa"/>
            <w:vAlign w:val="bottom"/>
          </w:tcPr>
          <w:p>
            <w:pPr>
              <w:spacing w:after="0" w:line="171" w:lineRule="exact"/>
              <w:rPr>
                <w:sz w:val="20"/>
                <w:szCs w:val="20"/>
                <w:color w:val="auto"/>
              </w:rPr>
            </w:pPr>
            <w:r>
              <w:rPr>
                <w:rFonts w:ascii="Arial" w:cs="Arial" w:eastAsia="Arial" w:hAnsi="Arial"/>
                <w:sz w:val="18"/>
                <w:szCs w:val="18"/>
                <w:color w:val="auto"/>
              </w:rPr>
              <w:t>Raw materials</w:t>
            </w:r>
          </w:p>
        </w:tc>
        <w:tc>
          <w:tcPr>
            <w:tcW w:w="4600" w:type="dxa"/>
            <w:vAlign w:val="bottom"/>
          </w:tcPr>
          <w:p>
            <w:pPr>
              <w:jc w:val="right"/>
              <w:ind w:right="510"/>
              <w:spacing w:after="0" w:line="171" w:lineRule="exact"/>
              <w:rPr>
                <w:sz w:val="20"/>
                <w:szCs w:val="20"/>
                <w:color w:val="auto"/>
              </w:rPr>
            </w:pPr>
            <w:r>
              <w:rPr>
                <w:rFonts w:ascii="Arial" w:cs="Arial" w:eastAsia="Arial" w:hAnsi="Arial"/>
                <w:sz w:val="18"/>
                <w:szCs w:val="18"/>
                <w:b w:val="1"/>
                <w:bCs w:val="1"/>
                <w:color w:val="auto"/>
              </w:rPr>
              <w:t>$47,820</w:t>
            </w:r>
          </w:p>
        </w:tc>
        <w:tc>
          <w:tcPr>
            <w:tcW w:w="2440" w:type="dxa"/>
            <w:vAlign w:val="bottom"/>
          </w:tcPr>
          <w:p>
            <w:pPr>
              <w:jc w:val="right"/>
              <w:ind w:right="450"/>
              <w:spacing w:after="0" w:line="171" w:lineRule="exact"/>
              <w:rPr>
                <w:sz w:val="20"/>
                <w:szCs w:val="20"/>
                <w:color w:val="auto"/>
              </w:rPr>
            </w:pPr>
            <w:r>
              <w:rPr>
                <w:rFonts w:ascii="Arial" w:cs="Arial" w:eastAsia="Arial" w:hAnsi="Arial"/>
                <w:sz w:val="18"/>
                <w:szCs w:val="18"/>
                <w:color w:val="auto"/>
              </w:rPr>
              <w:t>$40,489</w:t>
            </w:r>
          </w:p>
        </w:tc>
      </w:tr>
      <w:tr>
        <w:trPr>
          <w:trHeight w:val="203"/>
        </w:trPr>
        <w:tc>
          <w:tcPr>
            <w:tcW w:w="4380" w:type="dxa"/>
            <w:vAlign w:val="bottom"/>
            <w:gridSpan w:val="2"/>
          </w:tcPr>
          <w:p>
            <w:pPr>
              <w:spacing w:after="0" w:line="202" w:lineRule="exact"/>
              <w:rPr>
                <w:sz w:val="20"/>
                <w:szCs w:val="20"/>
                <w:color w:val="auto"/>
              </w:rPr>
            </w:pPr>
            <w:r>
              <w:rPr>
                <w:rFonts w:ascii="Arial" w:cs="Arial" w:eastAsia="Arial" w:hAnsi="Arial"/>
                <w:sz w:val="18"/>
                <w:szCs w:val="18"/>
                <w:color w:val="auto"/>
              </w:rPr>
              <w:t>Work in process</w:t>
            </w:r>
          </w:p>
        </w:tc>
        <w:tc>
          <w:tcPr>
            <w:tcW w:w="460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37,582</w:t>
            </w:r>
          </w:p>
        </w:tc>
        <w:tc>
          <w:tcPr>
            <w:tcW w:w="244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33,181</w:t>
            </w:r>
          </w:p>
        </w:tc>
      </w:tr>
      <w:tr>
        <w:trPr>
          <w:trHeight w:val="227"/>
        </w:trPr>
        <w:tc>
          <w:tcPr>
            <w:tcW w:w="4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Finished goods</w:t>
            </w:r>
          </w:p>
        </w:tc>
        <w:tc>
          <w:tcPr>
            <w:tcW w:w="46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16,977</w:t>
            </w:r>
          </w:p>
        </w:tc>
        <w:tc>
          <w:tcPr>
            <w:tcW w:w="2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12,234</w:t>
            </w:r>
          </w:p>
        </w:tc>
      </w:tr>
      <w:tr>
        <w:trPr>
          <w:trHeight w:val="196"/>
        </w:trPr>
        <w:tc>
          <w:tcPr>
            <w:tcW w:w="43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 inventories</w:t>
            </w:r>
          </w:p>
        </w:tc>
        <w:tc>
          <w:tcPr>
            <w:tcW w:w="46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$102,379</w:t>
            </w:r>
          </w:p>
        </w:tc>
        <w:tc>
          <w:tcPr>
            <w:tcW w:w="244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$85,904</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 Goodwill and Other Intangible Assets</w:t>
      </w:r>
    </w:p>
    <w:p>
      <w:pPr>
        <w:spacing w:after="0" w:line="198"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Goodwill and intangible assets with indefinite useful lives are not amortized, but are tested for impairment at least annually. Goodwill represents the excess of the purchase price over the fair value of the net tangible and identifiable intangible assets acquired in each business combination. Our reportable segments are consistent with our operating segments.</w:t>
      </w:r>
    </w:p>
    <w:p>
      <w:pPr>
        <w:spacing w:after="0" w:line="56"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Determining the fair value of a reporting unit requires the use of significant estimates and assumptions, including revenue growth rates, operating margins, discount rates, and future market conditions, among others. Goodwill and other long-lived assets are reviewed for impairment whenever events, such as significant changes in the business climate, plant closures, changes in product offerings, or other circumstances indicate that the carrying amount may not be recoverable.</w:t>
      </w:r>
    </w:p>
    <w:p>
      <w:pPr>
        <w:spacing w:after="0" w:line="117"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To determine fair value, we utilize two market-based approaches and an income approach. Under the market-based approaches, we utilize information regarding the Company as well as publicly available industry information to determine earnings multiples and sales multiples. Under the income approach, we determine fair value based on estimated future cash flows of each reporting unit, discounted by an estimated weighted-average cost of capital, which reflects the overall level of inherent risk of a reporting unit and the rate of return an outside investor would expect to earn.</w:t>
      </w:r>
    </w:p>
    <w:p>
      <w:pPr>
        <w:spacing w:after="0" w:line="1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the second quarter of 2018, the Company applied the qualitative assessment approach in performing its annual evaluation of goodwill and concluded that no impairment provision was required. There were no amounts at risk due to the large spread between the fair and carrying values, of each reporting unit.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4" w:name="page25"/>
    <w:bookmarkEnd w:id="24"/>
    <w:p>
      <w:pPr>
        <w:ind w:firstLine="648"/>
        <w:spacing w:after="0" w:line="255" w:lineRule="auto"/>
        <w:rPr>
          <w:sz w:val="20"/>
          <w:szCs w:val="20"/>
          <w:color w:val="auto"/>
        </w:rPr>
      </w:pPr>
      <w:r>
        <w:rPr>
          <w:rFonts w:ascii="Arial" w:cs="Arial" w:eastAsia="Arial" w:hAnsi="Arial"/>
          <w:sz w:val="18"/>
          <w:szCs w:val="18"/>
          <w:color w:val="auto"/>
        </w:rPr>
        <w:t>We are continuing to amortize certain patents, trade names, customer relationships, customer contracts and technology assets that have finite lives. The gross carrying value, accumulated amortization and net values of intangible assets and goodwill as of March 31, 2019 and December 31, 2018, were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600" w:type="dxa"/>
            <w:vAlign w:val="bottom"/>
            <w:tcBorders>
              <w:top w:val="single" w:sz="8" w:color="auto"/>
            </w:tcBorders>
          </w:tcPr>
          <w:p>
            <w:pPr>
              <w:spacing w:after="0"/>
              <w:rPr>
                <w:sz w:val="16"/>
                <w:szCs w:val="16"/>
                <w:color w:val="auto"/>
              </w:rPr>
            </w:pPr>
          </w:p>
        </w:tc>
        <w:tc>
          <w:tcPr>
            <w:tcW w:w="2660" w:type="dxa"/>
            <w:vAlign w:val="bottom"/>
            <w:tcBorders>
              <w:top w:val="single" w:sz="8" w:color="auto"/>
            </w:tcBorders>
          </w:tcPr>
          <w:p>
            <w:pPr>
              <w:jc w:val="center"/>
              <w:ind w:left="310"/>
              <w:spacing w:after="0" w:line="191" w:lineRule="exact"/>
              <w:rPr>
                <w:sz w:val="20"/>
                <w:szCs w:val="20"/>
                <w:color w:val="auto"/>
              </w:rPr>
            </w:pPr>
            <w:r>
              <w:rPr>
                <w:rFonts w:ascii="Arial" w:cs="Arial" w:eastAsia="Arial" w:hAnsi="Arial"/>
                <w:sz w:val="18"/>
                <w:szCs w:val="18"/>
                <w:b w:val="1"/>
                <w:bCs w:val="1"/>
                <w:color w:val="auto"/>
                <w:w w:val="99"/>
              </w:rPr>
              <w:t>Weighted average</w:t>
            </w:r>
          </w:p>
        </w:tc>
        <w:tc>
          <w:tcPr>
            <w:tcW w:w="1620" w:type="dxa"/>
            <w:vAlign w:val="bottom"/>
            <w:tcBorders>
              <w:top w:val="single" w:sz="8" w:color="auto"/>
            </w:tcBorders>
          </w:tcPr>
          <w:p>
            <w:pPr>
              <w:jc w:val="center"/>
              <w:ind w:right="130"/>
              <w:spacing w:after="0" w:line="191" w:lineRule="exact"/>
              <w:rPr>
                <w:sz w:val="20"/>
                <w:szCs w:val="20"/>
                <w:color w:val="auto"/>
              </w:rPr>
            </w:pPr>
            <w:r>
              <w:rPr>
                <w:rFonts w:ascii="Arial" w:cs="Arial" w:eastAsia="Arial" w:hAnsi="Arial"/>
                <w:sz w:val="18"/>
                <w:szCs w:val="18"/>
                <w:b w:val="1"/>
                <w:bCs w:val="1"/>
                <w:color w:val="auto"/>
                <w:w w:val="99"/>
              </w:rPr>
              <w:t>Gross</w:t>
            </w:r>
          </w:p>
        </w:tc>
        <w:tc>
          <w:tcPr>
            <w:tcW w:w="19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r>
      <w:tr>
        <w:trPr>
          <w:trHeight w:val="203"/>
        </w:trPr>
        <w:tc>
          <w:tcPr>
            <w:tcW w:w="362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March 31, 2019</w:t>
            </w:r>
          </w:p>
        </w:tc>
        <w:tc>
          <w:tcPr>
            <w:tcW w:w="266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amortization life in</w:t>
            </w:r>
          </w:p>
        </w:tc>
        <w:tc>
          <w:tcPr>
            <w:tcW w:w="162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rPr>
              <w:t>carrying</w:t>
            </w:r>
          </w:p>
        </w:tc>
        <w:tc>
          <w:tcPr>
            <w:tcW w:w="1980" w:type="dxa"/>
            <w:vAlign w:val="bottom"/>
          </w:tcPr>
          <w:p>
            <w:pPr>
              <w:jc w:val="right"/>
              <w:ind w:right="530"/>
              <w:spacing w:after="0" w:line="202" w:lineRule="exact"/>
              <w:rPr>
                <w:sz w:val="20"/>
                <w:szCs w:val="20"/>
                <w:color w:val="auto"/>
              </w:rPr>
            </w:pPr>
            <w:r>
              <w:rPr>
                <w:rFonts w:ascii="Arial" w:cs="Arial" w:eastAsia="Arial" w:hAnsi="Arial"/>
                <w:sz w:val="18"/>
                <w:szCs w:val="18"/>
                <w:b w:val="1"/>
                <w:bCs w:val="1"/>
                <w:color w:val="auto"/>
              </w:rPr>
              <w:t>Accumulated</w:t>
            </w:r>
          </w:p>
        </w:tc>
        <w:tc>
          <w:tcPr>
            <w:tcW w:w="1540" w:type="dxa"/>
            <w:vAlign w:val="bottom"/>
          </w:tcPr>
          <w:p>
            <w:pPr>
              <w:jc w:val="right"/>
              <w:ind w:right="230"/>
              <w:spacing w:after="0" w:line="202" w:lineRule="exact"/>
              <w:rPr>
                <w:sz w:val="20"/>
                <w:szCs w:val="20"/>
                <w:color w:val="auto"/>
              </w:rPr>
            </w:pPr>
            <w:r>
              <w:rPr>
                <w:rFonts w:ascii="Arial" w:cs="Arial" w:eastAsia="Arial" w:hAnsi="Arial"/>
                <w:sz w:val="18"/>
                <w:szCs w:val="18"/>
                <w:b w:val="1"/>
                <w:bCs w:val="1"/>
                <w:color w:val="auto"/>
              </w:rPr>
              <w:t>Net carrying</w:t>
            </w:r>
          </w:p>
        </w:tc>
      </w:tr>
      <w:tr>
        <w:trPr>
          <w:trHeight w:val="227"/>
        </w:trPr>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6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b w:val="1"/>
                <w:bCs w:val="1"/>
                <w:color w:val="auto"/>
                <w:w w:val="97"/>
              </w:rPr>
              <w:t>years</w:t>
            </w: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8"/>
              </w:rPr>
              <w:t>amount</w:t>
            </w:r>
          </w:p>
        </w:tc>
        <w:tc>
          <w:tcPr>
            <w:tcW w:w="19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amortization</w:t>
            </w: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amount</w:t>
            </w:r>
          </w:p>
        </w:tc>
      </w:tr>
      <w:tr>
        <w:trPr>
          <w:trHeight w:val="376"/>
        </w:trPr>
        <w:tc>
          <w:tcPr>
            <w:tcW w:w="362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160"/>
              <w:spacing w:after="0" w:line="202" w:lineRule="exact"/>
              <w:rPr>
                <w:sz w:val="20"/>
                <w:szCs w:val="20"/>
                <w:color w:val="auto"/>
              </w:rPr>
            </w:pPr>
            <w:r>
              <w:rPr>
                <w:rFonts w:ascii="Arial" w:cs="Arial" w:eastAsia="Arial" w:hAnsi="Arial"/>
                <w:sz w:val="18"/>
                <w:szCs w:val="18"/>
                <w:color w:val="auto"/>
              </w:rPr>
              <w:t>AEC trade names</w:t>
            </w:r>
          </w:p>
        </w:tc>
        <w:tc>
          <w:tcPr>
            <w:tcW w:w="266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6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$140</w:t>
            </w:r>
          </w:p>
        </w:tc>
        <w:tc>
          <w:tcPr>
            <w:tcW w:w="1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($131)</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20" w:type="dxa"/>
            <w:vAlign w:val="bottom"/>
          </w:tcPr>
          <w:p>
            <w:pPr>
              <w:spacing w:after="0"/>
              <w:rPr>
                <w:sz w:val="17"/>
                <w:szCs w:val="17"/>
                <w:color w:val="auto"/>
              </w:rPr>
            </w:pPr>
          </w:p>
        </w:tc>
        <w:tc>
          <w:tcPr>
            <w:tcW w:w="3600" w:type="dxa"/>
            <w:vAlign w:val="bottom"/>
          </w:tcPr>
          <w:p>
            <w:pPr>
              <w:ind w:left="160"/>
              <w:spacing w:after="0" w:line="202" w:lineRule="exact"/>
              <w:rPr>
                <w:sz w:val="20"/>
                <w:szCs w:val="20"/>
                <w:color w:val="auto"/>
              </w:rPr>
            </w:pPr>
            <w:r>
              <w:rPr>
                <w:rFonts w:ascii="Arial" w:cs="Arial" w:eastAsia="Arial" w:hAnsi="Arial"/>
                <w:sz w:val="18"/>
                <w:szCs w:val="18"/>
                <w:color w:val="auto"/>
              </w:rPr>
              <w:t>AEC technology</w:t>
            </w:r>
          </w:p>
        </w:tc>
        <w:tc>
          <w:tcPr>
            <w:tcW w:w="266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6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370</w:t>
            </w:r>
          </w:p>
        </w:tc>
        <w:tc>
          <w:tcPr>
            <w:tcW w:w="1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(321)</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49</w:t>
            </w:r>
          </w:p>
        </w:tc>
      </w:tr>
      <w:tr>
        <w:trPr>
          <w:trHeight w:val="203"/>
        </w:trPr>
        <w:tc>
          <w:tcPr>
            <w:tcW w:w="20" w:type="dxa"/>
            <w:vAlign w:val="bottom"/>
          </w:tcPr>
          <w:p>
            <w:pPr>
              <w:spacing w:after="0"/>
              <w:rPr>
                <w:sz w:val="17"/>
                <w:szCs w:val="17"/>
                <w:color w:val="auto"/>
              </w:rPr>
            </w:pPr>
          </w:p>
        </w:tc>
        <w:tc>
          <w:tcPr>
            <w:tcW w:w="360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266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6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48,421</w:t>
            </w:r>
          </w:p>
        </w:tc>
        <w:tc>
          <w:tcPr>
            <w:tcW w:w="1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(9,690)</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38,731</w:t>
            </w:r>
          </w:p>
        </w:tc>
      </w:tr>
      <w:tr>
        <w:trPr>
          <w:trHeight w:val="203"/>
        </w:trPr>
        <w:tc>
          <w:tcPr>
            <w:tcW w:w="20" w:type="dxa"/>
            <w:vAlign w:val="bottom"/>
          </w:tcPr>
          <w:p>
            <w:pPr>
              <w:spacing w:after="0"/>
              <w:rPr>
                <w:sz w:val="17"/>
                <w:szCs w:val="17"/>
                <w:color w:val="auto"/>
              </w:rPr>
            </w:pPr>
          </w:p>
        </w:tc>
        <w:tc>
          <w:tcPr>
            <w:tcW w:w="3600" w:type="dxa"/>
            <w:vAlign w:val="bottom"/>
          </w:tcPr>
          <w:p>
            <w:pPr>
              <w:ind w:left="160"/>
              <w:spacing w:after="0" w:line="202" w:lineRule="exact"/>
              <w:rPr>
                <w:sz w:val="20"/>
                <w:szCs w:val="20"/>
                <w:color w:val="auto"/>
              </w:rPr>
            </w:pPr>
            <w:r>
              <w:rPr>
                <w:rFonts w:ascii="Arial" w:cs="Arial" w:eastAsia="Arial" w:hAnsi="Arial"/>
                <w:sz w:val="18"/>
                <w:szCs w:val="18"/>
                <w:color w:val="auto"/>
              </w:rPr>
              <w:t>Customer contracts</w:t>
            </w:r>
          </w:p>
        </w:tc>
        <w:tc>
          <w:tcPr>
            <w:tcW w:w="266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9"/>
              </w:rPr>
              <w:t>6</w:t>
            </w:r>
          </w:p>
        </w:tc>
        <w:tc>
          <w:tcPr>
            <w:tcW w:w="16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17,471</w:t>
            </w:r>
          </w:p>
        </w:tc>
        <w:tc>
          <w:tcPr>
            <w:tcW w:w="1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(8,743)</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8,728</w:t>
            </w:r>
          </w:p>
        </w:tc>
      </w:tr>
      <w:tr>
        <w:trPr>
          <w:trHeight w:val="225"/>
        </w:trPr>
        <w:tc>
          <w:tcPr>
            <w:tcW w:w="20" w:type="dxa"/>
            <w:vAlign w:val="bottom"/>
          </w:tcPr>
          <w:p>
            <w:pPr>
              <w:spacing w:after="0"/>
              <w:rPr>
                <w:sz w:val="19"/>
                <w:szCs w:val="19"/>
                <w:color w:val="auto"/>
              </w:rPr>
            </w:pPr>
          </w:p>
        </w:tc>
        <w:tc>
          <w:tcPr>
            <w:tcW w:w="3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intangibles</w:t>
            </w:r>
          </w:p>
        </w:tc>
        <w:tc>
          <w:tcPr>
            <w:tcW w:w="266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5</w:t>
            </w: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322</w:t>
            </w:r>
          </w:p>
        </w:tc>
        <w:tc>
          <w:tcPr>
            <w:tcW w:w="1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(193)</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r>
      <w:tr>
        <w:trPr>
          <w:trHeight w:val="196"/>
        </w:trPr>
        <w:tc>
          <w:tcPr>
            <w:tcW w:w="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amortized intangible assets</w:t>
            </w:r>
          </w:p>
        </w:tc>
        <w:tc>
          <w:tcPr>
            <w:tcW w:w="26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$66,724</w:t>
            </w:r>
          </w:p>
        </w:tc>
        <w:tc>
          <w:tcPr>
            <w:tcW w:w="19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($19,078)</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$47,646</w:t>
            </w:r>
          </w:p>
        </w:tc>
      </w:tr>
      <w:tr>
        <w:trPr>
          <w:trHeight w:val="376"/>
        </w:trPr>
        <w:tc>
          <w:tcPr>
            <w:tcW w:w="362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6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600" w:type="dxa"/>
            <w:vAlign w:val="bottom"/>
          </w:tcPr>
          <w:p>
            <w:pPr>
              <w:ind w:left="160"/>
              <w:spacing w:after="0" w:line="202" w:lineRule="exact"/>
              <w:rPr>
                <w:sz w:val="20"/>
                <w:szCs w:val="20"/>
                <w:color w:val="auto"/>
              </w:rPr>
            </w:pPr>
            <w:r>
              <w:rPr>
                <w:rFonts w:ascii="Arial" w:cs="Arial" w:eastAsia="Arial" w:hAnsi="Arial"/>
                <w:sz w:val="18"/>
                <w:szCs w:val="18"/>
                <w:color w:val="auto"/>
              </w:rPr>
              <w:t>MC Goodwill</w:t>
            </w:r>
          </w:p>
        </w:tc>
        <w:tc>
          <w:tcPr>
            <w:tcW w:w="2660" w:type="dxa"/>
            <w:vAlign w:val="bottom"/>
          </w:tcPr>
          <w:p>
            <w:pPr>
              <w:spacing w:after="0"/>
              <w:rPr>
                <w:sz w:val="17"/>
                <w:szCs w:val="17"/>
                <w:color w:val="auto"/>
              </w:rPr>
            </w:pPr>
          </w:p>
        </w:tc>
        <w:tc>
          <w:tcPr>
            <w:tcW w:w="16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$67,708</w:t>
            </w:r>
          </w:p>
        </w:tc>
        <w:tc>
          <w:tcPr>
            <w:tcW w:w="19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$67,708</w:t>
            </w:r>
          </w:p>
        </w:tc>
      </w:tr>
      <w:tr>
        <w:trPr>
          <w:trHeight w:val="225"/>
        </w:trPr>
        <w:tc>
          <w:tcPr>
            <w:tcW w:w="20" w:type="dxa"/>
            <w:vAlign w:val="bottom"/>
          </w:tcPr>
          <w:p>
            <w:pPr>
              <w:spacing w:after="0"/>
              <w:rPr>
                <w:sz w:val="19"/>
                <w:szCs w:val="19"/>
                <w:color w:val="auto"/>
              </w:rPr>
            </w:pPr>
          </w:p>
        </w:tc>
        <w:tc>
          <w:tcPr>
            <w:tcW w:w="3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AEC Goodwill</w:t>
            </w:r>
          </w:p>
        </w:tc>
        <w:tc>
          <w:tcPr>
            <w:tcW w:w="26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95,730</w:t>
            </w:r>
          </w:p>
        </w:tc>
        <w:tc>
          <w:tcPr>
            <w:tcW w:w="1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95,730</w:t>
            </w:r>
          </w:p>
        </w:tc>
      </w:tr>
      <w:tr>
        <w:trPr>
          <w:trHeight w:val="196"/>
        </w:trPr>
        <w:tc>
          <w:tcPr>
            <w:tcW w:w="2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unamortized intangible assets:</w:t>
            </w:r>
          </w:p>
        </w:tc>
        <w:tc>
          <w:tcPr>
            <w:tcW w:w="266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$163,438</w:t>
            </w:r>
          </w:p>
        </w:tc>
        <w:tc>
          <w:tcPr>
            <w:tcW w:w="198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$163,438</w:t>
            </w:r>
          </w:p>
        </w:tc>
      </w:tr>
    </w:tbl>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580" w:type="dxa"/>
            <w:vAlign w:val="bottom"/>
            <w:tcBorders>
              <w:top w:val="single" w:sz="8" w:color="auto"/>
            </w:tcBorders>
          </w:tcPr>
          <w:p>
            <w:pPr>
              <w:spacing w:after="0"/>
              <w:rPr>
                <w:sz w:val="16"/>
                <w:szCs w:val="16"/>
                <w:color w:val="auto"/>
              </w:rPr>
            </w:pPr>
          </w:p>
        </w:tc>
        <w:tc>
          <w:tcPr>
            <w:tcW w:w="2580" w:type="dxa"/>
            <w:vAlign w:val="bottom"/>
            <w:tcBorders>
              <w:top w:val="single" w:sz="8" w:color="auto"/>
            </w:tcBorders>
          </w:tcPr>
          <w:p>
            <w:pPr>
              <w:jc w:val="center"/>
              <w:ind w:left="310"/>
              <w:spacing w:after="0" w:line="191" w:lineRule="exact"/>
              <w:rPr>
                <w:sz w:val="20"/>
                <w:szCs w:val="20"/>
                <w:color w:val="auto"/>
              </w:rPr>
            </w:pPr>
            <w:r>
              <w:rPr>
                <w:rFonts w:ascii="Arial" w:cs="Arial" w:eastAsia="Arial" w:hAnsi="Arial"/>
                <w:sz w:val="18"/>
                <w:szCs w:val="18"/>
                <w:b w:val="1"/>
                <w:bCs w:val="1"/>
                <w:color w:val="auto"/>
                <w:w w:val="99"/>
              </w:rPr>
              <w:t>Weighted average</w:t>
            </w:r>
          </w:p>
        </w:tc>
        <w:tc>
          <w:tcPr>
            <w:tcW w:w="160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9"/>
              </w:rPr>
              <w:t>Gross</w:t>
            </w:r>
          </w:p>
        </w:tc>
        <w:tc>
          <w:tcPr>
            <w:tcW w:w="202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r>
      <w:tr>
        <w:trPr>
          <w:trHeight w:val="203"/>
        </w:trPr>
        <w:tc>
          <w:tcPr>
            <w:tcW w:w="360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As of December 31, 2018</w:t>
            </w:r>
          </w:p>
        </w:tc>
        <w:tc>
          <w:tcPr>
            <w:tcW w:w="258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amortization life</w:t>
            </w:r>
          </w:p>
        </w:tc>
        <w:tc>
          <w:tcPr>
            <w:tcW w:w="160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rPr>
              <w:t>carrying</w:t>
            </w:r>
          </w:p>
        </w:tc>
        <w:tc>
          <w:tcPr>
            <w:tcW w:w="2020" w:type="dxa"/>
            <w:vAlign w:val="bottom"/>
          </w:tcPr>
          <w:p>
            <w:pPr>
              <w:jc w:val="right"/>
              <w:ind w:right="570"/>
              <w:spacing w:after="0" w:line="202" w:lineRule="exact"/>
              <w:rPr>
                <w:sz w:val="20"/>
                <w:szCs w:val="20"/>
                <w:color w:val="auto"/>
              </w:rPr>
            </w:pPr>
            <w:r>
              <w:rPr>
                <w:rFonts w:ascii="Arial" w:cs="Arial" w:eastAsia="Arial" w:hAnsi="Arial"/>
                <w:sz w:val="18"/>
                <w:szCs w:val="18"/>
                <w:b w:val="1"/>
                <w:bCs w:val="1"/>
                <w:color w:val="auto"/>
              </w:rPr>
              <w:t>Accumulated</w:t>
            </w:r>
          </w:p>
        </w:tc>
        <w:tc>
          <w:tcPr>
            <w:tcW w:w="1620" w:type="dxa"/>
            <w:vAlign w:val="bottom"/>
          </w:tcPr>
          <w:p>
            <w:pPr>
              <w:jc w:val="right"/>
              <w:ind w:right="290"/>
              <w:spacing w:after="0" w:line="202" w:lineRule="exact"/>
              <w:rPr>
                <w:sz w:val="20"/>
                <w:szCs w:val="20"/>
                <w:color w:val="auto"/>
              </w:rPr>
            </w:pPr>
            <w:r>
              <w:rPr>
                <w:rFonts w:ascii="Arial" w:cs="Arial" w:eastAsia="Arial" w:hAnsi="Arial"/>
                <w:sz w:val="18"/>
                <w:szCs w:val="18"/>
                <w:b w:val="1"/>
                <w:bCs w:val="1"/>
                <w:color w:val="auto"/>
              </w:rPr>
              <w:t>Net carrying</w:t>
            </w:r>
          </w:p>
        </w:tc>
      </w:tr>
      <w:tr>
        <w:trPr>
          <w:trHeight w:val="227"/>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58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9"/>
              </w:rPr>
              <w:t>in years</w:t>
            </w:r>
          </w:p>
        </w:tc>
        <w:tc>
          <w:tcPr>
            <w:tcW w:w="160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8"/>
              </w:rPr>
              <w:t>amount</w:t>
            </w:r>
          </w:p>
        </w:tc>
        <w:tc>
          <w:tcPr>
            <w:tcW w:w="20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amortization</w:t>
            </w:r>
          </w:p>
        </w:tc>
        <w:tc>
          <w:tcPr>
            <w:tcW w:w="16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amount</w:t>
            </w:r>
          </w:p>
        </w:tc>
      </w:tr>
      <w:tr>
        <w:trPr>
          <w:trHeight w:val="376"/>
        </w:trPr>
        <w:tc>
          <w:tcPr>
            <w:tcW w:w="360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580" w:type="dxa"/>
            <w:vAlign w:val="bottom"/>
          </w:tcPr>
          <w:p>
            <w:pPr>
              <w:ind w:left="160"/>
              <w:spacing w:after="0" w:line="202" w:lineRule="exact"/>
              <w:rPr>
                <w:sz w:val="20"/>
                <w:szCs w:val="20"/>
                <w:color w:val="auto"/>
              </w:rPr>
            </w:pPr>
            <w:r>
              <w:rPr>
                <w:rFonts w:ascii="Arial" w:cs="Arial" w:eastAsia="Arial" w:hAnsi="Arial"/>
                <w:sz w:val="18"/>
                <w:szCs w:val="18"/>
                <w:color w:val="auto"/>
              </w:rPr>
              <w:t>AEC trade names</w:t>
            </w:r>
          </w:p>
        </w:tc>
        <w:tc>
          <w:tcPr>
            <w:tcW w:w="258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$140</w:t>
            </w:r>
          </w:p>
        </w:tc>
        <w:tc>
          <w:tcPr>
            <w:tcW w:w="2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($129)</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$11</w:t>
            </w:r>
          </w:p>
        </w:tc>
      </w:tr>
      <w:tr>
        <w:trPr>
          <w:trHeight w:val="203"/>
        </w:trPr>
        <w:tc>
          <w:tcPr>
            <w:tcW w:w="20" w:type="dxa"/>
            <w:vAlign w:val="bottom"/>
          </w:tcPr>
          <w:p>
            <w:pPr>
              <w:spacing w:after="0"/>
              <w:rPr>
                <w:sz w:val="17"/>
                <w:szCs w:val="17"/>
                <w:color w:val="auto"/>
              </w:rPr>
            </w:pPr>
          </w:p>
        </w:tc>
        <w:tc>
          <w:tcPr>
            <w:tcW w:w="3580" w:type="dxa"/>
            <w:vAlign w:val="bottom"/>
          </w:tcPr>
          <w:p>
            <w:pPr>
              <w:ind w:left="160"/>
              <w:spacing w:after="0" w:line="202" w:lineRule="exact"/>
              <w:rPr>
                <w:sz w:val="20"/>
                <w:szCs w:val="20"/>
                <w:color w:val="auto"/>
              </w:rPr>
            </w:pPr>
            <w:r>
              <w:rPr>
                <w:rFonts w:ascii="Arial" w:cs="Arial" w:eastAsia="Arial" w:hAnsi="Arial"/>
                <w:sz w:val="18"/>
                <w:szCs w:val="18"/>
                <w:color w:val="auto"/>
              </w:rPr>
              <w:t>AEC technology</w:t>
            </w:r>
          </w:p>
        </w:tc>
        <w:tc>
          <w:tcPr>
            <w:tcW w:w="258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370</w:t>
            </w:r>
          </w:p>
        </w:tc>
        <w:tc>
          <w:tcPr>
            <w:tcW w:w="2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(314)</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20" w:type="dxa"/>
            <w:vAlign w:val="bottom"/>
          </w:tcPr>
          <w:p>
            <w:pPr>
              <w:spacing w:after="0"/>
              <w:rPr>
                <w:sz w:val="17"/>
                <w:szCs w:val="17"/>
                <w:color w:val="auto"/>
              </w:rPr>
            </w:pPr>
          </w:p>
        </w:tc>
        <w:tc>
          <w:tcPr>
            <w:tcW w:w="358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2580" w:type="dxa"/>
            <w:vAlign w:val="bottom"/>
          </w:tcPr>
          <w:p>
            <w:pPr>
              <w:jc w:val="center"/>
              <w:ind w:left="330"/>
              <w:spacing w:after="0" w:line="202" w:lineRule="exact"/>
              <w:rPr>
                <w:sz w:val="20"/>
                <w:szCs w:val="20"/>
                <w:color w:val="auto"/>
              </w:rPr>
            </w:pPr>
            <w:r>
              <w:rPr>
                <w:rFonts w:ascii="Arial" w:cs="Arial" w:eastAsia="Arial" w:hAnsi="Arial"/>
                <w:sz w:val="18"/>
                <w:szCs w:val="18"/>
                <w:color w:val="auto"/>
                <w:w w:val="99"/>
              </w:rPr>
              <w:t>15</w:t>
            </w:r>
          </w:p>
        </w:tc>
        <w:tc>
          <w:tcPr>
            <w:tcW w:w="1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48,421</w:t>
            </w:r>
          </w:p>
        </w:tc>
        <w:tc>
          <w:tcPr>
            <w:tcW w:w="2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(8,883)</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39,538</w:t>
            </w:r>
          </w:p>
        </w:tc>
      </w:tr>
      <w:tr>
        <w:trPr>
          <w:trHeight w:val="203"/>
        </w:trPr>
        <w:tc>
          <w:tcPr>
            <w:tcW w:w="20" w:type="dxa"/>
            <w:vAlign w:val="bottom"/>
          </w:tcPr>
          <w:p>
            <w:pPr>
              <w:spacing w:after="0"/>
              <w:rPr>
                <w:sz w:val="17"/>
                <w:szCs w:val="17"/>
                <w:color w:val="auto"/>
              </w:rPr>
            </w:pPr>
          </w:p>
        </w:tc>
        <w:tc>
          <w:tcPr>
            <w:tcW w:w="3580" w:type="dxa"/>
            <w:vAlign w:val="bottom"/>
          </w:tcPr>
          <w:p>
            <w:pPr>
              <w:ind w:left="160"/>
              <w:spacing w:after="0" w:line="202" w:lineRule="exact"/>
              <w:rPr>
                <w:sz w:val="20"/>
                <w:szCs w:val="20"/>
                <w:color w:val="auto"/>
              </w:rPr>
            </w:pPr>
            <w:r>
              <w:rPr>
                <w:rFonts w:ascii="Arial" w:cs="Arial" w:eastAsia="Arial" w:hAnsi="Arial"/>
                <w:sz w:val="18"/>
                <w:szCs w:val="18"/>
                <w:color w:val="auto"/>
              </w:rPr>
              <w:t>Customer contracts</w:t>
            </w:r>
          </w:p>
        </w:tc>
        <w:tc>
          <w:tcPr>
            <w:tcW w:w="2580" w:type="dxa"/>
            <w:vAlign w:val="bottom"/>
          </w:tcPr>
          <w:p>
            <w:pPr>
              <w:jc w:val="center"/>
              <w:ind w:left="310"/>
              <w:spacing w:after="0" w:line="202" w:lineRule="exact"/>
              <w:rPr>
                <w:sz w:val="20"/>
                <w:szCs w:val="20"/>
                <w:color w:val="auto"/>
              </w:rPr>
            </w:pPr>
            <w:r>
              <w:rPr>
                <w:rFonts w:ascii="Arial" w:cs="Arial" w:eastAsia="Arial" w:hAnsi="Arial"/>
                <w:sz w:val="18"/>
                <w:szCs w:val="18"/>
                <w:color w:val="auto"/>
                <w:w w:val="99"/>
              </w:rPr>
              <w:t>6</w:t>
            </w:r>
          </w:p>
        </w:tc>
        <w:tc>
          <w:tcPr>
            <w:tcW w:w="1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17,471</w:t>
            </w:r>
          </w:p>
        </w:tc>
        <w:tc>
          <w:tcPr>
            <w:tcW w:w="2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(8,015)</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9,456</w:t>
            </w:r>
          </w:p>
        </w:tc>
      </w:tr>
      <w:tr>
        <w:trPr>
          <w:trHeight w:val="225"/>
        </w:trPr>
        <w:tc>
          <w:tcPr>
            <w:tcW w:w="20" w:type="dxa"/>
            <w:vAlign w:val="bottom"/>
          </w:tcPr>
          <w:p>
            <w:pPr>
              <w:spacing w:after="0"/>
              <w:rPr>
                <w:sz w:val="19"/>
                <w:szCs w:val="19"/>
                <w:color w:val="auto"/>
              </w:rPr>
            </w:pPr>
          </w:p>
        </w:tc>
        <w:tc>
          <w:tcPr>
            <w:tcW w:w="3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intangibles</w:t>
            </w:r>
          </w:p>
        </w:tc>
        <w:tc>
          <w:tcPr>
            <w:tcW w:w="2580" w:type="dxa"/>
            <w:vAlign w:val="bottom"/>
            <w:tcBorders>
              <w:bottom w:val="single" w:sz="8" w:color="auto"/>
            </w:tcBorders>
          </w:tcPr>
          <w:p>
            <w:pPr>
              <w:jc w:val="center"/>
              <w:ind w:left="310"/>
              <w:spacing w:after="0"/>
              <w:rPr>
                <w:sz w:val="20"/>
                <w:szCs w:val="20"/>
                <w:color w:val="auto"/>
              </w:rPr>
            </w:pPr>
            <w:r>
              <w:rPr>
                <w:rFonts w:ascii="Arial" w:cs="Arial" w:eastAsia="Arial" w:hAnsi="Arial"/>
                <w:sz w:val="18"/>
                <w:szCs w:val="18"/>
                <w:color w:val="auto"/>
                <w:w w:val="99"/>
              </w:rPr>
              <w:t>5</w:t>
            </w: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322</w:t>
            </w:r>
          </w:p>
        </w:tc>
        <w:tc>
          <w:tcPr>
            <w:tcW w:w="2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(177)</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w:t>
            </w:r>
          </w:p>
        </w:tc>
      </w:tr>
      <w:tr>
        <w:trPr>
          <w:trHeight w:val="196"/>
        </w:trPr>
        <w:tc>
          <w:tcPr>
            <w:tcW w:w="20" w:type="dxa"/>
            <w:vAlign w:val="bottom"/>
            <w:tcBorders>
              <w:bottom w:val="single" w:sz="8" w:color="auto"/>
            </w:tcBorders>
          </w:tcPr>
          <w:p>
            <w:pPr>
              <w:spacing w:after="0"/>
              <w:rPr>
                <w:sz w:val="17"/>
                <w:szCs w:val="17"/>
                <w:color w:val="auto"/>
              </w:rPr>
            </w:pPr>
          </w:p>
        </w:tc>
        <w:tc>
          <w:tcPr>
            <w:tcW w:w="3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amortized intangible assets</w:t>
            </w:r>
          </w:p>
        </w:tc>
        <w:tc>
          <w:tcPr>
            <w:tcW w:w="25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$66,724</w:t>
            </w:r>
          </w:p>
        </w:tc>
        <w:tc>
          <w:tcPr>
            <w:tcW w:w="20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($17,518)</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$49,206</w:t>
            </w:r>
          </w:p>
        </w:tc>
      </w:tr>
      <w:tr>
        <w:trPr>
          <w:trHeight w:val="376"/>
        </w:trPr>
        <w:tc>
          <w:tcPr>
            <w:tcW w:w="360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3580" w:type="dxa"/>
            <w:vAlign w:val="bottom"/>
          </w:tcPr>
          <w:p>
            <w:pPr>
              <w:ind w:left="160"/>
              <w:spacing w:after="0" w:line="202" w:lineRule="exact"/>
              <w:rPr>
                <w:sz w:val="20"/>
                <w:szCs w:val="20"/>
                <w:color w:val="auto"/>
              </w:rPr>
            </w:pPr>
            <w:r>
              <w:rPr>
                <w:rFonts w:ascii="Arial" w:cs="Arial" w:eastAsia="Arial" w:hAnsi="Arial"/>
                <w:sz w:val="18"/>
                <w:szCs w:val="18"/>
                <w:color w:val="auto"/>
              </w:rPr>
              <w:t>MC Goodwill</w:t>
            </w:r>
          </w:p>
        </w:tc>
        <w:tc>
          <w:tcPr>
            <w:tcW w:w="2580" w:type="dxa"/>
            <w:vAlign w:val="bottom"/>
          </w:tcPr>
          <w:p>
            <w:pPr>
              <w:spacing w:after="0"/>
              <w:rPr>
                <w:sz w:val="17"/>
                <w:szCs w:val="17"/>
                <w:color w:val="auto"/>
              </w:rPr>
            </w:pPr>
          </w:p>
        </w:tc>
        <w:tc>
          <w:tcPr>
            <w:tcW w:w="160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$68,652</w:t>
            </w:r>
          </w:p>
        </w:tc>
        <w:tc>
          <w:tcPr>
            <w:tcW w:w="20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$68,652</w:t>
            </w:r>
          </w:p>
        </w:tc>
      </w:tr>
      <w:tr>
        <w:trPr>
          <w:trHeight w:val="225"/>
        </w:trPr>
        <w:tc>
          <w:tcPr>
            <w:tcW w:w="20" w:type="dxa"/>
            <w:vAlign w:val="bottom"/>
          </w:tcPr>
          <w:p>
            <w:pPr>
              <w:spacing w:after="0"/>
              <w:rPr>
                <w:sz w:val="19"/>
                <w:szCs w:val="19"/>
                <w:color w:val="auto"/>
              </w:rPr>
            </w:pPr>
          </w:p>
        </w:tc>
        <w:tc>
          <w:tcPr>
            <w:tcW w:w="35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AEC Goodwill</w:t>
            </w:r>
          </w:p>
        </w:tc>
        <w:tc>
          <w:tcPr>
            <w:tcW w:w="25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95,730</w:t>
            </w:r>
          </w:p>
        </w:tc>
        <w:tc>
          <w:tcPr>
            <w:tcW w:w="2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95,730</w:t>
            </w:r>
          </w:p>
        </w:tc>
      </w:tr>
      <w:tr>
        <w:trPr>
          <w:trHeight w:val="196"/>
        </w:trPr>
        <w:tc>
          <w:tcPr>
            <w:tcW w:w="20" w:type="dxa"/>
            <w:vAlign w:val="bottom"/>
          </w:tcPr>
          <w:p>
            <w:pPr>
              <w:spacing w:after="0"/>
              <w:rPr>
                <w:sz w:val="17"/>
                <w:szCs w:val="17"/>
                <w:color w:val="auto"/>
              </w:rPr>
            </w:pPr>
          </w:p>
        </w:tc>
        <w:tc>
          <w:tcPr>
            <w:tcW w:w="3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unamortized intangible assets:</w:t>
            </w:r>
          </w:p>
        </w:tc>
        <w:tc>
          <w:tcPr>
            <w:tcW w:w="25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$164,382</w:t>
            </w:r>
          </w:p>
        </w:tc>
        <w:tc>
          <w:tcPr>
            <w:tcW w:w="20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$164,382</w:t>
            </w:r>
          </w:p>
        </w:tc>
      </w:tr>
      <w:tr>
        <w:trPr>
          <w:trHeight w:val="318"/>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w:t>
            </w:r>
          </w:p>
        </w:tc>
        <w:tc>
          <w:tcPr>
            <w:tcW w:w="16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58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r>
    </w:tbl>
    <w:p>
      <w:pPr>
        <w:sectPr>
          <w:pgSz w:w="11900" w:h="16838" w:orient="portrait"/>
          <w:cols w:equalWidth="0" w:num="1">
            <w:col w:w="11420"/>
          </w:cols>
          <w:pgMar w:left="240" w:top="468"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8"/>
          <w:szCs w:val="18"/>
          <w:color w:val="auto"/>
        </w:rPr>
        <w:t>The changes in intangible assets, net and goodwill from December 31, 2018 to March 31, 2019, were as follows: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2560" w:type="dxa"/>
            <w:vAlign w:val="bottom"/>
            <w:tcBorders>
              <w:top w:val="single" w:sz="8" w:color="auto"/>
            </w:tcBorders>
          </w:tcPr>
          <w:p>
            <w:pPr>
              <w:jc w:val="right"/>
              <w:ind w:right="450"/>
              <w:spacing w:after="0" w:line="191" w:lineRule="exact"/>
              <w:rPr>
                <w:sz w:val="20"/>
                <w:szCs w:val="20"/>
                <w:color w:val="auto"/>
              </w:rPr>
            </w:pPr>
            <w:r>
              <w:rPr>
                <w:rFonts w:ascii="Arial" w:cs="Arial" w:eastAsia="Arial" w:hAnsi="Arial"/>
                <w:sz w:val="18"/>
                <w:szCs w:val="18"/>
                <w:b w:val="1"/>
                <w:bCs w:val="1"/>
                <w:color w:val="auto"/>
              </w:rPr>
              <w:t>December 31,</w:t>
            </w:r>
          </w:p>
        </w:tc>
        <w:tc>
          <w:tcPr>
            <w:tcW w:w="192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ind w:right="490"/>
              <w:spacing w:after="0" w:line="191" w:lineRule="exact"/>
              <w:rPr>
                <w:sz w:val="20"/>
                <w:szCs w:val="20"/>
                <w:color w:val="auto"/>
              </w:rPr>
            </w:pPr>
            <w:r>
              <w:rPr>
                <w:rFonts w:ascii="Arial" w:cs="Arial" w:eastAsia="Arial" w:hAnsi="Arial"/>
                <w:sz w:val="18"/>
                <w:szCs w:val="18"/>
                <w:b w:val="1"/>
                <w:bCs w:val="1"/>
                <w:color w:val="auto"/>
              </w:rPr>
              <w:t>Currency</w:t>
            </w: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5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2018</w:t>
            </w:r>
          </w:p>
        </w:tc>
        <w:tc>
          <w:tcPr>
            <w:tcW w:w="19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Amortization</w:t>
            </w: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Translation</w:t>
            </w:r>
          </w:p>
        </w:tc>
        <w:tc>
          <w:tcPr>
            <w:tcW w:w="15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March 31,2019</w:t>
            </w:r>
          </w:p>
        </w:tc>
        <w:tc>
          <w:tcPr>
            <w:tcW w:w="0" w:type="dxa"/>
            <w:vAlign w:val="bottom"/>
          </w:tcPr>
          <w:p>
            <w:pPr>
              <w:spacing w:after="0"/>
              <w:rPr>
                <w:sz w:val="1"/>
                <w:szCs w:val="1"/>
                <w:color w:val="auto"/>
              </w:rPr>
            </w:pPr>
          </w:p>
        </w:tc>
      </w:tr>
      <w:tr>
        <w:trPr>
          <w:trHeight w:val="376"/>
        </w:trPr>
        <w:tc>
          <w:tcPr>
            <w:tcW w:w="3720" w:type="dxa"/>
            <w:vAlign w:val="bottom"/>
            <w:gridSpan w:val="2"/>
          </w:tcPr>
          <w:p>
            <w:pPr>
              <w:spacing w:after="0"/>
              <w:rPr>
                <w:sz w:val="20"/>
                <w:szCs w:val="20"/>
                <w:color w:val="auto"/>
              </w:rPr>
            </w:pPr>
            <w:r>
              <w:rPr>
                <w:rFonts w:ascii="Arial" w:cs="Arial" w:eastAsia="Arial" w:hAnsi="Arial"/>
                <w:sz w:val="18"/>
                <w:szCs w:val="18"/>
                <w:color w:val="auto"/>
              </w:rPr>
              <w:t>Amortized intangible assets:</w:t>
            </w:r>
          </w:p>
        </w:tc>
        <w:tc>
          <w:tcPr>
            <w:tcW w:w="2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Pr>
          <w:p>
            <w:pPr>
              <w:ind w:left="160"/>
              <w:spacing w:after="0" w:line="201" w:lineRule="exact"/>
              <w:rPr>
                <w:sz w:val="20"/>
                <w:szCs w:val="20"/>
                <w:color w:val="auto"/>
              </w:rPr>
            </w:pPr>
            <w:r>
              <w:rPr>
                <w:rFonts w:ascii="Arial" w:cs="Arial" w:eastAsia="Arial" w:hAnsi="Arial"/>
                <w:sz w:val="18"/>
                <w:szCs w:val="18"/>
                <w:color w:val="auto"/>
              </w:rPr>
              <w:t>AEC trade names</w:t>
            </w:r>
          </w:p>
        </w:tc>
        <w:tc>
          <w:tcPr>
            <w:tcW w:w="25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$11</w:t>
            </w:r>
          </w:p>
        </w:tc>
        <w:tc>
          <w:tcPr>
            <w:tcW w:w="19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($2)</w:t>
            </w:r>
          </w:p>
        </w:tc>
        <w:tc>
          <w:tcPr>
            <w:tcW w:w="16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160"/>
              <w:spacing w:after="0" w:line="202" w:lineRule="exact"/>
              <w:rPr>
                <w:sz w:val="20"/>
                <w:szCs w:val="20"/>
                <w:color w:val="auto"/>
              </w:rPr>
            </w:pPr>
            <w:r>
              <w:rPr>
                <w:rFonts w:ascii="Arial" w:cs="Arial" w:eastAsia="Arial" w:hAnsi="Arial"/>
                <w:sz w:val="18"/>
                <w:szCs w:val="18"/>
                <w:color w:val="auto"/>
              </w:rPr>
              <w:t>AEC technology</w:t>
            </w:r>
          </w:p>
        </w:tc>
        <w:tc>
          <w:tcPr>
            <w:tcW w:w="2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56</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w:t>
            </w:r>
          </w:p>
        </w:tc>
        <w:tc>
          <w:tcPr>
            <w:tcW w:w="1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160"/>
              <w:spacing w:after="0" w:line="202" w:lineRule="exact"/>
              <w:rPr>
                <w:sz w:val="20"/>
                <w:szCs w:val="20"/>
                <w:color w:val="auto"/>
              </w:rPr>
            </w:pPr>
            <w:r>
              <w:rPr>
                <w:rFonts w:ascii="Arial" w:cs="Arial" w:eastAsia="Arial" w:hAnsi="Arial"/>
                <w:sz w:val="18"/>
                <w:szCs w:val="18"/>
                <w:color w:val="auto"/>
              </w:rPr>
              <w:t>Customer relationships</w:t>
            </w:r>
          </w:p>
        </w:tc>
        <w:tc>
          <w:tcPr>
            <w:tcW w:w="2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39,538</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(807)</w:t>
            </w:r>
          </w:p>
        </w:tc>
        <w:tc>
          <w:tcPr>
            <w:tcW w:w="1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38,731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700" w:type="dxa"/>
            <w:vAlign w:val="bottom"/>
          </w:tcPr>
          <w:p>
            <w:pPr>
              <w:ind w:left="160"/>
              <w:spacing w:after="0" w:line="202" w:lineRule="exact"/>
              <w:rPr>
                <w:sz w:val="20"/>
                <w:szCs w:val="20"/>
                <w:color w:val="auto"/>
              </w:rPr>
            </w:pPr>
            <w:r>
              <w:rPr>
                <w:rFonts w:ascii="Arial" w:cs="Arial" w:eastAsia="Arial" w:hAnsi="Arial"/>
                <w:sz w:val="18"/>
                <w:szCs w:val="18"/>
                <w:color w:val="auto"/>
              </w:rPr>
              <w:t>Customer contracts</w:t>
            </w:r>
          </w:p>
        </w:tc>
        <w:tc>
          <w:tcPr>
            <w:tcW w:w="25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9,456</w:t>
            </w:r>
          </w:p>
        </w:tc>
        <w:tc>
          <w:tcPr>
            <w:tcW w:w="19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(728)</w:t>
            </w:r>
          </w:p>
        </w:tc>
        <w:tc>
          <w:tcPr>
            <w:tcW w:w="164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5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8,728</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 intangibles</w:t>
            </w:r>
          </w:p>
        </w:tc>
        <w:tc>
          <w:tcPr>
            <w:tcW w:w="2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129</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amortized intangible assets</w:t>
            </w:r>
          </w:p>
        </w:tc>
        <w:tc>
          <w:tcPr>
            <w:tcW w:w="25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$49,206</w:t>
            </w:r>
          </w:p>
        </w:tc>
        <w:tc>
          <w:tcPr>
            <w:tcW w:w="19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($1,560)</w:t>
            </w:r>
          </w:p>
        </w:tc>
        <w:tc>
          <w:tcPr>
            <w:tcW w:w="16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$47,646</w:t>
            </w:r>
          </w:p>
        </w:tc>
        <w:tc>
          <w:tcPr>
            <w:tcW w:w="0" w:type="dxa"/>
            <w:vAlign w:val="bottom"/>
          </w:tcPr>
          <w:p>
            <w:pPr>
              <w:spacing w:after="0"/>
              <w:rPr>
                <w:sz w:val="1"/>
                <w:szCs w:val="1"/>
                <w:color w:val="auto"/>
              </w:rPr>
            </w:pPr>
          </w:p>
        </w:tc>
      </w:tr>
      <w:tr>
        <w:trPr>
          <w:trHeight w:val="376"/>
        </w:trPr>
        <w:tc>
          <w:tcPr>
            <w:tcW w:w="3720" w:type="dxa"/>
            <w:vAlign w:val="bottom"/>
            <w:gridSpan w:val="2"/>
          </w:tcPr>
          <w:p>
            <w:pPr>
              <w:spacing w:after="0"/>
              <w:rPr>
                <w:sz w:val="20"/>
                <w:szCs w:val="20"/>
                <w:color w:val="auto"/>
              </w:rPr>
            </w:pPr>
            <w:r>
              <w:rPr>
                <w:rFonts w:ascii="Arial" w:cs="Arial" w:eastAsia="Arial" w:hAnsi="Arial"/>
                <w:sz w:val="18"/>
                <w:szCs w:val="18"/>
                <w:color w:val="auto"/>
              </w:rPr>
              <w:t>Unamortized intangible assets:</w:t>
            </w:r>
          </w:p>
        </w:tc>
        <w:tc>
          <w:tcPr>
            <w:tcW w:w="25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$67,708</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700" w:type="dxa"/>
            <w:vAlign w:val="bottom"/>
          </w:tcPr>
          <w:p>
            <w:pPr>
              <w:ind w:left="160"/>
              <w:spacing w:after="0" w:line="201" w:lineRule="exact"/>
              <w:rPr>
                <w:sz w:val="20"/>
                <w:szCs w:val="20"/>
                <w:color w:val="auto"/>
              </w:rPr>
            </w:pPr>
            <w:r>
              <w:rPr>
                <w:rFonts w:ascii="Arial" w:cs="Arial" w:eastAsia="Arial" w:hAnsi="Arial"/>
                <w:sz w:val="18"/>
                <w:szCs w:val="18"/>
                <w:color w:val="auto"/>
              </w:rPr>
              <w:t>MC Goodwill</w:t>
            </w:r>
          </w:p>
        </w:tc>
        <w:tc>
          <w:tcPr>
            <w:tcW w:w="256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$68,652</w:t>
            </w:r>
          </w:p>
        </w:tc>
        <w:tc>
          <w:tcPr>
            <w:tcW w:w="192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($944)</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7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AEC Goodwill</w:t>
            </w:r>
          </w:p>
        </w:tc>
        <w:tc>
          <w:tcPr>
            <w:tcW w:w="25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95,730</w:t>
            </w:r>
          </w:p>
        </w:tc>
        <w:tc>
          <w:tcPr>
            <w:tcW w:w="19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95,730</w:t>
            </w: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unamortized intangible assets:</w:t>
            </w:r>
          </w:p>
        </w:tc>
        <w:tc>
          <w:tcPr>
            <w:tcW w:w="256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$164,382</w:t>
            </w:r>
          </w:p>
        </w:tc>
        <w:tc>
          <w:tcPr>
            <w:tcW w:w="192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($944)</w:t>
            </w: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$163,438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amortization expense of intangibles for the years ending December 31, 2019 through 2023, is as follows:</w:t>
      </w:r>
    </w:p>
    <w:p>
      <w:pPr>
        <w:spacing w:after="0" w:line="188"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3420" w:type="dxa"/>
            <w:vAlign w:val="bottom"/>
            <w:tcBorders>
              <w:top w:val="single" w:sz="8" w:color="auto"/>
            </w:tcBorders>
          </w:tcPr>
          <w:p>
            <w:pPr>
              <w:spacing w:after="0"/>
              <w:rPr>
                <w:sz w:val="16"/>
                <w:szCs w:val="16"/>
                <w:color w:val="auto"/>
              </w:rPr>
            </w:pPr>
          </w:p>
        </w:tc>
        <w:tc>
          <w:tcPr>
            <w:tcW w:w="34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Annual amortization</w:t>
            </w:r>
          </w:p>
        </w:tc>
      </w:tr>
      <w:tr>
        <w:trPr>
          <w:trHeight w:val="227"/>
        </w:trPr>
        <w:tc>
          <w:tcPr>
            <w:tcW w:w="3420" w:type="dxa"/>
            <w:vAlign w:val="bottom"/>
            <w:tcBorders>
              <w:bottom w:val="single" w:sz="8" w:color="auto"/>
            </w:tcBorders>
          </w:tcPr>
          <w:p>
            <w:pPr>
              <w:ind w:left="1320"/>
              <w:spacing w:after="0"/>
              <w:rPr>
                <w:sz w:val="20"/>
                <w:szCs w:val="20"/>
                <w:color w:val="auto"/>
              </w:rPr>
            </w:pPr>
            <w:r>
              <w:rPr>
                <w:rFonts w:ascii="Arial" w:cs="Arial" w:eastAsia="Arial" w:hAnsi="Arial"/>
                <w:sz w:val="18"/>
                <w:szCs w:val="18"/>
                <w:b w:val="1"/>
                <w:bCs w:val="1"/>
                <w:color w:val="auto"/>
              </w:rPr>
              <w:t>Year</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 thousands)</w:t>
            </w:r>
          </w:p>
        </w:tc>
      </w:tr>
      <w:tr>
        <w:trPr>
          <w:trHeight w:val="173"/>
        </w:trPr>
        <w:tc>
          <w:tcPr>
            <w:tcW w:w="3420" w:type="dxa"/>
            <w:vAlign w:val="bottom"/>
          </w:tcPr>
          <w:p>
            <w:pPr>
              <w:ind w:left="1300"/>
              <w:spacing w:after="0" w:line="173" w:lineRule="exact"/>
              <w:rPr>
                <w:sz w:val="20"/>
                <w:szCs w:val="20"/>
                <w:color w:val="auto"/>
              </w:rPr>
            </w:pPr>
            <w:r>
              <w:rPr>
                <w:rFonts w:ascii="Arial" w:cs="Arial" w:eastAsia="Arial" w:hAnsi="Arial"/>
                <w:sz w:val="18"/>
                <w:szCs w:val="18"/>
                <w:color w:val="auto"/>
              </w:rPr>
              <w:t>2019</w:t>
            </w:r>
          </w:p>
        </w:tc>
        <w:tc>
          <w:tcPr>
            <w:tcW w:w="3420" w:type="dxa"/>
            <w:vAlign w:val="bottom"/>
          </w:tcPr>
          <w:p>
            <w:pPr>
              <w:jc w:val="right"/>
              <w:spacing w:after="0" w:line="173" w:lineRule="exact"/>
              <w:rPr>
                <w:sz w:val="20"/>
                <w:szCs w:val="20"/>
                <w:color w:val="auto"/>
              </w:rPr>
            </w:pPr>
            <w:r>
              <w:rPr>
                <w:rFonts w:ascii="Arial" w:cs="Arial" w:eastAsia="Arial" w:hAnsi="Arial"/>
                <w:sz w:val="18"/>
                <w:szCs w:val="18"/>
                <w:color w:val="auto"/>
              </w:rPr>
              <w:t>$6,234</w:t>
            </w:r>
          </w:p>
        </w:tc>
      </w:tr>
      <w:tr>
        <w:trPr>
          <w:trHeight w:val="203"/>
        </w:trPr>
        <w:tc>
          <w:tcPr>
            <w:tcW w:w="3420" w:type="dxa"/>
            <w:vAlign w:val="bottom"/>
          </w:tcPr>
          <w:p>
            <w:pPr>
              <w:ind w:left="1300"/>
              <w:spacing w:after="0" w:line="202" w:lineRule="exact"/>
              <w:rPr>
                <w:sz w:val="20"/>
                <w:szCs w:val="20"/>
                <w:color w:val="auto"/>
              </w:rPr>
            </w:pPr>
            <w:r>
              <w:rPr>
                <w:rFonts w:ascii="Arial" w:cs="Arial" w:eastAsia="Arial" w:hAnsi="Arial"/>
                <w:sz w:val="18"/>
                <w:szCs w:val="18"/>
                <w:color w:val="auto"/>
              </w:rPr>
              <w:t>2020</w:t>
            </w:r>
          </w:p>
        </w:tc>
        <w:tc>
          <w:tcPr>
            <w:tcW w:w="3420" w:type="dxa"/>
            <w:vAlign w:val="bottom"/>
          </w:tcPr>
          <w:p>
            <w:pPr>
              <w:jc w:val="right"/>
              <w:spacing w:after="0" w:line="202" w:lineRule="exact"/>
              <w:rPr>
                <w:sz w:val="20"/>
                <w:szCs w:val="20"/>
                <w:color w:val="auto"/>
              </w:rPr>
            </w:pPr>
            <w:r>
              <w:rPr>
                <w:rFonts w:ascii="Arial" w:cs="Arial" w:eastAsia="Arial" w:hAnsi="Arial"/>
                <w:sz w:val="18"/>
                <w:szCs w:val="18"/>
                <w:color w:val="auto"/>
              </w:rPr>
              <w:t>6,234</w:t>
            </w:r>
          </w:p>
        </w:tc>
      </w:tr>
      <w:tr>
        <w:trPr>
          <w:trHeight w:val="203"/>
        </w:trPr>
        <w:tc>
          <w:tcPr>
            <w:tcW w:w="3420" w:type="dxa"/>
            <w:vAlign w:val="bottom"/>
          </w:tcPr>
          <w:p>
            <w:pPr>
              <w:ind w:left="1300"/>
              <w:spacing w:after="0" w:line="202" w:lineRule="exact"/>
              <w:rPr>
                <w:sz w:val="20"/>
                <w:szCs w:val="20"/>
                <w:color w:val="auto"/>
              </w:rPr>
            </w:pPr>
            <w:r>
              <w:rPr>
                <w:rFonts w:ascii="Arial" w:cs="Arial" w:eastAsia="Arial" w:hAnsi="Arial"/>
                <w:sz w:val="18"/>
                <w:szCs w:val="18"/>
                <w:color w:val="auto"/>
              </w:rPr>
              <w:t>2021</w:t>
            </w:r>
          </w:p>
        </w:tc>
        <w:tc>
          <w:tcPr>
            <w:tcW w:w="3420" w:type="dxa"/>
            <w:vAlign w:val="bottom"/>
          </w:tcPr>
          <w:p>
            <w:pPr>
              <w:jc w:val="right"/>
              <w:spacing w:after="0" w:line="202" w:lineRule="exact"/>
              <w:rPr>
                <w:sz w:val="20"/>
                <w:szCs w:val="20"/>
                <w:color w:val="auto"/>
              </w:rPr>
            </w:pPr>
            <w:r>
              <w:rPr>
                <w:rFonts w:ascii="Arial" w:cs="Arial" w:eastAsia="Arial" w:hAnsi="Arial"/>
                <w:sz w:val="18"/>
                <w:szCs w:val="18"/>
                <w:color w:val="auto"/>
              </w:rPr>
              <w:t>6,163</w:t>
            </w:r>
          </w:p>
        </w:tc>
      </w:tr>
      <w:tr>
        <w:trPr>
          <w:trHeight w:val="203"/>
        </w:trPr>
        <w:tc>
          <w:tcPr>
            <w:tcW w:w="3420" w:type="dxa"/>
            <w:vAlign w:val="bottom"/>
          </w:tcPr>
          <w:p>
            <w:pPr>
              <w:ind w:left="1300"/>
              <w:spacing w:after="0" w:line="202" w:lineRule="exact"/>
              <w:rPr>
                <w:sz w:val="20"/>
                <w:szCs w:val="20"/>
                <w:color w:val="auto"/>
              </w:rPr>
            </w:pPr>
            <w:r>
              <w:rPr>
                <w:rFonts w:ascii="Arial" w:cs="Arial" w:eastAsia="Arial" w:hAnsi="Arial"/>
                <w:sz w:val="18"/>
                <w:szCs w:val="18"/>
                <w:color w:val="auto"/>
              </w:rPr>
              <w:t>2022</w:t>
            </w:r>
          </w:p>
        </w:tc>
        <w:tc>
          <w:tcPr>
            <w:tcW w:w="3420" w:type="dxa"/>
            <w:vAlign w:val="bottom"/>
          </w:tcPr>
          <w:p>
            <w:pPr>
              <w:jc w:val="right"/>
              <w:spacing w:after="0" w:line="202" w:lineRule="exact"/>
              <w:rPr>
                <w:sz w:val="20"/>
                <w:szCs w:val="20"/>
                <w:color w:val="auto"/>
              </w:rPr>
            </w:pPr>
            <w:r>
              <w:rPr>
                <w:rFonts w:ascii="Arial" w:cs="Arial" w:eastAsia="Arial" w:hAnsi="Arial"/>
                <w:sz w:val="18"/>
                <w:szCs w:val="18"/>
                <w:color w:val="auto"/>
              </w:rPr>
              <w:t>3,949</w:t>
            </w:r>
          </w:p>
        </w:tc>
      </w:tr>
      <w:tr>
        <w:trPr>
          <w:trHeight w:val="225"/>
        </w:trPr>
        <w:tc>
          <w:tcPr>
            <w:tcW w:w="342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2023</w:t>
            </w:r>
          </w:p>
        </w:tc>
        <w:tc>
          <w:tcPr>
            <w:tcW w:w="3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w:t>
            </w: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Financial Instruments</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Long-term debt, principally to banks and noteholders, consists of:</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191"/>
        </w:trPr>
        <w:tc>
          <w:tcPr>
            <w:tcW w:w="644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jc w:val="right"/>
              <w:ind w:right="630"/>
              <w:spacing w:after="0" w:line="191" w:lineRule="exact"/>
              <w:rPr>
                <w:sz w:val="20"/>
                <w:szCs w:val="20"/>
                <w:color w:val="auto"/>
              </w:rPr>
            </w:pPr>
            <w:r>
              <w:rPr>
                <w:rFonts w:ascii="Arial" w:cs="Arial" w:eastAsia="Arial" w:hAnsi="Arial"/>
                <w:sz w:val="18"/>
                <w:szCs w:val="18"/>
                <w:b w:val="1"/>
                <w:bCs w:val="1"/>
                <w:color w:val="auto"/>
              </w:rPr>
              <w:t>March 31,</w:t>
            </w:r>
          </w:p>
        </w:tc>
        <w:tc>
          <w:tcPr>
            <w:tcW w:w="23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interest rates)</w:t>
            </w:r>
          </w:p>
        </w:tc>
        <w:tc>
          <w:tcPr>
            <w:tcW w:w="18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2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376"/>
        </w:trPr>
        <w:tc>
          <w:tcPr>
            <w:tcW w:w="6440" w:type="dxa"/>
            <w:vAlign w:val="bottom"/>
          </w:tcPr>
          <w:p>
            <w:pPr>
              <w:spacing w:after="0"/>
              <w:rPr>
                <w:sz w:val="20"/>
                <w:szCs w:val="20"/>
                <w:color w:val="auto"/>
              </w:rPr>
            </w:pPr>
            <w:r>
              <w:rPr>
                <w:rFonts w:ascii="Arial" w:cs="Arial" w:eastAsia="Arial" w:hAnsi="Arial"/>
                <w:sz w:val="18"/>
                <w:szCs w:val="18"/>
                <w:color w:val="auto"/>
              </w:rPr>
              <w:t>Revolving credit agreement with borrowings outstanding at an end of period</w:t>
            </w:r>
          </w:p>
        </w:tc>
        <w:tc>
          <w:tcPr>
            <w:tcW w:w="18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440" w:type="dxa"/>
            <w:vAlign w:val="bottom"/>
          </w:tcPr>
          <w:p>
            <w:pPr>
              <w:spacing w:after="0" w:line="202" w:lineRule="exact"/>
              <w:rPr>
                <w:sz w:val="20"/>
                <w:szCs w:val="20"/>
                <w:color w:val="auto"/>
              </w:rPr>
            </w:pPr>
            <w:r>
              <w:rPr>
                <w:rFonts w:ascii="Arial" w:cs="Arial" w:eastAsia="Arial" w:hAnsi="Arial"/>
                <w:sz w:val="18"/>
                <w:szCs w:val="18"/>
                <w:color w:val="auto"/>
              </w:rPr>
              <w:t>interest rate of 3.61% in 2019 and 3.69% in 2018 (including the effect of</w:t>
            </w:r>
          </w:p>
        </w:tc>
        <w:tc>
          <w:tcPr>
            <w:tcW w:w="18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$491,000</w:t>
            </w:r>
          </w:p>
        </w:tc>
        <w:tc>
          <w:tcPr>
            <w:tcW w:w="2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440" w:type="dxa"/>
            <w:vAlign w:val="bottom"/>
          </w:tcPr>
          <w:p>
            <w:pPr>
              <w:spacing w:after="0"/>
              <w:rPr>
                <w:sz w:val="20"/>
                <w:szCs w:val="20"/>
                <w:color w:val="auto"/>
              </w:rPr>
            </w:pPr>
            <w:r>
              <w:rPr>
                <w:rFonts w:ascii="Arial" w:cs="Arial" w:eastAsia="Arial" w:hAnsi="Arial"/>
                <w:sz w:val="18"/>
                <w:szCs w:val="18"/>
                <w:color w:val="auto"/>
              </w:rPr>
              <w:t>interest rate hedging transactions, as described below), due in 2022</w:t>
            </w:r>
          </w:p>
        </w:tc>
        <w:tc>
          <w:tcPr>
            <w:tcW w:w="1840" w:type="dxa"/>
            <w:vAlign w:val="bottom"/>
            <w:vMerge w:val="continue"/>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$499,000</w:t>
            </w:r>
          </w:p>
        </w:tc>
        <w:tc>
          <w:tcPr>
            <w:tcW w:w="0" w:type="dxa"/>
            <w:vAlign w:val="bottom"/>
          </w:tcPr>
          <w:p>
            <w:pPr>
              <w:spacing w:after="0"/>
              <w:rPr>
                <w:sz w:val="1"/>
                <w:szCs w:val="1"/>
                <w:color w:val="auto"/>
              </w:rPr>
            </w:pPr>
          </w:p>
        </w:tc>
      </w:tr>
      <w:tr>
        <w:trPr>
          <w:trHeight w:val="405"/>
        </w:trPr>
        <w:tc>
          <w:tcPr>
            <w:tcW w:w="6440" w:type="dxa"/>
            <w:vAlign w:val="bottom"/>
          </w:tcPr>
          <w:p>
            <w:pPr>
              <w:spacing w:after="0"/>
              <w:rPr>
                <w:sz w:val="20"/>
                <w:szCs w:val="20"/>
                <w:color w:val="auto"/>
              </w:rPr>
            </w:pPr>
            <w:r>
              <w:rPr>
                <w:rFonts w:ascii="Arial" w:cs="Arial" w:eastAsia="Arial" w:hAnsi="Arial"/>
                <w:sz w:val="18"/>
                <w:szCs w:val="18"/>
                <w:color w:val="auto"/>
              </w:rPr>
              <w:t>Finance obligation</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2320" w:type="dxa"/>
            <w:vAlign w:val="bottom"/>
          </w:tcPr>
          <w:p>
            <w:pPr>
              <w:jc w:val="right"/>
              <w:spacing w:after="0"/>
              <w:rPr>
                <w:sz w:val="20"/>
                <w:szCs w:val="20"/>
                <w:color w:val="auto"/>
              </w:rPr>
            </w:pPr>
            <w:r>
              <w:rPr>
                <w:rFonts w:ascii="Arial" w:cs="Arial" w:eastAsia="Arial" w:hAnsi="Arial"/>
                <w:sz w:val="18"/>
                <w:szCs w:val="18"/>
                <w:color w:val="auto"/>
              </w:rPr>
              <w:t>25,886</w:t>
            </w:r>
          </w:p>
        </w:tc>
        <w:tc>
          <w:tcPr>
            <w:tcW w:w="0" w:type="dxa"/>
            <w:vAlign w:val="bottom"/>
          </w:tcPr>
          <w:p>
            <w:pPr>
              <w:spacing w:after="0"/>
              <w:rPr>
                <w:sz w:val="1"/>
                <w:szCs w:val="1"/>
                <w:color w:val="auto"/>
              </w:rPr>
            </w:pPr>
          </w:p>
        </w:tc>
      </w:tr>
      <w:tr>
        <w:trPr>
          <w:trHeight w:val="357"/>
        </w:trPr>
        <w:tc>
          <w:tcPr>
            <w:tcW w:w="6440" w:type="dxa"/>
            <w:vAlign w:val="bottom"/>
          </w:tcPr>
          <w:p>
            <w:pPr>
              <w:spacing w:after="0"/>
              <w:rPr>
                <w:sz w:val="20"/>
                <w:szCs w:val="20"/>
                <w:color w:val="auto"/>
              </w:rPr>
            </w:pPr>
            <w:r>
              <w:rPr>
                <w:rFonts w:ascii="Arial" w:cs="Arial" w:eastAsia="Arial" w:hAnsi="Arial"/>
                <w:sz w:val="18"/>
                <w:szCs w:val="18"/>
                <w:color w:val="auto"/>
              </w:rPr>
              <w:t>Other debt, at an average end of period rate of 5.50% in both 2019 and 2018,</w:t>
            </w:r>
          </w:p>
        </w:tc>
        <w:tc>
          <w:tcPr>
            <w:tcW w:w="18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41</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due in varying amounts through 2021</w:t>
            </w:r>
          </w:p>
        </w:tc>
        <w:tc>
          <w:tcPr>
            <w:tcW w:w="1840" w:type="dxa"/>
            <w:vAlign w:val="bottom"/>
            <w:tcBorders>
              <w:bottom w:val="single" w:sz="8" w:color="auto"/>
            </w:tcBorders>
            <w:vMerge w:val="continue"/>
          </w:tcPr>
          <w:p>
            <w:pPr>
              <w:spacing w:after="0"/>
              <w:rPr>
                <w:sz w:val="19"/>
                <w:szCs w:val="19"/>
                <w:color w:val="auto"/>
              </w:rPr>
            </w:pP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24"/>
        </w:trPr>
        <w:tc>
          <w:tcPr>
            <w:tcW w:w="6440" w:type="dxa"/>
            <w:vAlign w:val="bottom"/>
          </w:tcPr>
          <w:p>
            <w:pPr>
              <w:spacing w:after="0"/>
              <w:rPr>
                <w:sz w:val="20"/>
                <w:szCs w:val="20"/>
                <w:color w:val="auto"/>
              </w:rPr>
            </w:pPr>
            <w:r>
              <w:rPr>
                <w:rFonts w:ascii="Arial" w:cs="Arial" w:eastAsia="Arial" w:hAnsi="Arial"/>
                <w:sz w:val="18"/>
                <w:szCs w:val="18"/>
                <w:color w:val="auto"/>
              </w:rPr>
              <w:t>Long-term debt</w:t>
            </w:r>
          </w:p>
        </w:tc>
        <w:tc>
          <w:tcPr>
            <w:tcW w:w="1840" w:type="dxa"/>
            <w:vAlign w:val="bottom"/>
          </w:tcPr>
          <w:p>
            <w:pPr>
              <w:jc w:val="right"/>
              <w:ind w:right="130"/>
              <w:spacing w:after="0"/>
              <w:rPr>
                <w:sz w:val="20"/>
                <w:szCs w:val="20"/>
                <w:color w:val="auto"/>
              </w:rPr>
            </w:pPr>
            <w:r>
              <w:rPr>
                <w:rFonts w:ascii="Arial" w:cs="Arial" w:eastAsia="Arial" w:hAnsi="Arial"/>
                <w:sz w:val="18"/>
                <w:szCs w:val="18"/>
                <w:b w:val="1"/>
                <w:bCs w:val="1"/>
                <w:color w:val="auto"/>
              </w:rPr>
              <w:t>491,041</w:t>
            </w:r>
          </w:p>
        </w:tc>
        <w:tc>
          <w:tcPr>
            <w:tcW w:w="2320" w:type="dxa"/>
            <w:vAlign w:val="bottom"/>
          </w:tcPr>
          <w:p>
            <w:pPr>
              <w:jc w:val="right"/>
              <w:spacing w:after="0"/>
              <w:rPr>
                <w:sz w:val="20"/>
                <w:szCs w:val="20"/>
                <w:color w:val="auto"/>
              </w:rPr>
            </w:pPr>
            <w:r>
              <w:rPr>
                <w:rFonts w:ascii="Arial" w:cs="Arial" w:eastAsia="Arial" w:hAnsi="Arial"/>
                <w:sz w:val="18"/>
                <w:szCs w:val="18"/>
                <w:color w:val="auto"/>
              </w:rPr>
              <w:t>524,931</w:t>
            </w:r>
          </w:p>
        </w:tc>
        <w:tc>
          <w:tcPr>
            <w:tcW w:w="0" w:type="dxa"/>
            <w:vAlign w:val="bottom"/>
          </w:tcPr>
          <w:p>
            <w:pPr>
              <w:spacing w:after="0"/>
              <w:rPr>
                <w:sz w:val="1"/>
                <w:szCs w:val="1"/>
                <w:color w:val="auto"/>
              </w:rPr>
            </w:pPr>
          </w:p>
        </w:tc>
      </w:tr>
      <w:tr>
        <w:trPr>
          <w:trHeight w:val="380"/>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w:t>
            </w: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(19)</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w:t>
            </w:r>
          </w:p>
        </w:tc>
        <w:tc>
          <w:tcPr>
            <w:tcW w:w="0" w:type="dxa"/>
            <w:vAlign w:val="bottom"/>
          </w:tcPr>
          <w:p>
            <w:pPr>
              <w:spacing w:after="0"/>
              <w:rPr>
                <w:sz w:val="1"/>
                <w:szCs w:val="1"/>
                <w:color w:val="auto"/>
              </w:rPr>
            </w:pPr>
          </w:p>
        </w:tc>
      </w:tr>
      <w:tr>
        <w:trPr>
          <w:trHeight w:val="399"/>
        </w:trPr>
        <w:tc>
          <w:tcPr>
            <w:tcW w:w="6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 net of current portion</w:t>
            </w:r>
          </w:p>
        </w:tc>
        <w:tc>
          <w:tcPr>
            <w:tcW w:w="18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$491,022</w:t>
            </w:r>
          </w:p>
        </w:tc>
        <w:tc>
          <w:tcPr>
            <w:tcW w:w="2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$523,707</w:t>
            </w:r>
          </w:p>
        </w:tc>
        <w:tc>
          <w:tcPr>
            <w:tcW w:w="0" w:type="dxa"/>
            <w:vAlign w:val="bottom"/>
          </w:tcPr>
          <w:p>
            <w:pPr>
              <w:spacing w:after="0"/>
              <w:rPr>
                <w:sz w:val="1"/>
                <w:szCs w:val="1"/>
                <w:color w:val="auto"/>
              </w:rPr>
            </w:pPr>
          </w:p>
        </w:tc>
      </w:tr>
    </w:tbl>
    <w:p>
      <w:pPr>
        <w:spacing w:after="0" w:line="35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6" w:name="page27"/>
    <w:bookmarkEnd w:id="26"/>
    <w:p>
      <w:pPr>
        <w:spacing w:after="0" w:line="245" w:lineRule="auto"/>
        <w:rPr>
          <w:sz w:val="20"/>
          <w:szCs w:val="20"/>
          <w:color w:val="auto"/>
        </w:rPr>
      </w:pPr>
      <w:r>
        <w:rPr>
          <w:rFonts w:ascii="Arial" w:cs="Arial" w:eastAsia="Arial" w:hAnsi="Arial"/>
          <w:sz w:val="18"/>
          <w:szCs w:val="18"/>
          <w:color w:val="auto"/>
        </w:rPr>
        <w:t>$491 million of borrowings were outstanding as of March 31, 2019. The applicable interest rate for borrowings was LIBOR plus a spread, based on our leverage ratio at the time of borrowing. At the time of the last borrowing on March 18, 2019, the spread was 1.375%. The spread was based on a pricing grid, which ranged from 1.250% to 1.750%, based on our leverage ratio. Based on our maximum leverage ratio and our Consolidated EBITDA, and without modification to any other credit agreements, as of March 31, 2019, we would have been able to borrow an additional $194 million under the Agreement.</w:t>
      </w:r>
    </w:p>
    <w:p>
      <w:pPr>
        <w:spacing w:after="0" w:line="132" w:lineRule="exact"/>
        <w:rPr>
          <w:sz w:val="20"/>
          <w:szCs w:val="20"/>
          <w:color w:val="auto"/>
        </w:rPr>
      </w:pPr>
    </w:p>
    <w:p>
      <w:pPr>
        <w:ind w:right="200" w:firstLine="648"/>
        <w:spacing w:after="0" w:line="276" w:lineRule="auto"/>
        <w:rPr>
          <w:sz w:val="20"/>
          <w:szCs w:val="20"/>
          <w:color w:val="auto"/>
        </w:rPr>
      </w:pPr>
      <w:r>
        <w:rPr>
          <w:rFonts w:ascii="Arial" w:cs="Arial" w:eastAsia="Arial" w:hAnsi="Arial"/>
          <w:sz w:val="18"/>
          <w:szCs w:val="18"/>
          <w:color w:val="auto"/>
        </w:rPr>
        <w:t>The Credit Agreement contains customary terms, as well as affirmative covenants, negative covenants and events of default that are comparable to those in the Prior Agreement. The Borrowings are guaranteed by certain of the Company’s subsidiaries.</w:t>
      </w:r>
    </w:p>
    <w:p>
      <w:pPr>
        <w:spacing w:after="0" w:line="118" w:lineRule="exact"/>
        <w:rPr>
          <w:sz w:val="20"/>
          <w:szCs w:val="20"/>
          <w:color w:val="auto"/>
        </w:rPr>
      </w:pPr>
    </w:p>
    <w:p>
      <w:pPr>
        <w:ind w:right="320" w:firstLine="648"/>
        <w:spacing w:after="0" w:line="276" w:lineRule="auto"/>
        <w:rPr>
          <w:sz w:val="20"/>
          <w:szCs w:val="20"/>
          <w:color w:val="auto"/>
        </w:rPr>
      </w:pPr>
      <w:r>
        <w:rPr>
          <w:rFonts w:ascii="Arial" w:cs="Arial" w:eastAsia="Arial" w:hAnsi="Arial"/>
          <w:sz w:val="18"/>
          <w:szCs w:val="18"/>
          <w:color w:val="auto"/>
        </w:rPr>
        <w:t>Our ability to borrow additional amounts under the Credit Agreement is conditional upon the absence of any defaults, as well as the absence of any material adverse change (as defined in the Credit Agreement).</w:t>
      </w:r>
    </w:p>
    <w:p>
      <w:pPr>
        <w:spacing w:after="0" w:line="105" w:lineRule="exact"/>
        <w:rPr>
          <w:sz w:val="20"/>
          <w:szCs w:val="20"/>
          <w:color w:val="auto"/>
        </w:rPr>
      </w:pPr>
    </w:p>
    <w:p>
      <w:pPr>
        <w:ind w:right="280" w:firstLine="648"/>
        <w:spacing w:after="0" w:line="255" w:lineRule="auto"/>
        <w:rPr>
          <w:sz w:val="20"/>
          <w:szCs w:val="20"/>
          <w:color w:val="auto"/>
        </w:rPr>
      </w:pPr>
      <w:r>
        <w:rPr>
          <w:rFonts w:ascii="Arial" w:cs="Arial" w:eastAsia="Arial" w:hAnsi="Arial"/>
          <w:sz w:val="18"/>
          <w:szCs w:val="18"/>
          <w:color w:val="auto"/>
        </w:rPr>
        <w:t xml:space="preserve">Due to the implementation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on January 1, 2019, as further described in Note 3 the finance obligation that had a balance of $25.9 million as of December 31, 2018, was eliminated and replaced with a finance lease obligation that is included in Other noncurrent liabilities and Accrued liabilities.</w:t>
      </w:r>
    </w:p>
    <w:p>
      <w:pPr>
        <w:spacing w:after="0" w:line="124" w:lineRule="exact"/>
        <w:rPr>
          <w:sz w:val="20"/>
          <w:szCs w:val="20"/>
          <w:color w:val="auto"/>
        </w:rPr>
      </w:pPr>
    </w:p>
    <w:p>
      <w:pPr>
        <w:ind w:right="160" w:firstLine="648"/>
        <w:spacing w:after="0" w:line="248" w:lineRule="auto"/>
        <w:rPr>
          <w:sz w:val="20"/>
          <w:szCs w:val="20"/>
          <w:color w:val="auto"/>
        </w:rPr>
      </w:pPr>
      <w:r>
        <w:rPr>
          <w:rFonts w:ascii="Arial" w:cs="Arial" w:eastAsia="Arial" w:hAnsi="Arial"/>
          <w:sz w:val="18"/>
          <w:szCs w:val="18"/>
          <w:color w:val="auto"/>
        </w:rPr>
        <w:t>On November 27, 2017, we terminated our interest rate swap agreements, originally entered into on May 9, 2016, that had effectively fixed the interest rate on $300 million of revolving credit borrowings, in order to enter into a new interest rate swap with a greater notional amount, and the same maturity as the Credit Agreement. We received $6.3 million when the swap agreements were terminated and that payment will be amortized into interest expense through March 2021.</w:t>
      </w:r>
    </w:p>
    <w:p>
      <w:pPr>
        <w:spacing w:after="0" w:line="144"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On May 6, 2016, we terminated other interest rate swap agreements that had effectively fixed the interest rate on $120 million of revolving credit borrowings, in order to enter into a new interest rate swap with a greater notional amount, and the same maturity as the Credit Agreement. We paid $5.2 million to terminate the swap agreements and that cost will be amortized into interest expense through June 2020.</w:t>
      </w:r>
    </w:p>
    <w:p>
      <w:pPr>
        <w:spacing w:after="0" w:line="124" w:lineRule="exact"/>
        <w:rPr>
          <w:sz w:val="20"/>
          <w:szCs w:val="20"/>
          <w:color w:val="auto"/>
        </w:rPr>
      </w:pPr>
    </w:p>
    <w:p>
      <w:pPr>
        <w:ind w:firstLine="648"/>
        <w:spacing w:after="0" w:line="245" w:lineRule="auto"/>
        <w:rPr>
          <w:sz w:val="20"/>
          <w:szCs w:val="20"/>
          <w:color w:val="auto"/>
        </w:rPr>
      </w:pPr>
      <w:r>
        <w:rPr>
          <w:rFonts w:ascii="Arial" w:cs="Arial" w:eastAsia="Arial" w:hAnsi="Arial"/>
          <w:sz w:val="18"/>
          <w:szCs w:val="18"/>
          <w:color w:val="auto"/>
        </w:rPr>
        <w:t>On November 28, 2017, we entered into interest rate swap agreements for the period December 18, 2017 through October 17, 2022. These transactions have the effect of fixing the LIBOR portion of the effective interest rate (before addition of the spread) on $350 million of indebtedness drawn under the Credit Agreement at the rate of 2.11% during the period. Under the terms of these transactions, we pay the fixed rate of 2.11% and the counterparties pay a floating rate based on the one-month LIBOR rate at each monthly calculation date, which on March 18, 2019 was 2.49%, during the swap period. On March 18, 2019, the all-in-rate on the $350 million of debt was 3.61%.</w:t>
      </w:r>
    </w:p>
    <w:p>
      <w:pPr>
        <w:spacing w:after="0" w:line="132" w:lineRule="exact"/>
        <w:rPr>
          <w:sz w:val="20"/>
          <w:szCs w:val="20"/>
          <w:color w:val="auto"/>
        </w:rPr>
      </w:pPr>
    </w:p>
    <w:p>
      <w:pPr>
        <w:ind w:right="220" w:firstLine="648"/>
        <w:spacing w:after="0" w:line="276" w:lineRule="auto"/>
        <w:rPr>
          <w:sz w:val="20"/>
          <w:szCs w:val="20"/>
          <w:color w:val="auto"/>
        </w:rPr>
      </w:pPr>
      <w:r>
        <w:rPr>
          <w:rFonts w:ascii="Arial" w:cs="Arial" w:eastAsia="Arial" w:hAnsi="Arial"/>
          <w:sz w:val="18"/>
          <w:szCs w:val="18"/>
          <w:color w:val="auto"/>
        </w:rPr>
        <w:t>These interest rate swaps are accounted for as a hedge of future cash flows, as further described in Note 16. No cash collateral was received or pledged in relation to the swap agreements.</w:t>
      </w:r>
    </w:p>
    <w:p>
      <w:pPr>
        <w:spacing w:after="0" w:line="11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Under the Credit Agreement, we are currently required to maintain a leverage ratio (as defined in the agreement) of not greater than 3.75 to 1.00 for each fiscal quarter ending prior to (but not including) September 30, 2019, and 3.50 to 1.00 for each fiscal quarter ending on or after September 30, 2019, and minimum interest coverage (as defined) of 3.00 to 1.00.</w:t>
      </w:r>
    </w:p>
    <w:p>
      <w:pPr>
        <w:spacing w:after="0" w:line="124" w:lineRule="exact"/>
        <w:rPr>
          <w:sz w:val="20"/>
          <w:szCs w:val="20"/>
          <w:color w:val="auto"/>
        </w:rPr>
      </w:pPr>
    </w:p>
    <w:p>
      <w:pPr>
        <w:ind w:right="340" w:firstLine="648"/>
        <w:spacing w:after="0" w:line="255" w:lineRule="auto"/>
        <w:rPr>
          <w:sz w:val="20"/>
          <w:szCs w:val="20"/>
          <w:color w:val="auto"/>
        </w:rPr>
      </w:pPr>
      <w:r>
        <w:rPr>
          <w:rFonts w:ascii="Arial" w:cs="Arial" w:eastAsia="Arial" w:hAnsi="Arial"/>
          <w:sz w:val="18"/>
          <w:szCs w:val="18"/>
          <w:color w:val="auto"/>
        </w:rPr>
        <w:t>As of March 31, 2019, our leverage ratio was 1.79 to 1.00 and our interest coverage ratio was 12.08 to 1.00. We may purchase our Common Stock or pay dividends to the extent our leverage ratio remains at or below 3.50 to 1.00, and may make acquisitions with cash provided our leverage ratio does not exceed the limits noted above.</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68" w:right="259" w:bottom="1440" w:gutter="0" w:footer="0" w:header="0"/>
        </w:sectPr>
      </w:pPr>
    </w:p>
    <w:bookmarkStart w:id="27" w:name="page28"/>
    <w:bookmarkEnd w:id="27"/>
    <w:p>
      <w:pPr>
        <w:ind w:left="660"/>
        <w:spacing w:after="0"/>
        <w:rPr>
          <w:sz w:val="20"/>
          <w:szCs w:val="20"/>
          <w:color w:val="auto"/>
        </w:rPr>
      </w:pPr>
      <w:r>
        <w:rPr>
          <w:rFonts w:ascii="Arial" w:cs="Arial" w:eastAsia="Arial" w:hAnsi="Arial"/>
          <w:sz w:val="18"/>
          <w:szCs w:val="18"/>
          <w:color w:val="auto"/>
        </w:rPr>
        <w:t>Indebtedness under the Credit Agreement is ranked equally in right of payment to all unsecured senior debt.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in compliance with all debt covenants as of March 31, 2019.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Fair-Value Measurements</w:t>
      </w:r>
    </w:p>
    <w:p>
      <w:pPr>
        <w:spacing w:after="0" w:line="171" w:lineRule="exact"/>
        <w:rPr>
          <w:sz w:val="20"/>
          <w:szCs w:val="20"/>
          <w:color w:val="auto"/>
        </w:rPr>
      </w:pPr>
    </w:p>
    <w:p>
      <w:pPr>
        <w:ind w:right="100" w:firstLine="648"/>
        <w:spacing w:after="0" w:line="243"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Accounting principles establish a hierarchy for inputs used in measuring fair value that maximizes the use of observable inputs and minimizes the use of unobservable inputs by requiring that the most observable inputs be used when available. Level 3 inputs are unobservable data points for the asset or liability, and include situations in which there is little, if any, market activity for the asset or liability. We had no Level 3 financial assets or liabilities at March 31, 2019, or at December 31, 2018.</w:t>
      </w:r>
    </w:p>
    <w:p>
      <w:pPr>
        <w:spacing w:after="0" w:line="134"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auto"/>
        </w:rPr>
        <w:t>The following table presents the fair-value hierarchy for our Level 1 and Level 2 financial and non-financial assets and liabilities, which are measured at fair value on a recurring basis: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top w:val="single" w:sz="8" w:color="auto"/>
            </w:tcBorders>
          </w:tcPr>
          <w:p>
            <w:pPr>
              <w:spacing w:after="0"/>
              <w:rPr>
                <w:sz w:val="19"/>
                <w:szCs w:val="19"/>
                <w:color w:val="auto"/>
              </w:rPr>
            </w:pPr>
          </w:p>
        </w:tc>
        <w:tc>
          <w:tcPr>
            <w:tcW w:w="3440" w:type="dxa"/>
            <w:vAlign w:val="bottom"/>
            <w:tcBorders>
              <w:top w:val="single" w:sz="8" w:color="auto"/>
              <w:bottom w:val="single" w:sz="8" w:color="auto"/>
            </w:tcBorders>
            <w:gridSpan w:val="2"/>
          </w:tcPr>
          <w:p>
            <w:pPr>
              <w:ind w:left="840"/>
              <w:spacing w:after="0"/>
              <w:rPr>
                <w:sz w:val="20"/>
                <w:szCs w:val="20"/>
                <w:color w:val="auto"/>
              </w:rPr>
            </w:pPr>
            <w:r>
              <w:rPr>
                <w:rFonts w:ascii="Arial" w:cs="Arial" w:eastAsia="Arial" w:hAnsi="Arial"/>
                <w:sz w:val="20"/>
                <w:szCs w:val="20"/>
                <w:b w:val="1"/>
                <w:bCs w:val="1"/>
                <w:color w:val="auto"/>
              </w:rPr>
              <w:t>March 31, 2019</w:t>
            </w:r>
          </w:p>
        </w:tc>
        <w:tc>
          <w:tcPr>
            <w:tcW w:w="2820" w:type="dxa"/>
            <w:vAlign w:val="bottom"/>
            <w:tcBorders>
              <w:top w:val="single" w:sz="8" w:color="auto"/>
              <w:bottom w:val="single" w:sz="8" w:color="auto"/>
            </w:tcBorders>
            <w:gridSpan w:val="2"/>
          </w:tcPr>
          <w:p>
            <w:pPr>
              <w:ind w:left="520"/>
              <w:spacing w:after="0"/>
              <w:rPr>
                <w:sz w:val="20"/>
                <w:szCs w:val="20"/>
                <w:color w:val="auto"/>
              </w:rPr>
            </w:pPr>
            <w:r>
              <w:rPr>
                <w:rFonts w:ascii="Arial" w:cs="Arial" w:eastAsia="Arial" w:hAnsi="Arial"/>
                <w:sz w:val="20"/>
                <w:szCs w:val="20"/>
                <w:b w:val="1"/>
                <w:bCs w:val="1"/>
                <w:color w:val="auto"/>
              </w:rPr>
              <w:t>December 31, 2018</w:t>
            </w:r>
          </w:p>
        </w:tc>
      </w:tr>
      <w:tr>
        <w:trPr>
          <w:trHeight w:val="140"/>
        </w:trPr>
        <w:tc>
          <w:tcPr>
            <w:tcW w:w="5160" w:type="dxa"/>
            <w:vAlign w:val="bottom"/>
          </w:tcPr>
          <w:p>
            <w:pPr>
              <w:spacing w:after="0"/>
              <w:rPr>
                <w:sz w:val="12"/>
                <w:szCs w:val="12"/>
                <w:color w:val="auto"/>
              </w:rPr>
            </w:pPr>
          </w:p>
        </w:tc>
        <w:tc>
          <w:tcPr>
            <w:tcW w:w="16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Quoted</w:t>
            </w:r>
          </w:p>
        </w:tc>
        <w:tc>
          <w:tcPr>
            <w:tcW w:w="17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Significant</w:t>
            </w:r>
          </w:p>
        </w:tc>
        <w:tc>
          <w:tcPr>
            <w:tcW w:w="14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Quoted</w:t>
            </w:r>
          </w:p>
        </w:tc>
        <w:tc>
          <w:tcPr>
            <w:tcW w:w="14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Significant</w:t>
            </w:r>
          </w:p>
        </w:tc>
      </w:tr>
      <w:tr>
        <w:trPr>
          <w:trHeight w:val="162"/>
        </w:trPr>
        <w:tc>
          <w:tcPr>
            <w:tcW w:w="5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prices in</w:t>
            </w:r>
          </w:p>
        </w:tc>
        <w:tc>
          <w:tcPr>
            <w:tcW w:w="1780" w:type="dxa"/>
            <w:vAlign w:val="bottom"/>
          </w:tcPr>
          <w:p>
            <w:pPr>
              <w:jc w:val="center"/>
              <w:ind w:right="21"/>
              <w:spacing w:after="0"/>
              <w:rPr>
                <w:sz w:val="20"/>
                <w:szCs w:val="20"/>
                <w:color w:val="auto"/>
              </w:rPr>
            </w:pPr>
            <w:r>
              <w:rPr>
                <w:rFonts w:ascii="Arial" w:cs="Arial" w:eastAsia="Arial" w:hAnsi="Arial"/>
                <w:sz w:val="14"/>
                <w:szCs w:val="14"/>
                <w:b w:val="1"/>
                <w:bCs w:val="1"/>
                <w:color w:val="auto"/>
              </w:rPr>
              <w:t>other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prices in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other</w:t>
            </w:r>
          </w:p>
        </w:tc>
      </w:tr>
      <w:tr>
        <w:trPr>
          <w:trHeight w:val="162"/>
        </w:trPr>
        <w:tc>
          <w:tcPr>
            <w:tcW w:w="5160" w:type="dxa"/>
            <w:vAlign w:val="bottom"/>
          </w:tcPr>
          <w:p>
            <w:pPr>
              <w:spacing w:after="0"/>
              <w:rPr>
                <w:sz w:val="14"/>
                <w:szCs w:val="14"/>
                <w:color w:val="auto"/>
              </w:rPr>
            </w:pPr>
          </w:p>
        </w:tc>
        <w:tc>
          <w:tcPr>
            <w:tcW w:w="1660" w:type="dxa"/>
            <w:vAlign w:val="bottom"/>
          </w:tcPr>
          <w:p>
            <w:pPr>
              <w:jc w:val="center"/>
              <w:ind w:right="19"/>
              <w:spacing w:after="0"/>
              <w:rPr>
                <w:sz w:val="20"/>
                <w:szCs w:val="20"/>
                <w:color w:val="auto"/>
              </w:rPr>
            </w:pPr>
            <w:r>
              <w:rPr>
                <w:rFonts w:ascii="Arial" w:cs="Arial" w:eastAsia="Arial" w:hAnsi="Arial"/>
                <w:sz w:val="14"/>
                <w:szCs w:val="14"/>
                <w:b w:val="1"/>
                <w:bCs w:val="1"/>
                <w:color w:val="auto"/>
              </w:rPr>
              <w:t>active</w:t>
            </w:r>
          </w:p>
        </w:tc>
        <w:tc>
          <w:tcPr>
            <w:tcW w:w="1780" w:type="dxa"/>
            <w:vAlign w:val="bottom"/>
          </w:tcPr>
          <w:p>
            <w:pPr>
              <w:jc w:val="center"/>
              <w:ind w:right="21"/>
              <w:spacing w:after="0"/>
              <w:rPr>
                <w:sz w:val="20"/>
                <w:szCs w:val="20"/>
                <w:color w:val="auto"/>
              </w:rPr>
            </w:pPr>
            <w:r>
              <w:rPr>
                <w:rFonts w:ascii="Arial" w:cs="Arial" w:eastAsia="Arial" w:hAnsi="Arial"/>
                <w:sz w:val="14"/>
                <w:szCs w:val="14"/>
                <w:b w:val="1"/>
                <w:bCs w:val="1"/>
                <w:color w:val="auto"/>
              </w:rPr>
              <w:t>observable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active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observable</w:t>
            </w:r>
          </w:p>
        </w:tc>
      </w:tr>
      <w:tr>
        <w:trPr>
          <w:trHeight w:val="202"/>
        </w:trPr>
        <w:tc>
          <w:tcPr>
            <w:tcW w:w="5160" w:type="dxa"/>
            <w:vAlign w:val="bottom"/>
          </w:tcPr>
          <w:p>
            <w:pPr>
              <w:spacing w:after="0"/>
              <w:rPr>
                <w:sz w:val="17"/>
                <w:szCs w:val="17"/>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markets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rPr>
              <w:t>inputs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markets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9"/>
              </w:rPr>
              <w:t>inputs</w:t>
            </w:r>
          </w:p>
        </w:tc>
      </w:tr>
      <w:tr>
        <w:trPr>
          <w:trHeight w:val="407"/>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1)</w:t>
            </w:r>
          </w:p>
        </w:tc>
        <w:tc>
          <w:tcPr>
            <w:tcW w:w="17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(Level 2)</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1)</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(Level 2)</w:t>
            </w:r>
          </w:p>
        </w:tc>
      </w:tr>
      <w:tr>
        <w:trPr>
          <w:trHeight w:val="189"/>
        </w:trPr>
        <w:tc>
          <w:tcPr>
            <w:tcW w:w="5160" w:type="dxa"/>
            <w:vAlign w:val="bottom"/>
          </w:tcPr>
          <w:p>
            <w:pPr>
              <w:spacing w:after="0" w:line="189" w:lineRule="exact"/>
              <w:rPr>
                <w:sz w:val="20"/>
                <w:szCs w:val="20"/>
                <w:color w:val="auto"/>
              </w:rPr>
            </w:pPr>
            <w:r>
              <w:rPr>
                <w:rFonts w:ascii="Arial" w:cs="Arial" w:eastAsia="Arial" w:hAnsi="Arial"/>
                <w:sz w:val="18"/>
                <w:szCs w:val="18"/>
                <w:b w:val="1"/>
                <w:bCs w:val="1"/>
                <w:color w:val="auto"/>
              </w:rPr>
              <w:t>Fair Value</w:t>
            </w:r>
          </w:p>
        </w:tc>
        <w:tc>
          <w:tcPr>
            <w:tcW w:w="16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14"/>
        </w:trPr>
        <w:tc>
          <w:tcPr>
            <w:tcW w:w="5160" w:type="dxa"/>
            <w:vAlign w:val="bottom"/>
          </w:tcPr>
          <w:p>
            <w:pPr>
              <w:spacing w:after="0"/>
              <w:rPr>
                <w:sz w:val="20"/>
                <w:szCs w:val="20"/>
                <w:color w:val="auto"/>
              </w:rPr>
            </w:pPr>
            <w:r>
              <w:rPr>
                <w:rFonts w:ascii="Arial" w:cs="Arial" w:eastAsia="Arial" w:hAnsi="Arial"/>
                <w:sz w:val="18"/>
                <w:szCs w:val="18"/>
                <w:i w:val="1"/>
                <w:iCs w:val="1"/>
                <w:color w:val="auto"/>
              </w:rPr>
              <w:t>Assets:</w:t>
            </w: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8"/>
        </w:trPr>
        <w:tc>
          <w:tcPr>
            <w:tcW w:w="5160" w:type="dxa"/>
            <w:vAlign w:val="bottom"/>
          </w:tcPr>
          <w:p>
            <w:pPr>
              <w:ind w:left="180"/>
              <w:spacing w:after="0"/>
              <w:rPr>
                <w:sz w:val="20"/>
                <w:szCs w:val="20"/>
                <w:color w:val="auto"/>
              </w:rPr>
            </w:pPr>
            <w:r>
              <w:rPr>
                <w:rFonts w:ascii="Arial" w:cs="Arial" w:eastAsia="Arial" w:hAnsi="Arial"/>
                <w:sz w:val="18"/>
                <w:szCs w:val="18"/>
                <w:color w:val="auto"/>
              </w:rPr>
              <w:t>Cash equivalents</w:t>
            </w:r>
          </w:p>
        </w:tc>
        <w:tc>
          <w:tcPr>
            <w:tcW w:w="1660" w:type="dxa"/>
            <w:vAlign w:val="bottom"/>
          </w:tcPr>
          <w:p>
            <w:pPr>
              <w:jc w:val="right"/>
              <w:ind w:right="339"/>
              <w:spacing w:after="0"/>
              <w:rPr>
                <w:sz w:val="20"/>
                <w:szCs w:val="20"/>
                <w:color w:val="auto"/>
              </w:rPr>
            </w:pPr>
            <w:r>
              <w:rPr>
                <w:rFonts w:ascii="Arial" w:cs="Arial" w:eastAsia="Arial" w:hAnsi="Arial"/>
                <w:sz w:val="18"/>
                <w:szCs w:val="18"/>
                <w:color w:val="auto"/>
              </w:rPr>
              <w:t>$13,897</w:t>
            </w:r>
          </w:p>
        </w:tc>
        <w:tc>
          <w:tcPr>
            <w:tcW w:w="1780" w:type="dxa"/>
            <w:vAlign w:val="bottom"/>
          </w:tcPr>
          <w:p>
            <w:pPr>
              <w:ind w:left="10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9"/>
              <w:spacing w:after="0"/>
              <w:rPr>
                <w:sz w:val="20"/>
                <w:szCs w:val="20"/>
                <w:color w:val="auto"/>
              </w:rPr>
            </w:pPr>
            <w:r>
              <w:rPr>
                <w:rFonts w:ascii="Arial" w:cs="Arial" w:eastAsia="Arial" w:hAnsi="Arial"/>
                <w:sz w:val="18"/>
                <w:szCs w:val="18"/>
                <w:color w:val="auto"/>
              </w:rPr>
              <w:t>$14,234</w:t>
            </w:r>
          </w:p>
        </w:tc>
        <w:tc>
          <w:tcPr>
            <w:tcW w:w="14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14"/>
        </w:trPr>
        <w:tc>
          <w:tcPr>
            <w:tcW w:w="5160" w:type="dxa"/>
            <w:vAlign w:val="bottom"/>
          </w:tcPr>
          <w:p>
            <w:pPr>
              <w:ind w:left="180"/>
              <w:spacing w:after="0"/>
              <w:rPr>
                <w:sz w:val="20"/>
                <w:szCs w:val="20"/>
                <w:color w:val="auto"/>
              </w:rPr>
            </w:pPr>
            <w:r>
              <w:rPr>
                <w:rFonts w:ascii="Arial" w:cs="Arial" w:eastAsia="Arial" w:hAnsi="Arial"/>
                <w:sz w:val="18"/>
                <w:szCs w:val="18"/>
                <w:i w:val="1"/>
                <w:iCs w:val="1"/>
                <w:color w:val="auto"/>
              </w:rPr>
              <w:t>Other Assets:</w:t>
            </w:r>
          </w:p>
        </w:tc>
        <w:tc>
          <w:tcPr>
            <w:tcW w:w="16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Arial" w:cs="Arial" w:eastAsia="Arial" w:hAnsi="Arial"/>
                <w:sz w:val="18"/>
                <w:szCs w:val="18"/>
                <w:color w:val="auto"/>
              </w:rPr>
              <w:t>Common stock of unaffiliated foreign public company (a)</w:t>
            </w:r>
          </w:p>
        </w:tc>
        <w:tc>
          <w:tcPr>
            <w:tcW w:w="1660" w:type="dxa"/>
            <w:vAlign w:val="bottom"/>
          </w:tcPr>
          <w:p>
            <w:pPr>
              <w:jc w:val="right"/>
              <w:ind w:right="339"/>
              <w:spacing w:after="0"/>
              <w:rPr>
                <w:sz w:val="20"/>
                <w:szCs w:val="20"/>
                <w:color w:val="auto"/>
              </w:rPr>
            </w:pPr>
            <w:r>
              <w:rPr>
                <w:rFonts w:ascii="Arial" w:cs="Arial" w:eastAsia="Arial" w:hAnsi="Arial"/>
                <w:sz w:val="18"/>
                <w:szCs w:val="18"/>
                <w:color w:val="auto"/>
              </w:rPr>
              <w:t>743</w:t>
            </w:r>
          </w:p>
        </w:tc>
        <w:tc>
          <w:tcPr>
            <w:tcW w:w="1780" w:type="dxa"/>
            <w:vAlign w:val="bottom"/>
          </w:tcPr>
          <w:p>
            <w:pPr>
              <w:ind w:left="10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99"/>
              <w:spacing w:after="0"/>
              <w:rPr>
                <w:sz w:val="20"/>
                <w:szCs w:val="20"/>
                <w:color w:val="auto"/>
              </w:rPr>
            </w:pPr>
            <w:r>
              <w:rPr>
                <w:rFonts w:ascii="Arial" w:cs="Arial" w:eastAsia="Arial" w:hAnsi="Arial"/>
                <w:sz w:val="18"/>
                <w:szCs w:val="18"/>
                <w:color w:val="auto"/>
              </w:rPr>
              <w:t>731</w:t>
            </w:r>
          </w:p>
        </w:tc>
        <w:tc>
          <w:tcPr>
            <w:tcW w:w="1400" w:type="dxa"/>
            <w:vAlign w:val="bottom"/>
          </w:tcPr>
          <w:p>
            <w:pPr>
              <w:ind w:left="1020"/>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1660" w:type="dxa"/>
            <w:vAlign w:val="bottom"/>
          </w:tcPr>
          <w:p>
            <w:pPr>
              <w:jc w:val="right"/>
              <w:ind w:right="439"/>
              <w:spacing w:after="0"/>
              <w:rPr>
                <w:sz w:val="20"/>
                <w:szCs w:val="20"/>
                <w:color w:val="auto"/>
              </w:rPr>
            </w:pPr>
            <w:r>
              <w:rPr>
                <w:rFonts w:ascii="Arial" w:cs="Arial" w:eastAsia="Arial" w:hAnsi="Arial"/>
                <w:sz w:val="18"/>
                <w:szCs w:val="18"/>
                <w:color w:val="auto"/>
              </w:rPr>
              <w:t>-</w:t>
            </w:r>
          </w:p>
        </w:tc>
        <w:tc>
          <w:tcPr>
            <w:tcW w:w="1780" w:type="dxa"/>
            <w:vAlign w:val="bottom"/>
          </w:tcPr>
          <w:p>
            <w:pPr>
              <w:ind w:left="900"/>
              <w:spacing w:after="0"/>
              <w:rPr>
                <w:sz w:val="20"/>
                <w:szCs w:val="20"/>
                <w:color w:val="auto"/>
              </w:rPr>
            </w:pPr>
            <w:r>
              <w:rPr>
                <w:rFonts w:ascii="Arial" w:cs="Arial" w:eastAsia="Arial" w:hAnsi="Arial"/>
                <w:sz w:val="18"/>
                <w:szCs w:val="18"/>
                <w:color w:val="auto"/>
              </w:rPr>
              <w:t>822</w:t>
            </w:r>
            <w:r>
              <w:rPr>
                <w:rFonts w:ascii="Arial" w:cs="Arial" w:eastAsia="Arial" w:hAnsi="Arial"/>
                <w:sz w:val="15"/>
                <w:szCs w:val="15"/>
                <w:color w:val="auto"/>
              </w:rPr>
              <w:t>(b)</w:t>
            </w:r>
          </w:p>
        </w:tc>
        <w:tc>
          <w:tcPr>
            <w:tcW w:w="142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1400" w:type="dxa"/>
            <w:vAlign w:val="bottom"/>
          </w:tcPr>
          <w:p>
            <w:pPr>
              <w:ind w:left="740"/>
              <w:spacing w:after="0"/>
              <w:rPr>
                <w:sz w:val="20"/>
                <w:szCs w:val="20"/>
                <w:color w:val="auto"/>
              </w:rPr>
            </w:pPr>
            <w:r>
              <w:rPr>
                <w:rFonts w:ascii="Arial" w:cs="Arial" w:eastAsia="Arial" w:hAnsi="Arial"/>
                <w:sz w:val="18"/>
                <w:szCs w:val="18"/>
                <w:color w:val="auto"/>
              </w:rPr>
              <w:t>4,548</w:t>
            </w:r>
            <w:r>
              <w:rPr>
                <w:rFonts w:ascii="Arial" w:cs="Arial" w:eastAsia="Arial" w:hAnsi="Arial"/>
                <w:sz w:val="15"/>
                <w:szCs w:val="15"/>
                <w:color w:val="auto"/>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100" w:hanging="322"/>
        <w:spacing w:after="0"/>
        <w:tabs>
          <w:tab w:leader="none" w:pos="1100" w:val="left"/>
        </w:tabs>
        <w:numPr>
          <w:ilvl w:val="0"/>
          <w:numId w:val="7"/>
        </w:numPr>
        <w:rPr>
          <w:rFonts w:ascii="Arial" w:cs="Arial" w:eastAsia="Arial" w:hAnsi="Arial"/>
          <w:sz w:val="14"/>
          <w:szCs w:val="14"/>
          <w:color w:val="auto"/>
        </w:rPr>
      </w:pPr>
      <w:r>
        <w:rPr>
          <w:rFonts w:ascii="Arial" w:cs="Arial" w:eastAsia="Arial" w:hAnsi="Arial"/>
          <w:sz w:val="14"/>
          <w:szCs w:val="14"/>
          <w:color w:val="auto"/>
        </w:rPr>
        <w:t>Original cost basis $0.5 million.</w:t>
      </w:r>
    </w:p>
    <w:p>
      <w:pPr>
        <w:spacing w:after="0" w:line="190" w:lineRule="exact"/>
        <w:rPr>
          <w:rFonts w:ascii="Arial" w:cs="Arial" w:eastAsia="Arial" w:hAnsi="Arial"/>
          <w:sz w:val="14"/>
          <w:szCs w:val="14"/>
          <w:color w:val="auto"/>
        </w:rPr>
      </w:pPr>
    </w:p>
    <w:p>
      <w:pPr>
        <w:ind w:left="1100" w:hanging="322"/>
        <w:spacing w:after="0"/>
        <w:tabs>
          <w:tab w:leader="none" w:pos="11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$26.7 million receivable floating leg and $25.9 million liability fixed leg.</w:t>
      </w:r>
    </w:p>
    <w:p>
      <w:pPr>
        <w:spacing w:after="0" w:line="190" w:lineRule="exact"/>
        <w:rPr>
          <w:rFonts w:ascii="Arial" w:cs="Arial" w:eastAsia="Arial" w:hAnsi="Arial"/>
          <w:sz w:val="14"/>
          <w:szCs w:val="14"/>
          <w:color w:val="auto"/>
        </w:rPr>
      </w:pPr>
    </w:p>
    <w:p>
      <w:pPr>
        <w:ind w:left="1100" w:hanging="322"/>
        <w:spacing w:after="0"/>
        <w:tabs>
          <w:tab w:leader="none" w:pos="110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of $32.0 million receivable floating leg and $27.5 million liability fixed leg.</w:t>
      </w:r>
    </w:p>
    <w:p>
      <w:pPr>
        <w:spacing w:after="0" w:line="28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Cash equivalents include short-term securities that are considered to be highly liquid and easily tradable. These securities are valued using inputs observable in active markets for identical securities.</w:t>
      </w:r>
    </w:p>
    <w:p>
      <w:pPr>
        <w:spacing w:after="0" w:line="11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common stock of the unaffiliated foreign public company is traded in an active market exchange. The shares are measured at fair value using closing stock prices and are recorded in the Consolidated Balance Sheets as Other assets. Changes in the fair value of the investment are reported in the Consolidated Statements of Income.</w:t>
      </w:r>
    </w:p>
    <w:p>
      <w:pPr>
        <w:spacing w:after="0" w:line="124" w:lineRule="exact"/>
        <w:rPr>
          <w:sz w:val="20"/>
          <w:szCs w:val="20"/>
          <w:color w:val="auto"/>
        </w:rPr>
      </w:pPr>
    </w:p>
    <w:p>
      <w:pPr>
        <w:ind w:right="40" w:firstLine="648"/>
        <w:spacing w:after="0" w:line="248" w:lineRule="auto"/>
        <w:rPr>
          <w:sz w:val="20"/>
          <w:szCs w:val="20"/>
          <w:color w:val="auto"/>
        </w:rPr>
      </w:pPr>
      <w:r>
        <w:rPr>
          <w:rFonts w:ascii="Arial" w:cs="Arial" w:eastAsia="Arial" w:hAnsi="Arial"/>
          <w:sz w:val="18"/>
          <w:szCs w:val="18"/>
          <w:color w:val="auto"/>
        </w:rPr>
        <w:t>We operate our business in many regions of the world, and currency rate movements can have a significant effect on operating results. Foreign currency instruments are entered into periodically, and consist of foreign currency option contracts and forward contracts that are valued using quoted prices in active markets obtained from independent pricing sources. These instruments are measured using market foreign exchange prices and are recorded in the Consolidated Balance</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28" w:name="page29"/>
    <w:bookmarkEnd w:id="28"/>
    <w:p>
      <w:pPr>
        <w:ind w:right="500"/>
        <w:spacing w:after="0" w:line="276" w:lineRule="auto"/>
        <w:rPr>
          <w:sz w:val="20"/>
          <w:szCs w:val="20"/>
          <w:color w:val="auto"/>
        </w:rPr>
      </w:pPr>
      <w:r>
        <w:rPr>
          <w:rFonts w:ascii="Arial" w:cs="Arial" w:eastAsia="Arial" w:hAnsi="Arial"/>
          <w:sz w:val="18"/>
          <w:szCs w:val="18"/>
          <w:color w:val="auto"/>
        </w:rPr>
        <w:t>Sheets as Other current assets and Accounts payable, as applicable. Changes in fair value of these instruments are recorded as gains or losses within Other (income)/expense, net.</w:t>
      </w:r>
    </w:p>
    <w:p>
      <w:pPr>
        <w:spacing w:after="0" w:line="105" w:lineRule="exact"/>
        <w:rPr>
          <w:sz w:val="20"/>
          <w:szCs w:val="20"/>
          <w:color w:val="auto"/>
        </w:rPr>
      </w:pPr>
    </w:p>
    <w:p>
      <w:pPr>
        <w:ind w:right="340" w:firstLine="648"/>
        <w:spacing w:after="0" w:line="245" w:lineRule="auto"/>
        <w:rPr>
          <w:sz w:val="20"/>
          <w:szCs w:val="20"/>
          <w:color w:val="auto"/>
        </w:rPr>
      </w:pPr>
      <w:r>
        <w:rPr>
          <w:rFonts w:ascii="Arial" w:cs="Arial" w:eastAsia="Arial" w:hAnsi="Arial"/>
          <w:sz w:val="18"/>
          <w:szCs w:val="18"/>
          <w:color w:val="auto"/>
        </w:rPr>
        <w:t>When exercised, the foreign currency instruments are net settled with the same financial institution that bought or sold them. For all positions, whether options or forward contracts, there is risk from the possible inability of the financial institution to meet the terms of the contracts and the risk of unfavorable changes in interest and currency rates, which may reduce the value of the instruments. We seek to mitigate risk by evaluating the creditworthiness of counterparties and by monitoring the currency exchange and interest rate markets while reviewing the hedging risks and contracts to ensure compliance with our internal guidelines and policies.</w:t>
      </w:r>
    </w:p>
    <w:p>
      <w:pPr>
        <w:spacing w:after="0" w:line="145"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Changes in exchange rates can result in revaluation gains and losses that are recorded in Selling, general and administrative expenses or Other (income)/expense, net. Revaluation gains and losses occur when our business units have cash, intercompany (recorded in Other (income)/expense, net) or third-party trade (recorded in selling, general and administrative expenses) receivable or payable balances in a currency other than their local reporting (or functional) currency.</w:t>
      </w:r>
    </w:p>
    <w:p>
      <w:pPr>
        <w:spacing w:after="0" w:line="130" w:lineRule="exact"/>
        <w:rPr>
          <w:sz w:val="20"/>
          <w:szCs w:val="20"/>
          <w:color w:val="auto"/>
        </w:rPr>
      </w:pPr>
    </w:p>
    <w:p>
      <w:pPr>
        <w:ind w:right="200" w:firstLine="648"/>
        <w:spacing w:after="0" w:line="248" w:lineRule="auto"/>
        <w:rPr>
          <w:sz w:val="20"/>
          <w:szCs w:val="20"/>
          <w:color w:val="auto"/>
        </w:rPr>
      </w:pPr>
      <w:r>
        <w:rPr>
          <w:rFonts w:ascii="Arial" w:cs="Arial" w:eastAsia="Arial" w:hAnsi="Arial"/>
          <w:sz w:val="18"/>
          <w:szCs w:val="18"/>
          <w:color w:val="auto"/>
        </w:rPr>
        <w:t>Operating results can also be affected by the translation of sales and costs, for each non-U.S. subsidiary, from the local functional currency to the U.S. dollar. The translation effect on the Consolidated Statements of Income is dependent on our net income or expense position in each non-U.S. currency in which we do business. A net income position exists when sales realized in a particular currency exceed expenses paid in that currency; a net expense position exists if the opposite is true.</w:t>
      </w:r>
    </w:p>
    <w:p>
      <w:pPr>
        <w:spacing w:after="0" w:line="130" w:lineRule="exact"/>
        <w:rPr>
          <w:sz w:val="20"/>
          <w:szCs w:val="20"/>
          <w:color w:val="auto"/>
        </w:rPr>
      </w:pPr>
    </w:p>
    <w:p>
      <w:pPr>
        <w:ind w:right="100" w:firstLine="648"/>
        <w:spacing w:after="0" w:line="239" w:lineRule="auto"/>
        <w:rPr>
          <w:sz w:val="20"/>
          <w:szCs w:val="20"/>
          <w:color w:val="auto"/>
        </w:rPr>
      </w:pPr>
      <w:r>
        <w:rPr>
          <w:rFonts w:ascii="Arial" w:cs="Arial" w:eastAsia="Arial" w:hAnsi="Arial"/>
          <w:sz w:val="18"/>
          <w:szCs w:val="18"/>
          <w:color w:val="auto"/>
        </w:rPr>
        <w:t>The interest rate swaps are accounted for as hedges of future cash flows. The fair value of our interest rate swaps are derived from a discounted cash flow analysis based on the terms of the contract and the interest rate curve, and is included in Other assets and/or Other noncurrent liabilities in the Consolidated Balance Sheets. Unrealized gains and losses on the swaps flow through the caption Derivative valuation adjustment in the Shareholders’ equity section of the Consolidated Balance Sheets. As of March 31, 2019, these interest rate swaps were determined to be highly effective hedges of interest rate cash flow risk. Amounts accumulated in Other comprehensive income are reclassified as Interest expense, net when the related interest payments (that is, the hedged forecasted transactions), and amortization related to the swap buyouts, affect earnings. Interest expense related to payments under the active swap agreements totaled ($0.3) million for the three month period ended March 31, 2019, and $0.5 million for the three month period ended March 31, 2018. Additionally, non-cash interest income related to the amortization of swap buyouts totaled $0.1 million for the three month period ended March 31, 2019 and $0.2 million for the three month period ended March 31, 2018.</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Gains/(losses) related to changes in fair value of derivative instruments that were recognized in Other (income)/expense, net in the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were as follows:</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40" w:type="dxa"/>
            <w:vAlign w:val="bottom"/>
            <w:tcBorders>
              <w:top w:val="single" w:sz="8" w:color="auto"/>
            </w:tcBorders>
          </w:tcPr>
          <w:p>
            <w:pPr>
              <w:spacing w:after="0"/>
              <w:rPr>
                <w:sz w:val="16"/>
                <w:szCs w:val="16"/>
                <w:color w:val="auto"/>
              </w:rPr>
            </w:pPr>
          </w:p>
        </w:tc>
        <w:tc>
          <w:tcPr>
            <w:tcW w:w="5500" w:type="dxa"/>
            <w:vAlign w:val="bottom"/>
            <w:tcBorders>
              <w:top w:val="single" w:sz="8" w:color="auto"/>
            </w:tcBorders>
          </w:tcPr>
          <w:p>
            <w:pPr>
              <w:jc w:val="center"/>
              <w:ind w:left="3870"/>
              <w:spacing w:after="0" w:line="191" w:lineRule="exact"/>
              <w:rPr>
                <w:sz w:val="20"/>
                <w:szCs w:val="20"/>
                <w:color w:val="auto"/>
              </w:rPr>
            </w:pPr>
            <w:r>
              <w:rPr>
                <w:rFonts w:ascii="Arial" w:cs="Arial" w:eastAsia="Arial" w:hAnsi="Arial"/>
                <w:sz w:val="18"/>
                <w:szCs w:val="18"/>
                <w:b w:val="1"/>
                <w:bCs w:val="1"/>
                <w:color w:val="auto"/>
                <w:w w:val="99"/>
              </w:rPr>
              <w:t>Three months</w:t>
            </w: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40" w:type="dxa"/>
            <w:vAlign w:val="bottom"/>
          </w:tcPr>
          <w:p>
            <w:pPr>
              <w:spacing w:after="0"/>
              <w:rPr>
                <w:sz w:val="17"/>
                <w:szCs w:val="17"/>
                <w:color w:val="auto"/>
              </w:rPr>
            </w:pPr>
          </w:p>
        </w:tc>
        <w:tc>
          <w:tcPr>
            <w:tcW w:w="5500" w:type="dxa"/>
            <w:vAlign w:val="bottom"/>
          </w:tcPr>
          <w:p>
            <w:pPr>
              <w:jc w:val="center"/>
              <w:ind w:left="3910"/>
              <w:spacing w:after="0" w:line="202" w:lineRule="exact"/>
              <w:rPr>
                <w:sz w:val="20"/>
                <w:szCs w:val="20"/>
                <w:color w:val="auto"/>
              </w:rPr>
            </w:pPr>
            <w:r>
              <w:rPr>
                <w:rFonts w:ascii="Arial" w:cs="Arial" w:eastAsia="Arial" w:hAnsi="Arial"/>
                <w:sz w:val="18"/>
                <w:szCs w:val="18"/>
                <w:b w:val="1"/>
                <w:bCs w:val="1"/>
                <w:color w:val="auto"/>
              </w:rPr>
              <w:t>ended March 31,</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5500" w:type="dxa"/>
            <w:vAlign w:val="bottom"/>
            <w:tcBorders>
              <w:bottom w:val="single" w:sz="8" w:color="auto"/>
            </w:tcBorders>
          </w:tcPr>
          <w:p>
            <w:pPr>
              <w:jc w:val="right"/>
              <w:ind w:right="1310"/>
              <w:spacing w:after="0"/>
              <w:rPr>
                <w:sz w:val="20"/>
                <w:szCs w:val="20"/>
                <w:color w:val="auto"/>
              </w:rPr>
            </w:pPr>
            <w:r>
              <w:rPr>
                <w:rFonts w:ascii="Arial" w:cs="Arial" w:eastAsia="Arial" w:hAnsi="Arial"/>
                <w:sz w:val="18"/>
                <w:szCs w:val="18"/>
                <w:b w:val="1"/>
                <w:bCs w:val="1"/>
                <w:color w:val="auto"/>
              </w:rPr>
              <w:t>2019</w:t>
            </w:r>
          </w:p>
        </w:tc>
        <w:tc>
          <w:tcPr>
            <w:tcW w:w="10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2018</w:t>
            </w:r>
          </w:p>
        </w:tc>
        <w:tc>
          <w:tcPr>
            <w:tcW w:w="0" w:type="dxa"/>
            <w:vAlign w:val="bottom"/>
          </w:tcPr>
          <w:p>
            <w:pPr>
              <w:spacing w:after="0"/>
              <w:rPr>
                <w:sz w:val="1"/>
                <w:szCs w:val="1"/>
                <w:color w:val="auto"/>
              </w:rPr>
            </w:pPr>
          </w:p>
        </w:tc>
      </w:tr>
      <w:tr>
        <w:trPr>
          <w:trHeight w:val="376"/>
        </w:trPr>
        <w:tc>
          <w:tcPr>
            <w:tcW w:w="4840" w:type="dxa"/>
            <w:vAlign w:val="bottom"/>
          </w:tcPr>
          <w:p>
            <w:pPr>
              <w:spacing w:after="0"/>
              <w:rPr>
                <w:sz w:val="20"/>
                <w:szCs w:val="20"/>
                <w:color w:val="auto"/>
              </w:rPr>
            </w:pPr>
            <w:r>
              <w:rPr>
                <w:rFonts w:ascii="Arial" w:cs="Arial" w:eastAsia="Arial" w:hAnsi="Arial"/>
                <w:sz w:val="18"/>
                <w:szCs w:val="18"/>
                <w:color w:val="auto"/>
              </w:rPr>
              <w:t>Derivatives not designated as hedging instruments</w:t>
            </w:r>
          </w:p>
        </w:tc>
        <w:tc>
          <w:tcPr>
            <w:tcW w:w="5500" w:type="dxa"/>
            <w:vAlign w:val="bottom"/>
            <w:vMerge w:val="restart"/>
          </w:tcPr>
          <w:p>
            <w:pPr>
              <w:jc w:val="right"/>
              <w:ind w:right="630"/>
              <w:spacing w:after="0"/>
              <w:rPr>
                <w:sz w:val="20"/>
                <w:szCs w:val="20"/>
                <w:color w:val="auto"/>
              </w:rPr>
            </w:pPr>
            <w:r>
              <w:rPr>
                <w:rFonts w:ascii="Arial" w:cs="Arial" w:eastAsia="Arial" w:hAnsi="Arial"/>
                <w:sz w:val="18"/>
                <w:szCs w:val="18"/>
                <w:b w:val="1"/>
                <w:bCs w:val="1"/>
                <w:color w:val="auto"/>
              </w:rPr>
              <w:t>$ -</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options (losses)</w:t>
            </w:r>
          </w:p>
        </w:tc>
        <w:tc>
          <w:tcPr>
            <w:tcW w:w="550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18"/>
        </w:trPr>
        <w:tc>
          <w:tcPr>
            <w:tcW w:w="4840" w:type="dxa"/>
            <w:vAlign w:val="bottom"/>
          </w:tcPr>
          <w:p>
            <w:pPr>
              <w:spacing w:after="0"/>
              <w:rPr>
                <w:sz w:val="24"/>
                <w:szCs w:val="24"/>
                <w:color w:val="auto"/>
              </w:rPr>
            </w:pPr>
          </w:p>
        </w:tc>
        <w:tc>
          <w:tcPr>
            <w:tcW w:w="5500" w:type="dxa"/>
            <w:vAlign w:val="bottom"/>
          </w:tcPr>
          <w:p>
            <w:pPr>
              <w:jc w:val="right"/>
              <w:ind w:right="445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840" w:type="dxa"/>
            <w:vAlign w:val="bottom"/>
            <w:tcBorders>
              <w:bottom w:val="single" w:sz="8" w:color="auto"/>
            </w:tcBorders>
          </w:tcPr>
          <w:p>
            <w:pPr>
              <w:spacing w:after="0"/>
              <w:rPr>
                <w:sz w:val="12"/>
                <w:szCs w:val="12"/>
                <w:color w:val="auto"/>
              </w:rPr>
            </w:pPr>
          </w:p>
        </w:tc>
        <w:tc>
          <w:tcPr>
            <w:tcW w:w="55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17. Contingencies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Asbestos Litigation</w:t>
      </w:r>
    </w:p>
    <w:p>
      <w:pPr>
        <w:spacing w:after="0" w:line="187"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Albany International Corp. is a defendant in suits brought in various courts in the United States by plaintiffs who allege that they have suffered personal injury as a result of exposure to asbestos-containing paper machine clothing synthetic dryer fabrics marketed during the period from 1967 to 1976 and used in certain paper mills.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were defending 3,688 claims as of March 31, 2019.</w:t>
      </w:r>
    </w:p>
    <w:p>
      <w:pPr>
        <w:spacing w:after="0" w:line="171" w:lineRule="exact"/>
        <w:rPr>
          <w:sz w:val="20"/>
          <w:szCs w:val="20"/>
          <w:color w:val="auto"/>
        </w:rPr>
      </w:pPr>
    </w:p>
    <w:p>
      <w:pPr>
        <w:ind w:right="660" w:firstLine="648"/>
        <w:spacing w:after="0" w:line="276" w:lineRule="auto"/>
        <w:rPr>
          <w:sz w:val="20"/>
          <w:szCs w:val="20"/>
          <w:color w:val="auto"/>
        </w:rPr>
      </w:pPr>
      <w:r>
        <w:rPr>
          <w:rFonts w:ascii="Arial" w:cs="Arial" w:eastAsia="Arial" w:hAnsi="Arial"/>
          <w:sz w:val="18"/>
          <w:szCs w:val="18"/>
          <w:color w:val="auto"/>
        </w:rPr>
        <w:t>The following table sets forth the number of claims filed, the number of claims settled, dismissed or otherwise resolved, and the aggregate settlement amount during the periods presented:</w:t>
      </w:r>
    </w:p>
    <w:p>
      <w:pPr>
        <w:spacing w:after="0" w:line="121" w:lineRule="exact"/>
        <w:rPr>
          <w:sz w:val="20"/>
          <w:szCs w:val="20"/>
          <w:color w:val="auto"/>
        </w:rPr>
      </w:pPr>
    </w:p>
    <w:tbl>
      <w:tblPr>
        <w:tblLayout w:type="fixed"/>
        <w:tblInd w:w="10" w:type="dxa"/>
        <w:tblCellMar>
          <w:top w:w="0" w:type="dxa"/>
          <w:left w:w="0" w:type="dxa"/>
          <w:bottom w:w="0" w:type="dxa"/>
          <w:right w:w="0" w:type="dxa"/>
        </w:tblCellMar>
      </w:tblPr>
      <w:tr>
        <w:trPr>
          <w:trHeight w:val="205"/>
        </w:trPr>
        <w:tc>
          <w:tcPr>
            <w:tcW w:w="2780" w:type="dxa"/>
            <w:vAlign w:val="bottom"/>
            <w:tcBorders>
              <w:top w:val="single" w:sz="8" w:color="auto"/>
              <w:left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8"/>
              </w:rPr>
              <w:t>Claims</w:t>
            </w:r>
          </w:p>
        </w:tc>
        <w:tc>
          <w:tcPr>
            <w:tcW w:w="182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spacing w:after="0"/>
              <w:rPr>
                <w:sz w:val="17"/>
                <w:szCs w:val="17"/>
                <w:color w:val="auto"/>
              </w:rPr>
            </w:pPr>
          </w:p>
        </w:tc>
        <w:tc>
          <w:tcPr>
            <w:tcW w:w="180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9"/>
              </w:rPr>
              <w:t>Amounts Paid</w:t>
            </w:r>
          </w:p>
        </w:tc>
      </w:tr>
      <w:tr>
        <w:trPr>
          <w:trHeight w:val="203"/>
        </w:trPr>
        <w:tc>
          <w:tcPr>
            <w:tcW w:w="2780" w:type="dxa"/>
            <w:vAlign w:val="bottom"/>
            <w:tcBorders>
              <w:left w:val="single" w:sz="8" w:color="auto"/>
              <w:right w:val="single" w:sz="8" w:color="auto"/>
            </w:tcBorders>
          </w:tcPr>
          <w:p>
            <w:pPr>
              <w:spacing w:after="0"/>
              <w:rPr>
                <w:sz w:val="17"/>
                <w:szCs w:val="17"/>
                <w:color w:val="auto"/>
              </w:rPr>
            </w:pPr>
          </w:p>
        </w:tc>
        <w:tc>
          <w:tcPr>
            <w:tcW w:w="1600" w:type="dxa"/>
            <w:vAlign w:val="bottom"/>
            <w:tcBorders>
              <w:right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Opening Number</w:t>
            </w:r>
          </w:p>
        </w:tc>
        <w:tc>
          <w:tcPr>
            <w:tcW w:w="18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rPr>
              <w:t>Dismissed, Settled,</w:t>
            </w:r>
          </w:p>
        </w:tc>
        <w:tc>
          <w:tcPr>
            <w:tcW w:w="1820" w:type="dxa"/>
            <w:vAlign w:val="bottom"/>
            <w:tcBorders>
              <w:right w:val="single" w:sz="8" w:color="auto"/>
            </w:tcBorders>
          </w:tcPr>
          <w:p>
            <w:pPr>
              <w:spacing w:after="0"/>
              <w:rPr>
                <w:sz w:val="17"/>
                <w:szCs w:val="17"/>
                <w:color w:val="auto"/>
              </w:rPr>
            </w:pPr>
          </w:p>
        </w:tc>
        <w:tc>
          <w:tcPr>
            <w:tcW w:w="1600" w:type="dxa"/>
            <w:vAlign w:val="bottom"/>
            <w:tcBorders>
              <w:right w:val="single" w:sz="8" w:color="auto"/>
            </w:tcBorders>
          </w:tcPr>
          <w:p>
            <w:pPr>
              <w:jc w:val="right"/>
              <w:ind w:right="30"/>
              <w:spacing w:after="0" w:line="202" w:lineRule="exact"/>
              <w:rPr>
                <w:sz w:val="20"/>
                <w:szCs w:val="20"/>
                <w:color w:val="auto"/>
              </w:rPr>
            </w:pPr>
            <w:r>
              <w:rPr>
                <w:rFonts w:ascii="Arial" w:cs="Arial" w:eastAsia="Arial" w:hAnsi="Arial"/>
                <w:sz w:val="18"/>
                <w:szCs w:val="18"/>
                <w:b w:val="1"/>
                <w:bCs w:val="1"/>
                <w:color w:val="auto"/>
              </w:rPr>
              <w:t>Closing Number</w:t>
            </w:r>
          </w:p>
        </w:tc>
        <w:tc>
          <w:tcPr>
            <w:tcW w:w="180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b w:val="1"/>
                <w:bCs w:val="1"/>
                <w:color w:val="auto"/>
                <w:w w:val="99"/>
              </w:rPr>
              <w:t>(thousands) to</w:t>
            </w:r>
          </w:p>
        </w:tc>
      </w:tr>
      <w:tr>
        <w:trPr>
          <w:trHeight w:val="234"/>
        </w:trPr>
        <w:tc>
          <w:tcPr>
            <w:tcW w:w="2780" w:type="dxa"/>
            <w:vAlign w:val="bottom"/>
            <w:tcBorders>
              <w:left w:val="single" w:sz="8" w:color="auto"/>
              <w:bottom w:val="single" w:sz="8" w:color="auto"/>
              <w:right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Year ended December 31,</w:t>
            </w:r>
          </w:p>
        </w:tc>
        <w:tc>
          <w:tcPr>
            <w:tcW w:w="160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of Claims</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or Resolved</w:t>
            </w:r>
          </w:p>
        </w:tc>
        <w:tc>
          <w:tcPr>
            <w:tcW w:w="182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New Claims</w:t>
            </w:r>
          </w:p>
        </w:tc>
        <w:tc>
          <w:tcPr>
            <w:tcW w:w="1600" w:type="dxa"/>
            <w:vAlign w:val="bottom"/>
            <w:tcBorders>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of Claims</w:t>
            </w:r>
          </w:p>
        </w:tc>
        <w:tc>
          <w:tcPr>
            <w:tcW w:w="1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Settle or Resolve</w:t>
            </w:r>
          </w:p>
        </w:tc>
      </w:tr>
      <w:tr>
        <w:trPr>
          <w:trHeight w:val="210"/>
        </w:trPr>
        <w:tc>
          <w:tcPr>
            <w:tcW w:w="2780" w:type="dxa"/>
            <w:vAlign w:val="bottom"/>
            <w:tcBorders>
              <w:left w:val="single" w:sz="8" w:color="auto"/>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2014</w:t>
            </w:r>
          </w:p>
        </w:tc>
        <w:tc>
          <w:tcPr>
            <w:tcW w:w="16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4,299</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625</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147</w:t>
            </w:r>
          </w:p>
        </w:tc>
        <w:tc>
          <w:tcPr>
            <w:tcW w:w="1600" w:type="dxa"/>
            <w:vAlign w:val="bottom"/>
            <w:tcBorders>
              <w:bottom w:val="single" w:sz="8" w:color="auto"/>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3,821</w:t>
            </w:r>
          </w:p>
        </w:tc>
        <w:tc>
          <w:tcPr>
            <w:tcW w:w="18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$437</w:t>
            </w:r>
          </w:p>
        </w:tc>
      </w:tr>
      <w:tr>
        <w:trPr>
          <w:trHeight w:val="210"/>
        </w:trPr>
        <w:tc>
          <w:tcPr>
            <w:tcW w:w="2780" w:type="dxa"/>
            <w:vAlign w:val="bottom"/>
            <w:tcBorders>
              <w:left w:val="single" w:sz="8" w:color="auto"/>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2015</w:t>
            </w:r>
          </w:p>
        </w:tc>
        <w:tc>
          <w:tcPr>
            <w:tcW w:w="16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3,821</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116</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86</w:t>
            </w:r>
          </w:p>
        </w:tc>
        <w:tc>
          <w:tcPr>
            <w:tcW w:w="1600" w:type="dxa"/>
            <w:vAlign w:val="bottom"/>
            <w:tcBorders>
              <w:bottom w:val="single" w:sz="8" w:color="auto"/>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3,791</w:t>
            </w:r>
          </w:p>
        </w:tc>
        <w:tc>
          <w:tcPr>
            <w:tcW w:w="18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164</w:t>
            </w:r>
          </w:p>
        </w:tc>
      </w:tr>
      <w:tr>
        <w:trPr>
          <w:trHeight w:val="210"/>
        </w:trPr>
        <w:tc>
          <w:tcPr>
            <w:tcW w:w="2780" w:type="dxa"/>
            <w:vAlign w:val="bottom"/>
            <w:tcBorders>
              <w:left w:val="single" w:sz="8" w:color="auto"/>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2016</w:t>
            </w:r>
          </w:p>
        </w:tc>
        <w:tc>
          <w:tcPr>
            <w:tcW w:w="16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3,791</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148</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102</w:t>
            </w:r>
          </w:p>
        </w:tc>
        <w:tc>
          <w:tcPr>
            <w:tcW w:w="1600" w:type="dxa"/>
            <w:vAlign w:val="bottom"/>
            <w:tcBorders>
              <w:bottom w:val="single" w:sz="8" w:color="auto"/>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3,745</w:t>
            </w:r>
          </w:p>
        </w:tc>
        <w:tc>
          <w:tcPr>
            <w:tcW w:w="18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758</w:t>
            </w:r>
          </w:p>
        </w:tc>
      </w:tr>
      <w:tr>
        <w:trPr>
          <w:trHeight w:val="210"/>
        </w:trPr>
        <w:tc>
          <w:tcPr>
            <w:tcW w:w="2780" w:type="dxa"/>
            <w:vAlign w:val="bottom"/>
            <w:tcBorders>
              <w:left w:val="single" w:sz="8" w:color="auto"/>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2017</w:t>
            </w:r>
          </w:p>
        </w:tc>
        <w:tc>
          <w:tcPr>
            <w:tcW w:w="16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3,745</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105</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90</w:t>
            </w:r>
          </w:p>
        </w:tc>
        <w:tc>
          <w:tcPr>
            <w:tcW w:w="1600" w:type="dxa"/>
            <w:vAlign w:val="bottom"/>
            <w:tcBorders>
              <w:bottom w:val="single" w:sz="8" w:color="auto"/>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3,730</w:t>
            </w:r>
          </w:p>
        </w:tc>
        <w:tc>
          <w:tcPr>
            <w:tcW w:w="18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55</w:t>
            </w:r>
          </w:p>
        </w:tc>
      </w:tr>
      <w:tr>
        <w:trPr>
          <w:trHeight w:val="210"/>
        </w:trPr>
        <w:tc>
          <w:tcPr>
            <w:tcW w:w="2780" w:type="dxa"/>
            <w:vAlign w:val="bottom"/>
            <w:tcBorders>
              <w:left w:val="single" w:sz="8" w:color="auto"/>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2018</w:t>
            </w:r>
          </w:p>
        </w:tc>
        <w:tc>
          <w:tcPr>
            <w:tcW w:w="16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3,730</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152</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106</w:t>
            </w:r>
          </w:p>
        </w:tc>
        <w:tc>
          <w:tcPr>
            <w:tcW w:w="1600" w:type="dxa"/>
            <w:vAlign w:val="bottom"/>
            <w:tcBorders>
              <w:bottom w:val="single" w:sz="8" w:color="auto"/>
              <w:right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3,684</w:t>
            </w:r>
          </w:p>
        </w:tc>
        <w:tc>
          <w:tcPr>
            <w:tcW w:w="18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210"/>
        </w:trPr>
        <w:tc>
          <w:tcPr>
            <w:tcW w:w="2780" w:type="dxa"/>
            <w:vAlign w:val="bottom"/>
            <w:tcBorders>
              <w:left w:val="single" w:sz="8" w:color="auto"/>
              <w:bottom w:val="single" w:sz="8" w:color="auto"/>
              <w:right w:val="single" w:sz="8" w:color="auto"/>
            </w:tcBorders>
          </w:tcPr>
          <w:p>
            <w:pPr>
              <w:jc w:val="right"/>
              <w:ind w:right="1011"/>
              <w:spacing w:after="0"/>
              <w:rPr>
                <w:sz w:val="20"/>
                <w:szCs w:val="20"/>
                <w:color w:val="auto"/>
              </w:rPr>
            </w:pPr>
            <w:r>
              <w:rPr>
                <w:rFonts w:ascii="Arial" w:cs="Arial" w:eastAsia="Arial" w:hAnsi="Arial"/>
                <w:sz w:val="16"/>
                <w:szCs w:val="16"/>
                <w:b w:val="1"/>
                <w:bCs w:val="1"/>
                <w:color w:val="auto"/>
              </w:rPr>
              <w:t>2019 (as of March 31)</w:t>
            </w:r>
          </w:p>
        </w:tc>
        <w:tc>
          <w:tcPr>
            <w:tcW w:w="16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3,684</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13</w:t>
            </w:r>
          </w:p>
        </w:tc>
        <w:tc>
          <w:tcPr>
            <w:tcW w:w="182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17</w:t>
            </w:r>
          </w:p>
        </w:tc>
        <w:tc>
          <w:tcPr>
            <w:tcW w:w="1600" w:type="dxa"/>
            <w:vAlign w:val="bottom"/>
            <w:tcBorders>
              <w:bottom w:val="single" w:sz="8" w:color="auto"/>
              <w:right w:val="single" w:sz="8" w:color="auto"/>
            </w:tcBorders>
          </w:tcPr>
          <w:p>
            <w:pPr>
              <w:jc w:val="right"/>
              <w:ind w:right="10"/>
              <w:spacing w:after="0" w:line="202" w:lineRule="exact"/>
              <w:rPr>
                <w:sz w:val="20"/>
                <w:szCs w:val="20"/>
                <w:color w:val="auto"/>
              </w:rPr>
            </w:pPr>
            <w:r>
              <w:rPr>
                <w:rFonts w:ascii="Arial" w:cs="Arial" w:eastAsia="Arial" w:hAnsi="Arial"/>
                <w:sz w:val="18"/>
                <w:szCs w:val="18"/>
                <w:b w:val="1"/>
                <w:bCs w:val="1"/>
                <w:color w:val="auto"/>
              </w:rPr>
              <w:t>3,688</w:t>
            </w:r>
          </w:p>
        </w:tc>
        <w:tc>
          <w:tcPr>
            <w:tcW w:w="1800" w:type="dxa"/>
            <w:vAlign w:val="bottom"/>
            <w:tcBorders>
              <w:bottom w:val="single" w:sz="8" w:color="auto"/>
              <w:right w:val="single" w:sz="8" w:color="auto"/>
            </w:tcBorders>
          </w:tcPr>
          <w:p>
            <w:pPr>
              <w:jc w:val="right"/>
              <w:spacing w:after="0" w:line="202" w:lineRule="exact"/>
              <w:rPr>
                <w:sz w:val="20"/>
                <w:szCs w:val="20"/>
                <w:color w:val="auto"/>
              </w:rPr>
            </w:pPr>
            <w:r>
              <w:rPr>
                <w:rFonts w:ascii="Arial" w:cs="Arial" w:eastAsia="Arial" w:hAnsi="Arial"/>
                <w:sz w:val="18"/>
                <w:szCs w:val="18"/>
                <w:b w:val="1"/>
                <w:bCs w:val="1"/>
                <w:color w:val="auto"/>
              </w:rPr>
              <w:t>$-</w:t>
            </w:r>
          </w:p>
        </w:tc>
      </w:tr>
    </w:tbl>
    <w:p>
      <w:pPr>
        <w:spacing w:after="0" w:line="355"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We anticipate that additional claims will be filed against the Company and related companies in the future, but are unable to predict the number and timing of such future claims. Due to the fact that information sufficient to meaningfully estimate a range of possible loss of a particular claim is typically not available until late in the discovery process, we do not believe a meaningful estimate can be made regarding the range of possible loss with respect to pending or future claims and therefore are unable to estimate a range of reasonably possible loss in excess of amounts already accrued for pending or future claims.</w:t>
      </w:r>
    </w:p>
    <w:p>
      <w:pPr>
        <w:spacing w:after="0" w:line="132"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While we believe we have meritorious defenses to these claims, we have settled certain claims for amounts we consider reasonable given the facts and circumstances of each case. Our insurance carrier has defended each case and funded settlements under a standard reservation of rights. As of March 31, 2019 we had resolved, by means of settlement or dismissal, 37,759 claims. The total cost of resolving all claims was $10.3 million. Of this amount, almost 100% was paid by our insurance carrier, who has confirmed that we have approximately $140 million of remaining coverage under primary and excess policies that should be available with respect to current and future asbestos claims.</w:t>
      </w:r>
    </w:p>
    <w:p>
      <w:pPr>
        <w:spacing w:after="0" w:line="145" w:lineRule="exact"/>
        <w:rPr>
          <w:sz w:val="20"/>
          <w:szCs w:val="20"/>
          <w:color w:val="auto"/>
        </w:rPr>
      </w:pPr>
    </w:p>
    <w:p>
      <w:pPr>
        <w:ind w:right="20" w:firstLine="648"/>
        <w:spacing w:after="0" w:line="243" w:lineRule="auto"/>
        <w:rPr>
          <w:sz w:val="20"/>
          <w:szCs w:val="20"/>
          <w:color w:val="auto"/>
        </w:rPr>
      </w:pPr>
      <w:r>
        <w:rPr>
          <w:rFonts w:ascii="Arial" w:cs="Arial" w:eastAsia="Arial" w:hAnsi="Arial"/>
          <w:sz w:val="18"/>
          <w:szCs w:val="18"/>
          <w:color w:val="auto"/>
        </w:rPr>
        <w:t>The Company’s subsidiary, Brandon Drying Fabrics, Inc. (“Brandon”), is also a separate defendant in many of the asbestos cases in which Albany is named as a defendant, despite never having manufactured any fabrics containing asbestos. While Brandon was defending against 7,709 claims as of March 31, 2019, only eleven claims have been filed against Brandon since January 1, 2012, and no settlement costs have been incurred since 2001. Brandon was acquired by the Company in 1999, and has its own insurance policies covering periods prior to 1999. Since 2004, Brandon’s insurance carriers have covered 100% of indemnification and defense costs, subject to policy limits and a standard reservation of rights.</w:t>
      </w:r>
    </w:p>
    <w:p>
      <w:pPr>
        <w:spacing w:after="0" w:line="134" w:lineRule="exact"/>
        <w:rPr>
          <w:sz w:val="20"/>
          <w:szCs w:val="20"/>
          <w:color w:val="auto"/>
        </w:rPr>
      </w:pPr>
    </w:p>
    <w:p>
      <w:pPr>
        <w:ind w:right="440" w:firstLine="648"/>
        <w:spacing w:after="0" w:line="255" w:lineRule="auto"/>
        <w:rPr>
          <w:sz w:val="20"/>
          <w:szCs w:val="20"/>
          <w:color w:val="auto"/>
        </w:rPr>
      </w:pPr>
      <w:r>
        <w:rPr>
          <w:rFonts w:ascii="Arial" w:cs="Arial" w:eastAsia="Arial" w:hAnsi="Arial"/>
          <w:sz w:val="18"/>
          <w:szCs w:val="18"/>
          <w:color w:val="auto"/>
        </w:rPr>
        <w:t>In some of these asbestos cases, the Company is named both as a direct defendant and as the “successor in interest” to Mount Vernon Mills (“Mount Vernon”). We acquired certain assets from Mount Vernon in 1993. Certain plaintiffs allege injury caused by asbestos-containing products alleged</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0" w:name="page31"/>
    <w:bookmarkEnd w:id="30"/>
    <w:p>
      <w:pPr>
        <w:ind w:right="160"/>
        <w:spacing w:after="0" w:line="248" w:lineRule="auto"/>
        <w:rPr>
          <w:sz w:val="20"/>
          <w:szCs w:val="20"/>
          <w:color w:val="auto"/>
        </w:rPr>
      </w:pPr>
      <w:r>
        <w:rPr>
          <w:rFonts w:ascii="Arial" w:cs="Arial" w:eastAsia="Arial" w:hAnsi="Arial"/>
          <w:sz w:val="18"/>
          <w:szCs w:val="18"/>
          <w:color w:val="auto"/>
        </w:rPr>
        <w:t>to have been sold by Mount Vernon many years prior to this acquisition. Mount Vernon is contractually obligated to indemnify the Company against any liability arising out of such products. We deny any liability for products sold by Mount Vernon prior to the acquisition of the Mount Vernon assets. Pursuant to its contractual indemnification obligations, Mount Vernon has assumed the defense of these claims. On this basis, we have successfully moved for dismissal in a number of actions.</w:t>
      </w:r>
    </w:p>
    <w:p>
      <w:pPr>
        <w:spacing w:after="0" w:line="130" w:lineRule="exact"/>
        <w:rPr>
          <w:sz w:val="20"/>
          <w:szCs w:val="20"/>
          <w:color w:val="auto"/>
        </w:rPr>
      </w:pPr>
    </w:p>
    <w:p>
      <w:pPr>
        <w:ind w:right="20" w:firstLine="648"/>
        <w:spacing w:after="0" w:line="245" w:lineRule="auto"/>
        <w:rPr>
          <w:sz w:val="20"/>
          <w:szCs w:val="20"/>
          <w:color w:val="auto"/>
        </w:rPr>
      </w:pPr>
      <w:r>
        <w:rPr>
          <w:rFonts w:ascii="Arial" w:cs="Arial" w:eastAsia="Arial" w:hAnsi="Arial"/>
          <w:sz w:val="18"/>
          <w:szCs w:val="18"/>
          <w:color w:val="auto"/>
        </w:rPr>
        <w:t>We currently do not anticipate, based on currently available information, that the ultimate resolution of the aforementioned proceedings will have a material adverse effect on the financial position, results of operations, or cash flows of the Company. Although we cannot predict the number and timing of future claims, based on the foregoing factors, the trends in claims filed against us, and available insurance, we also do not currently anticipate that potential future claims will have a material adverse effect on our financial position, results of operations, or cash flows.</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 Changes in Shareholders’ Equity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Shareholders’ Equity for the period December 31, 2018 to March 31, 2019:</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7"/>
                <w:szCs w:val="17"/>
                <w:b w:val="1"/>
                <w:bCs w:val="1"/>
                <w:color w:val="auto"/>
              </w:rPr>
              <w:t>Common</w:t>
            </w:r>
          </w:p>
        </w:tc>
        <w:tc>
          <w:tcPr>
            <w:tcW w:w="1120" w:type="dxa"/>
            <w:vAlign w:val="bottom"/>
            <w:tcBorders>
              <w:top w:val="single" w:sz="8" w:color="auto"/>
            </w:tcBorders>
            <w:vMerge w:val="restart"/>
          </w:tcPr>
          <w:p>
            <w:pPr>
              <w:jc w:val="right"/>
              <w:ind w:right="115"/>
              <w:spacing w:after="0"/>
              <w:rPr>
                <w:sz w:val="20"/>
                <w:szCs w:val="20"/>
                <w:color w:val="auto"/>
              </w:rPr>
            </w:pPr>
            <w:r>
              <w:rPr>
                <w:rFonts w:ascii="Arial" w:cs="Arial" w:eastAsia="Arial" w:hAnsi="Arial"/>
                <w:sz w:val="17"/>
                <w:szCs w:val="17"/>
                <w:b w:val="1"/>
                <w:bCs w:val="1"/>
                <w:color w:val="auto"/>
              </w:rPr>
              <w:t>Additional</w:t>
            </w:r>
          </w:p>
        </w:tc>
        <w:tc>
          <w:tcPr>
            <w:tcW w:w="98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center"/>
              <w:ind w:right="175"/>
              <w:spacing w:after="0" w:line="172" w:lineRule="exact"/>
              <w:rPr>
                <w:sz w:val="20"/>
                <w:szCs w:val="20"/>
                <w:color w:val="auto"/>
              </w:rPr>
            </w:pPr>
            <w:r>
              <w:rPr>
                <w:rFonts w:ascii="Arial" w:cs="Arial" w:eastAsia="Arial" w:hAnsi="Arial"/>
                <w:sz w:val="17"/>
                <w:szCs w:val="17"/>
                <w:b w:val="1"/>
                <w:bCs w:val="1"/>
                <w:color w:val="auto"/>
                <w:w w:val="99"/>
              </w:rPr>
              <w:t>Accumulated</w:t>
            </w:r>
          </w:p>
        </w:tc>
        <w:tc>
          <w:tcPr>
            <w:tcW w:w="1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8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 share</w:t>
            </w: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9"/>
              </w:rPr>
              <w:t>Stock</w:t>
            </w:r>
          </w:p>
        </w:tc>
        <w:tc>
          <w:tcPr>
            <w:tcW w:w="1120" w:type="dxa"/>
            <w:vAlign w:val="bottom"/>
            <w:vMerge w:val="continue"/>
          </w:tcPr>
          <w:p>
            <w:pPr>
              <w:spacing w:after="0"/>
              <w:rPr>
                <w:sz w:val="16"/>
                <w:szCs w:val="16"/>
                <w:color w:val="auto"/>
              </w:rPr>
            </w:pPr>
          </w:p>
        </w:tc>
        <w:tc>
          <w:tcPr>
            <w:tcW w:w="98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rPr>
              <w:t>Retained</w:t>
            </w:r>
          </w:p>
        </w:tc>
        <w:tc>
          <w:tcPr>
            <w:tcW w:w="1760" w:type="dxa"/>
            <w:vAlign w:val="bottom"/>
          </w:tcPr>
          <w:p>
            <w:pPr>
              <w:jc w:val="center"/>
              <w:ind w:right="175"/>
              <w:spacing w:after="0" w:line="189" w:lineRule="exact"/>
              <w:rPr>
                <w:sz w:val="20"/>
                <w:szCs w:val="20"/>
                <w:color w:val="auto"/>
              </w:rPr>
            </w:pPr>
            <w:r>
              <w:rPr>
                <w:rFonts w:ascii="Arial" w:cs="Arial" w:eastAsia="Arial" w:hAnsi="Arial"/>
                <w:sz w:val="17"/>
                <w:szCs w:val="17"/>
                <w:b w:val="1"/>
                <w:bCs w:val="1"/>
                <w:color w:val="auto"/>
              </w:rPr>
              <w:t>items of other</w:t>
            </w:r>
          </w:p>
        </w:tc>
        <w:tc>
          <w:tcPr>
            <w:tcW w:w="124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Treasury</w:t>
            </w:r>
          </w:p>
        </w:tc>
        <w:tc>
          <w:tcPr>
            <w:tcW w:w="148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Noncontrolling</w:t>
            </w:r>
          </w:p>
        </w:tc>
        <w:tc>
          <w:tcPr>
            <w:tcW w:w="98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9"/>
        </w:trPr>
        <w:tc>
          <w:tcPr>
            <w:tcW w:w="2880" w:type="dxa"/>
            <w:vAlign w:val="bottom"/>
            <w:vMerge w:val="continue"/>
          </w:tcPr>
          <w:p>
            <w:pPr>
              <w:spacing w:after="0"/>
              <w:rPr>
                <w:sz w:val="16"/>
                <w:szCs w:val="16"/>
                <w:color w:val="auto"/>
              </w:rPr>
            </w:pPr>
          </w:p>
        </w:tc>
        <w:tc>
          <w:tcPr>
            <w:tcW w:w="98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Class</w:t>
            </w:r>
          </w:p>
        </w:tc>
        <w:tc>
          <w:tcPr>
            <w:tcW w:w="1120" w:type="dxa"/>
            <w:vAlign w:val="bottom"/>
          </w:tcPr>
          <w:p>
            <w:pPr>
              <w:jc w:val="right"/>
              <w:ind w:right="255"/>
              <w:spacing w:after="0" w:line="189" w:lineRule="exact"/>
              <w:rPr>
                <w:sz w:val="20"/>
                <w:szCs w:val="20"/>
                <w:color w:val="auto"/>
              </w:rPr>
            </w:pPr>
            <w:r>
              <w:rPr>
                <w:rFonts w:ascii="Arial" w:cs="Arial" w:eastAsia="Arial" w:hAnsi="Arial"/>
                <w:sz w:val="17"/>
                <w:szCs w:val="17"/>
                <w:b w:val="1"/>
                <w:bCs w:val="1"/>
                <w:color w:val="auto"/>
              </w:rPr>
              <w:t>paid in</w:t>
            </w:r>
          </w:p>
        </w:tc>
        <w:tc>
          <w:tcPr>
            <w:tcW w:w="980" w:type="dxa"/>
            <w:vAlign w:val="bottom"/>
            <w:vMerge w:val="continue"/>
          </w:tcPr>
          <w:p>
            <w:pPr>
              <w:spacing w:after="0"/>
              <w:rPr>
                <w:sz w:val="16"/>
                <w:szCs w:val="16"/>
                <w:color w:val="auto"/>
              </w:rPr>
            </w:pPr>
          </w:p>
        </w:tc>
        <w:tc>
          <w:tcPr>
            <w:tcW w:w="1760" w:type="dxa"/>
            <w:vAlign w:val="bottom"/>
          </w:tcPr>
          <w:p>
            <w:pPr>
              <w:jc w:val="center"/>
              <w:ind w:right="175"/>
              <w:spacing w:after="0" w:line="189" w:lineRule="exact"/>
              <w:rPr>
                <w:sz w:val="20"/>
                <w:szCs w:val="20"/>
                <w:color w:val="auto"/>
              </w:rPr>
            </w:pPr>
            <w:r>
              <w:rPr>
                <w:rFonts w:ascii="Arial" w:cs="Arial" w:eastAsia="Arial" w:hAnsi="Arial"/>
                <w:sz w:val="17"/>
                <w:szCs w:val="17"/>
                <w:b w:val="1"/>
                <w:bCs w:val="1"/>
                <w:color w:val="auto"/>
              </w:rPr>
              <w:t>comprehensive</w:t>
            </w:r>
          </w:p>
        </w:tc>
        <w:tc>
          <w:tcPr>
            <w:tcW w:w="12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amounts)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A and B</w:t>
            </w:r>
          </w:p>
        </w:tc>
        <w:tc>
          <w:tcPr>
            <w:tcW w:w="11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capital</w:t>
            </w: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earnings</w:t>
            </w:r>
          </w:p>
        </w:tc>
        <w:tc>
          <w:tcPr>
            <w:tcW w:w="1760" w:type="dxa"/>
            <w:vAlign w:val="bottom"/>
            <w:tcBorders>
              <w:bottom w:val="single" w:sz="8" w:color="auto"/>
            </w:tcBorders>
          </w:tcPr>
          <w:p>
            <w:pPr>
              <w:jc w:val="center"/>
              <w:ind w:right="175"/>
              <w:spacing w:after="0"/>
              <w:rPr>
                <w:sz w:val="20"/>
                <w:szCs w:val="20"/>
                <w:color w:val="auto"/>
              </w:rPr>
            </w:pPr>
            <w:r>
              <w:rPr>
                <w:rFonts w:ascii="Arial" w:cs="Arial" w:eastAsia="Arial" w:hAnsi="Arial"/>
                <w:sz w:val="17"/>
                <w:szCs w:val="17"/>
                <w:b w:val="1"/>
                <w:bCs w:val="1"/>
                <w:color w:val="auto"/>
              </w:rPr>
              <w:t>income/(loss)</w:t>
            </w: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stock</w:t>
            </w: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Interest</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154"/>
        </w:trPr>
        <w:tc>
          <w:tcPr>
            <w:tcW w:w="2880" w:type="dxa"/>
            <w:vAlign w:val="bottom"/>
          </w:tcPr>
          <w:p>
            <w:pPr>
              <w:spacing w:after="0" w:line="154" w:lineRule="exact"/>
              <w:rPr>
                <w:sz w:val="20"/>
                <w:szCs w:val="20"/>
                <w:color w:val="auto"/>
              </w:rPr>
            </w:pPr>
            <w:r>
              <w:rPr>
                <w:rFonts w:ascii="Arial" w:cs="Arial" w:eastAsia="Arial" w:hAnsi="Arial"/>
                <w:sz w:val="17"/>
                <w:szCs w:val="17"/>
                <w:b w:val="1"/>
                <w:bCs w:val="1"/>
                <w:color w:val="auto"/>
              </w:rPr>
              <w:t>December 31, 2018</w:t>
            </w:r>
          </w:p>
        </w:tc>
        <w:tc>
          <w:tcPr>
            <w:tcW w:w="98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$40</w:t>
            </w:r>
          </w:p>
        </w:tc>
        <w:tc>
          <w:tcPr>
            <w:tcW w:w="112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$430,555</w:t>
            </w:r>
          </w:p>
        </w:tc>
        <w:tc>
          <w:tcPr>
            <w:tcW w:w="980" w:type="dxa"/>
            <w:vAlign w:val="bottom"/>
          </w:tcPr>
          <w:p>
            <w:pPr>
              <w:jc w:val="right"/>
              <w:ind w:right="15"/>
              <w:spacing w:after="0" w:line="154" w:lineRule="exact"/>
              <w:rPr>
                <w:sz w:val="20"/>
                <w:szCs w:val="20"/>
                <w:color w:val="auto"/>
              </w:rPr>
            </w:pPr>
            <w:r>
              <w:rPr>
                <w:rFonts w:ascii="Arial" w:cs="Arial" w:eastAsia="Arial" w:hAnsi="Arial"/>
                <w:sz w:val="17"/>
                <w:szCs w:val="17"/>
                <w:b w:val="1"/>
                <w:bCs w:val="1"/>
                <w:color w:val="auto"/>
              </w:rPr>
              <w:t>$589,645</w:t>
            </w:r>
          </w:p>
        </w:tc>
        <w:tc>
          <w:tcPr>
            <w:tcW w:w="1760" w:type="dxa"/>
            <w:vAlign w:val="bottom"/>
          </w:tcPr>
          <w:p>
            <w:pPr>
              <w:jc w:val="right"/>
              <w:ind w:right="75"/>
              <w:spacing w:after="0" w:line="154" w:lineRule="exact"/>
              <w:rPr>
                <w:sz w:val="20"/>
                <w:szCs w:val="20"/>
                <w:color w:val="auto"/>
              </w:rPr>
            </w:pPr>
            <w:r>
              <w:rPr>
                <w:rFonts w:ascii="Arial" w:cs="Arial" w:eastAsia="Arial" w:hAnsi="Arial"/>
                <w:sz w:val="17"/>
                <w:szCs w:val="17"/>
                <w:b w:val="1"/>
                <w:bCs w:val="1"/>
                <w:color w:val="auto"/>
              </w:rPr>
              <w:t>($158,388)</w:t>
            </w:r>
          </w:p>
        </w:tc>
        <w:tc>
          <w:tcPr>
            <w:tcW w:w="124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($256,603)</w:t>
            </w:r>
          </w:p>
        </w:tc>
        <w:tc>
          <w:tcPr>
            <w:tcW w:w="1480" w:type="dxa"/>
            <w:vAlign w:val="bottom"/>
          </w:tcPr>
          <w:p>
            <w:pPr>
              <w:jc w:val="right"/>
              <w:ind w:right="75"/>
              <w:spacing w:after="0" w:line="154" w:lineRule="exact"/>
              <w:rPr>
                <w:sz w:val="20"/>
                <w:szCs w:val="20"/>
                <w:color w:val="auto"/>
              </w:rPr>
            </w:pPr>
            <w:r>
              <w:rPr>
                <w:rFonts w:ascii="Arial" w:cs="Arial" w:eastAsia="Arial" w:hAnsi="Arial"/>
                <w:sz w:val="17"/>
                <w:szCs w:val="17"/>
                <w:b w:val="1"/>
                <w:bCs w:val="1"/>
                <w:color w:val="auto"/>
              </w:rPr>
              <w:t>$3,031</w:t>
            </w:r>
          </w:p>
        </w:tc>
        <w:tc>
          <w:tcPr>
            <w:tcW w:w="98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$608,280</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Adoption of accounting standards (a)</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35</w:t>
            </w:r>
          </w:p>
        </w:tc>
        <w:tc>
          <w:tcPr>
            <w:tcW w:w="1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Net income</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29,190</w:t>
            </w:r>
          </w:p>
        </w:tc>
        <w:tc>
          <w:tcPr>
            <w:tcW w:w="1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218</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29,408</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Compensation and benefits paid or</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(547)</w:t>
            </w: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payable in shares</w:t>
            </w: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Options exercised</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44</w:t>
            </w: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44</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Dividends declared:</w:t>
            </w: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00"/>
              <w:spacing w:after="0" w:line="189" w:lineRule="exact"/>
              <w:rPr>
                <w:sz w:val="20"/>
                <w:szCs w:val="20"/>
                <w:color w:val="auto"/>
              </w:rPr>
            </w:pPr>
            <w:r>
              <w:rPr>
                <w:rFonts w:ascii="Arial" w:cs="Arial" w:eastAsia="Arial" w:hAnsi="Arial"/>
                <w:sz w:val="17"/>
                <w:szCs w:val="17"/>
                <w:color w:val="auto"/>
              </w:rPr>
              <w:t>Class A Common Stock, $0.18 per</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(5,813)</w:t>
            </w:r>
          </w:p>
        </w:tc>
        <w:tc>
          <w:tcPr>
            <w:tcW w:w="1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(5,813)</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share</w:t>
            </w: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Pr>
          <w:p>
            <w:pPr>
              <w:ind w:left="100"/>
              <w:spacing w:after="0" w:line="189" w:lineRule="exact"/>
              <w:rPr>
                <w:sz w:val="20"/>
                <w:szCs w:val="20"/>
                <w:color w:val="auto"/>
              </w:rPr>
            </w:pPr>
            <w:r>
              <w:rPr>
                <w:rFonts w:ascii="Arial" w:cs="Arial" w:eastAsia="Arial" w:hAnsi="Arial"/>
                <w:sz w:val="17"/>
                <w:szCs w:val="17"/>
                <w:color w:val="auto"/>
              </w:rPr>
              <w:t>Class B Common Stock, $0.18 per</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share</w:t>
            </w: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Cumulative translation adjustments</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(654)</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(8)</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(662)</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Pension and postretirement liability</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176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(1,487)</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(1,487)</w:t>
            </w:r>
          </w:p>
        </w:tc>
        <w:tc>
          <w:tcPr>
            <w:tcW w:w="0" w:type="dxa"/>
            <w:vAlign w:val="bottom"/>
          </w:tcPr>
          <w:p>
            <w:pPr>
              <w:spacing w:after="0"/>
              <w:rPr>
                <w:sz w:val="1"/>
                <w:szCs w:val="1"/>
                <w:color w:val="auto"/>
              </w:rPr>
            </w:pPr>
          </w:p>
        </w:tc>
      </w:tr>
      <w:tr>
        <w:trPr>
          <w:trHeight w:val="189"/>
        </w:trPr>
        <w:tc>
          <w:tcPr>
            <w:tcW w:w="2880" w:type="dxa"/>
            <w:vAlign w:val="bottom"/>
          </w:tcPr>
          <w:p>
            <w:pPr>
              <w:spacing w:after="0" w:line="189" w:lineRule="exact"/>
              <w:rPr>
                <w:sz w:val="20"/>
                <w:szCs w:val="20"/>
                <w:color w:val="auto"/>
              </w:rPr>
            </w:pPr>
            <w:r>
              <w:rPr>
                <w:rFonts w:ascii="Arial" w:cs="Arial" w:eastAsia="Arial" w:hAnsi="Arial"/>
                <w:sz w:val="17"/>
                <w:szCs w:val="17"/>
                <w:color w:val="auto"/>
              </w:rPr>
              <w:t>adjustments</w:t>
            </w: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Derivative valuation adjustment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7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(2,851)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(2,851)</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March 31, 2019</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$40</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$430,052</w:t>
            </w:r>
          </w:p>
        </w:tc>
        <w:tc>
          <w:tcPr>
            <w:tcW w:w="980" w:type="dxa"/>
            <w:vAlign w:val="bottom"/>
            <w:tcBorders>
              <w:bottom w:val="single" w:sz="8" w:color="auto"/>
            </w:tcBorders>
          </w:tcPr>
          <w:p>
            <w:pPr>
              <w:jc w:val="right"/>
              <w:ind w:right="15"/>
              <w:spacing w:after="0" w:line="183" w:lineRule="exact"/>
              <w:rPr>
                <w:sz w:val="20"/>
                <w:szCs w:val="20"/>
                <w:color w:val="auto"/>
              </w:rPr>
            </w:pPr>
            <w:r>
              <w:rPr>
                <w:rFonts w:ascii="Arial" w:cs="Arial" w:eastAsia="Arial" w:hAnsi="Arial"/>
                <w:sz w:val="17"/>
                <w:szCs w:val="17"/>
                <w:b w:val="1"/>
                <w:bCs w:val="1"/>
                <w:color w:val="auto"/>
              </w:rPr>
              <w:t>$613,057</w:t>
            </w:r>
          </w:p>
        </w:tc>
        <w:tc>
          <w:tcPr>
            <w:tcW w:w="176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($163,380)</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($256,603)</w:t>
            </w:r>
          </w:p>
        </w:tc>
        <w:tc>
          <w:tcPr>
            <w:tcW w:w="14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$3,241</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$626,407</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 following table summarizes changes in Shareholders’ Equity for the period December 31, 2017 to March 31, 2018:</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spacing w:after="0" w:line="172" w:lineRule="exact"/>
              <w:rPr>
                <w:sz w:val="20"/>
                <w:szCs w:val="20"/>
                <w:color w:val="auto"/>
              </w:rPr>
            </w:pPr>
            <w:r>
              <w:rPr>
                <w:rFonts w:ascii="Arial" w:cs="Arial" w:eastAsia="Arial" w:hAnsi="Arial"/>
                <w:sz w:val="17"/>
                <w:szCs w:val="17"/>
                <w:b w:val="1"/>
                <w:bCs w:val="1"/>
                <w:color w:val="auto"/>
              </w:rPr>
              <w:t>Common</w:t>
            </w:r>
          </w:p>
        </w:tc>
        <w:tc>
          <w:tcPr>
            <w:tcW w:w="1020" w:type="dxa"/>
            <w:vAlign w:val="bottom"/>
            <w:tcBorders>
              <w:top w:val="single" w:sz="8" w:color="auto"/>
            </w:tcBorders>
            <w:vMerge w:val="restart"/>
          </w:tcPr>
          <w:p>
            <w:pPr>
              <w:jc w:val="right"/>
              <w:ind w:right="55"/>
              <w:spacing w:after="0"/>
              <w:rPr>
                <w:sz w:val="20"/>
                <w:szCs w:val="20"/>
                <w:color w:val="auto"/>
              </w:rPr>
            </w:pPr>
            <w:r>
              <w:rPr>
                <w:rFonts w:ascii="Arial" w:cs="Arial" w:eastAsia="Arial" w:hAnsi="Arial"/>
                <w:sz w:val="17"/>
                <w:szCs w:val="17"/>
                <w:b w:val="1"/>
                <w:bCs w:val="1"/>
                <w:color w:val="auto"/>
              </w:rPr>
              <w:t>Additional</w:t>
            </w:r>
          </w:p>
        </w:tc>
        <w:tc>
          <w:tcPr>
            <w:tcW w:w="940" w:type="dxa"/>
            <w:vAlign w:val="bottom"/>
            <w:tcBorders>
              <w:top w:val="single" w:sz="8" w:color="auto"/>
            </w:tcBorders>
          </w:tcPr>
          <w:p>
            <w:pPr>
              <w:spacing w:after="0"/>
              <w:rPr>
                <w:sz w:val="14"/>
                <w:szCs w:val="14"/>
                <w:color w:val="auto"/>
              </w:rPr>
            </w:pPr>
          </w:p>
        </w:tc>
        <w:tc>
          <w:tcPr>
            <w:tcW w:w="1680" w:type="dxa"/>
            <w:vAlign w:val="bottom"/>
            <w:tcBorders>
              <w:top w:val="single" w:sz="8" w:color="auto"/>
            </w:tcBorders>
          </w:tcPr>
          <w:p>
            <w:pPr>
              <w:jc w:val="center"/>
              <w:ind w:right="155"/>
              <w:spacing w:after="0" w:line="172" w:lineRule="exact"/>
              <w:rPr>
                <w:sz w:val="20"/>
                <w:szCs w:val="20"/>
                <w:color w:val="auto"/>
              </w:rPr>
            </w:pPr>
            <w:r>
              <w:rPr>
                <w:rFonts w:ascii="Arial" w:cs="Arial" w:eastAsia="Arial" w:hAnsi="Arial"/>
                <w:sz w:val="17"/>
                <w:szCs w:val="17"/>
                <w:b w:val="1"/>
                <w:bCs w:val="1"/>
                <w:color w:val="auto"/>
              </w:rPr>
              <w:t>Accumulated</w:t>
            </w:r>
          </w:p>
        </w:tc>
        <w:tc>
          <w:tcPr>
            <w:tcW w:w="124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120" w:type="dxa"/>
            <w:vAlign w:val="bottom"/>
            <w:vMerge w:val="restart"/>
          </w:tcPr>
          <w:p>
            <w:pPr>
              <w:spacing w:after="0"/>
              <w:rPr>
                <w:sz w:val="20"/>
                <w:szCs w:val="20"/>
                <w:color w:val="auto"/>
              </w:rPr>
            </w:pPr>
            <w:r>
              <w:rPr>
                <w:rFonts w:ascii="Arial" w:cs="Arial" w:eastAsia="Arial" w:hAnsi="Arial"/>
                <w:sz w:val="17"/>
                <w:szCs w:val="17"/>
                <w:b w:val="1"/>
                <w:bCs w:val="1"/>
                <w:color w:val="auto"/>
              </w:rPr>
              <w:t>(in thousands, except per share</w:t>
            </w:r>
          </w:p>
        </w:tc>
        <w:tc>
          <w:tcPr>
            <w:tcW w:w="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rPr>
              <w:t>Stock</w:t>
            </w:r>
          </w:p>
        </w:tc>
        <w:tc>
          <w:tcPr>
            <w:tcW w:w="1020" w:type="dxa"/>
            <w:vAlign w:val="bottom"/>
            <w:vMerge w:val="continue"/>
          </w:tcPr>
          <w:p>
            <w:pPr>
              <w:spacing w:after="0"/>
              <w:rPr>
                <w:sz w:val="16"/>
                <w:szCs w:val="16"/>
                <w:color w:val="auto"/>
              </w:rPr>
            </w:pPr>
          </w:p>
        </w:tc>
        <w:tc>
          <w:tcPr>
            <w:tcW w:w="94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Retained</w:t>
            </w:r>
          </w:p>
        </w:tc>
        <w:tc>
          <w:tcPr>
            <w:tcW w:w="168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w w:val="99"/>
              </w:rPr>
              <w:t>items of other</w:t>
            </w:r>
          </w:p>
        </w:tc>
        <w:tc>
          <w:tcPr>
            <w:tcW w:w="124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Treasury</w:t>
            </w:r>
          </w:p>
        </w:tc>
        <w:tc>
          <w:tcPr>
            <w:tcW w:w="1480" w:type="dxa"/>
            <w:vAlign w:val="bottom"/>
            <w:vMerge w:val="restart"/>
          </w:tcPr>
          <w:p>
            <w:pPr>
              <w:jc w:val="right"/>
              <w:ind w:right="135"/>
              <w:spacing w:after="0"/>
              <w:rPr>
                <w:sz w:val="20"/>
                <w:szCs w:val="20"/>
                <w:color w:val="auto"/>
              </w:rPr>
            </w:pPr>
            <w:r>
              <w:rPr>
                <w:rFonts w:ascii="Arial" w:cs="Arial" w:eastAsia="Arial" w:hAnsi="Arial"/>
                <w:sz w:val="17"/>
                <w:szCs w:val="17"/>
                <w:b w:val="1"/>
                <w:bCs w:val="1"/>
                <w:color w:val="auto"/>
              </w:rPr>
              <w:t>Noncontrolling</w:t>
            </w:r>
          </w:p>
        </w:tc>
        <w:tc>
          <w:tcPr>
            <w:tcW w:w="98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89"/>
        </w:trPr>
        <w:tc>
          <w:tcPr>
            <w:tcW w:w="3120" w:type="dxa"/>
            <w:vAlign w:val="bottom"/>
            <w:vMerge w:val="continue"/>
          </w:tcPr>
          <w:p>
            <w:pPr>
              <w:spacing w:after="0"/>
              <w:rPr>
                <w:sz w:val="16"/>
                <w:szCs w:val="16"/>
                <w:color w:val="auto"/>
              </w:rPr>
            </w:pPr>
          </w:p>
        </w:tc>
        <w:tc>
          <w:tcPr>
            <w:tcW w:w="960" w:type="dxa"/>
            <w:vAlign w:val="bottom"/>
          </w:tcPr>
          <w:p>
            <w:pPr>
              <w:jc w:val="center"/>
              <w:spacing w:after="0" w:line="189" w:lineRule="exact"/>
              <w:rPr>
                <w:sz w:val="20"/>
                <w:szCs w:val="20"/>
                <w:color w:val="auto"/>
              </w:rPr>
            </w:pPr>
            <w:r>
              <w:rPr>
                <w:rFonts w:ascii="Arial" w:cs="Arial" w:eastAsia="Arial" w:hAnsi="Arial"/>
                <w:sz w:val="17"/>
                <w:szCs w:val="17"/>
                <w:b w:val="1"/>
                <w:bCs w:val="1"/>
                <w:color w:val="auto"/>
                <w:w w:val="96"/>
              </w:rPr>
              <w:t>Class</w:t>
            </w:r>
          </w:p>
        </w:tc>
        <w:tc>
          <w:tcPr>
            <w:tcW w:w="1020" w:type="dxa"/>
            <w:vAlign w:val="bottom"/>
          </w:tcPr>
          <w:p>
            <w:pPr>
              <w:jc w:val="right"/>
              <w:ind w:right="195"/>
              <w:spacing w:after="0" w:line="189" w:lineRule="exact"/>
              <w:rPr>
                <w:sz w:val="20"/>
                <w:szCs w:val="20"/>
                <w:color w:val="auto"/>
              </w:rPr>
            </w:pPr>
            <w:r>
              <w:rPr>
                <w:rFonts w:ascii="Arial" w:cs="Arial" w:eastAsia="Arial" w:hAnsi="Arial"/>
                <w:sz w:val="17"/>
                <w:szCs w:val="17"/>
                <w:b w:val="1"/>
                <w:bCs w:val="1"/>
                <w:color w:val="auto"/>
              </w:rPr>
              <w:t>paid in</w:t>
            </w:r>
          </w:p>
        </w:tc>
        <w:tc>
          <w:tcPr>
            <w:tcW w:w="940" w:type="dxa"/>
            <w:vAlign w:val="bottom"/>
            <w:vMerge w:val="continue"/>
          </w:tcPr>
          <w:p>
            <w:pPr>
              <w:spacing w:after="0"/>
              <w:rPr>
                <w:sz w:val="16"/>
                <w:szCs w:val="16"/>
                <w:color w:val="auto"/>
              </w:rPr>
            </w:pPr>
          </w:p>
        </w:tc>
        <w:tc>
          <w:tcPr>
            <w:tcW w:w="1680" w:type="dxa"/>
            <w:vAlign w:val="bottom"/>
          </w:tcPr>
          <w:p>
            <w:pPr>
              <w:jc w:val="center"/>
              <w:ind w:right="155"/>
              <w:spacing w:after="0" w:line="189" w:lineRule="exact"/>
              <w:rPr>
                <w:sz w:val="20"/>
                <w:szCs w:val="20"/>
                <w:color w:val="auto"/>
              </w:rPr>
            </w:pPr>
            <w:r>
              <w:rPr>
                <w:rFonts w:ascii="Arial" w:cs="Arial" w:eastAsia="Arial" w:hAnsi="Arial"/>
                <w:sz w:val="17"/>
                <w:szCs w:val="17"/>
                <w:b w:val="1"/>
                <w:bCs w:val="1"/>
                <w:color w:val="auto"/>
                <w:w w:val="99"/>
              </w:rPr>
              <w:t>comprehensive</w:t>
            </w:r>
          </w:p>
        </w:tc>
        <w:tc>
          <w:tcPr>
            <w:tcW w:w="1240" w:type="dxa"/>
            <w:vAlign w:val="bottom"/>
            <w:vMerge w:val="continue"/>
          </w:tcPr>
          <w:p>
            <w:pPr>
              <w:spacing w:after="0"/>
              <w:rPr>
                <w:sz w:val="16"/>
                <w:szCs w:val="16"/>
                <w:color w:val="auto"/>
              </w:rPr>
            </w:pPr>
          </w:p>
        </w:tc>
        <w:tc>
          <w:tcPr>
            <w:tcW w:w="14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amounts)</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A and B</w:t>
            </w:r>
          </w:p>
        </w:tc>
        <w:tc>
          <w:tcPr>
            <w:tcW w:w="102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capital</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earnings</w:t>
            </w:r>
          </w:p>
        </w:tc>
        <w:tc>
          <w:tcPr>
            <w:tcW w:w="1680" w:type="dxa"/>
            <w:vAlign w:val="bottom"/>
            <w:tcBorders>
              <w:bottom w:val="single" w:sz="8" w:color="auto"/>
            </w:tcBorders>
          </w:tcPr>
          <w:p>
            <w:pPr>
              <w:jc w:val="center"/>
              <w:ind w:right="155"/>
              <w:spacing w:after="0"/>
              <w:rPr>
                <w:sz w:val="20"/>
                <w:szCs w:val="20"/>
                <w:color w:val="auto"/>
              </w:rPr>
            </w:pPr>
            <w:r>
              <w:rPr>
                <w:rFonts w:ascii="Arial" w:cs="Arial" w:eastAsia="Arial" w:hAnsi="Arial"/>
                <w:sz w:val="17"/>
                <w:szCs w:val="17"/>
                <w:b w:val="1"/>
                <w:bCs w:val="1"/>
                <w:color w:val="auto"/>
              </w:rPr>
              <w:t>income/(loss)</w:t>
            </w:r>
          </w:p>
        </w:tc>
        <w:tc>
          <w:tcPr>
            <w:tcW w:w="12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stock</w:t>
            </w:r>
          </w:p>
        </w:tc>
        <w:tc>
          <w:tcPr>
            <w:tcW w:w="14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Interest</w:t>
            </w:r>
          </w:p>
        </w:tc>
        <w:tc>
          <w:tcPr>
            <w:tcW w:w="9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b w:val="1"/>
                <w:bCs w:val="1"/>
                <w:color w:val="auto"/>
              </w:rPr>
              <w:t>Equity</w:t>
            </w:r>
          </w:p>
        </w:tc>
        <w:tc>
          <w:tcPr>
            <w:tcW w:w="0" w:type="dxa"/>
            <w:vAlign w:val="bottom"/>
          </w:tcPr>
          <w:p>
            <w:pPr>
              <w:spacing w:after="0"/>
              <w:rPr>
                <w:sz w:val="1"/>
                <w:szCs w:val="1"/>
                <w:color w:val="auto"/>
              </w:rPr>
            </w:pPr>
          </w:p>
        </w:tc>
      </w:tr>
      <w:tr>
        <w:trPr>
          <w:trHeight w:val="154"/>
        </w:trPr>
        <w:tc>
          <w:tcPr>
            <w:tcW w:w="3120" w:type="dxa"/>
            <w:vAlign w:val="bottom"/>
          </w:tcPr>
          <w:p>
            <w:pPr>
              <w:spacing w:after="0" w:line="154" w:lineRule="exact"/>
              <w:rPr>
                <w:sz w:val="20"/>
                <w:szCs w:val="20"/>
                <w:color w:val="auto"/>
              </w:rPr>
            </w:pPr>
            <w:r>
              <w:rPr>
                <w:rFonts w:ascii="Arial" w:cs="Arial" w:eastAsia="Arial" w:hAnsi="Arial"/>
                <w:sz w:val="17"/>
                <w:szCs w:val="17"/>
                <w:b w:val="1"/>
                <w:bCs w:val="1"/>
                <w:color w:val="auto"/>
              </w:rPr>
              <w:t>December 31, 2017</w:t>
            </w:r>
          </w:p>
        </w:tc>
        <w:tc>
          <w:tcPr>
            <w:tcW w:w="96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$40</w:t>
            </w:r>
          </w:p>
        </w:tc>
        <w:tc>
          <w:tcPr>
            <w:tcW w:w="102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$428,423</w:t>
            </w:r>
          </w:p>
        </w:tc>
        <w:tc>
          <w:tcPr>
            <w:tcW w:w="94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$534,082</w:t>
            </w:r>
          </w:p>
        </w:tc>
        <w:tc>
          <w:tcPr>
            <w:tcW w:w="1680" w:type="dxa"/>
            <w:vAlign w:val="bottom"/>
          </w:tcPr>
          <w:p>
            <w:pPr>
              <w:jc w:val="right"/>
              <w:ind w:right="75"/>
              <w:spacing w:after="0" w:line="154" w:lineRule="exact"/>
              <w:rPr>
                <w:sz w:val="20"/>
                <w:szCs w:val="20"/>
                <w:color w:val="auto"/>
              </w:rPr>
            </w:pPr>
            <w:r>
              <w:rPr>
                <w:rFonts w:ascii="Arial" w:cs="Arial" w:eastAsia="Arial" w:hAnsi="Arial"/>
                <w:sz w:val="17"/>
                <w:szCs w:val="17"/>
                <w:b w:val="1"/>
                <w:bCs w:val="1"/>
                <w:color w:val="auto"/>
              </w:rPr>
              <w:t>($135,901)</w:t>
            </w:r>
          </w:p>
        </w:tc>
        <w:tc>
          <w:tcPr>
            <w:tcW w:w="124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($256,876)</w:t>
            </w:r>
          </w:p>
        </w:tc>
        <w:tc>
          <w:tcPr>
            <w:tcW w:w="1480" w:type="dxa"/>
            <w:vAlign w:val="bottom"/>
          </w:tcPr>
          <w:p>
            <w:pPr>
              <w:jc w:val="right"/>
              <w:ind w:right="75"/>
              <w:spacing w:after="0" w:line="154" w:lineRule="exact"/>
              <w:rPr>
                <w:sz w:val="20"/>
                <w:szCs w:val="20"/>
                <w:color w:val="auto"/>
              </w:rPr>
            </w:pPr>
            <w:r>
              <w:rPr>
                <w:rFonts w:ascii="Arial" w:cs="Arial" w:eastAsia="Arial" w:hAnsi="Arial"/>
                <w:sz w:val="17"/>
                <w:szCs w:val="17"/>
                <w:b w:val="1"/>
                <w:bCs w:val="1"/>
                <w:color w:val="auto"/>
              </w:rPr>
              <w:t>$3,247</w:t>
            </w:r>
          </w:p>
        </w:tc>
        <w:tc>
          <w:tcPr>
            <w:tcW w:w="980" w:type="dxa"/>
            <w:vAlign w:val="bottom"/>
          </w:tcPr>
          <w:p>
            <w:pPr>
              <w:jc w:val="right"/>
              <w:spacing w:after="0" w:line="154" w:lineRule="exact"/>
              <w:rPr>
                <w:sz w:val="20"/>
                <w:szCs w:val="20"/>
                <w:color w:val="auto"/>
              </w:rPr>
            </w:pPr>
            <w:r>
              <w:rPr>
                <w:rFonts w:ascii="Arial" w:cs="Arial" w:eastAsia="Arial" w:hAnsi="Arial"/>
                <w:sz w:val="17"/>
                <w:szCs w:val="17"/>
                <w:b w:val="1"/>
                <w:bCs w:val="1"/>
                <w:color w:val="auto"/>
              </w:rPr>
              <w:t>$573,015</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Adoption of accounting standards (b),(c)</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(5,068)</w:t>
            </w:r>
          </w:p>
        </w:tc>
        <w:tc>
          <w:tcPr>
            <w:tcW w:w="1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(327)</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(5,395)</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Net income</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7,662</w:t>
            </w:r>
          </w:p>
        </w:tc>
        <w:tc>
          <w:tcPr>
            <w:tcW w:w="1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237</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7,899</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Compensation and benefits paid or</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289</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289</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payable in shares</w:t>
            </w: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Options exercised</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147</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Dividends declared:</w:t>
            </w: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Class A Common Stock, $0.17 per</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(5,483)</w:t>
            </w:r>
          </w:p>
        </w:tc>
        <w:tc>
          <w:tcPr>
            <w:tcW w:w="1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(5,483)</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share</w:t>
            </w: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Class B Common Stock, $0.17 per</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share</w:t>
            </w: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Cumulative translation adjustments</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17,646</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(7)</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17,639</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Pension and postretirement liability</w:t>
            </w:r>
          </w:p>
        </w:tc>
        <w:tc>
          <w:tcPr>
            <w:tcW w:w="9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0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6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(13)</w:t>
            </w:r>
          </w:p>
        </w:tc>
        <w:tc>
          <w:tcPr>
            <w:tcW w:w="124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1480" w:type="dxa"/>
            <w:vAlign w:val="bottom"/>
          </w:tcPr>
          <w:p>
            <w:pPr>
              <w:jc w:val="right"/>
              <w:ind w:right="75"/>
              <w:spacing w:after="0" w:line="189" w:lineRule="exact"/>
              <w:rPr>
                <w:sz w:val="20"/>
                <w:szCs w:val="20"/>
                <w:color w:val="auto"/>
              </w:rPr>
            </w:pPr>
            <w:r>
              <w:rPr>
                <w:rFonts w:ascii="Arial" w:cs="Arial" w:eastAsia="Arial" w:hAnsi="Arial"/>
                <w:sz w:val="17"/>
                <w:szCs w:val="17"/>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189"/>
        </w:trPr>
        <w:tc>
          <w:tcPr>
            <w:tcW w:w="3120" w:type="dxa"/>
            <w:vAlign w:val="bottom"/>
          </w:tcPr>
          <w:p>
            <w:pPr>
              <w:spacing w:after="0" w:line="189" w:lineRule="exact"/>
              <w:rPr>
                <w:sz w:val="20"/>
                <w:szCs w:val="20"/>
                <w:color w:val="auto"/>
              </w:rPr>
            </w:pPr>
            <w:r>
              <w:rPr>
                <w:rFonts w:ascii="Arial" w:cs="Arial" w:eastAsia="Arial" w:hAnsi="Arial"/>
                <w:sz w:val="17"/>
                <w:szCs w:val="17"/>
                <w:color w:val="auto"/>
              </w:rPr>
              <w:t>adjustments</w:t>
            </w: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Derivative valuation adjustment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4,480</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4,480</w:t>
            </w:r>
          </w:p>
        </w:tc>
        <w:tc>
          <w:tcPr>
            <w:tcW w:w="0" w:type="dxa"/>
            <w:vAlign w:val="bottom"/>
          </w:tcPr>
          <w:p>
            <w:pPr>
              <w:spacing w:after="0"/>
              <w:rPr>
                <w:sz w:val="1"/>
                <w:szCs w:val="1"/>
                <w:color w:val="auto"/>
              </w:rPr>
            </w:pPr>
          </w:p>
        </w:tc>
      </w:tr>
      <w:tr>
        <w:trPr>
          <w:trHeight w:val="183"/>
        </w:trPr>
        <w:tc>
          <w:tcPr>
            <w:tcW w:w="3120" w:type="dxa"/>
            <w:vAlign w:val="bottom"/>
            <w:tcBorders>
              <w:bottom w:val="single" w:sz="8" w:color="auto"/>
            </w:tcBorders>
          </w:tcPr>
          <w:p>
            <w:pPr>
              <w:spacing w:after="0" w:line="183" w:lineRule="exact"/>
              <w:rPr>
                <w:sz w:val="20"/>
                <w:szCs w:val="20"/>
                <w:color w:val="auto"/>
              </w:rPr>
            </w:pPr>
            <w:r>
              <w:rPr>
                <w:rFonts w:ascii="Arial" w:cs="Arial" w:eastAsia="Arial" w:hAnsi="Arial"/>
                <w:sz w:val="17"/>
                <w:szCs w:val="17"/>
                <w:b w:val="1"/>
                <w:bCs w:val="1"/>
                <w:color w:val="auto"/>
              </w:rPr>
              <w:t>March 31, 2018</w:t>
            </w: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$40</w:t>
            </w:r>
          </w:p>
        </w:tc>
        <w:tc>
          <w:tcPr>
            <w:tcW w:w="10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$428,859</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$531,193</w:t>
            </w:r>
          </w:p>
        </w:tc>
        <w:tc>
          <w:tcPr>
            <w:tcW w:w="16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($113,788)</w:t>
            </w:r>
          </w:p>
        </w:tc>
        <w:tc>
          <w:tcPr>
            <w:tcW w:w="12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($256,876)</w:t>
            </w:r>
          </w:p>
        </w:tc>
        <w:tc>
          <w:tcPr>
            <w:tcW w:w="1480" w:type="dxa"/>
            <w:vAlign w:val="bottom"/>
            <w:tcBorders>
              <w:bottom w:val="single" w:sz="8" w:color="auto"/>
            </w:tcBorders>
          </w:tcPr>
          <w:p>
            <w:pPr>
              <w:jc w:val="right"/>
              <w:ind w:right="75"/>
              <w:spacing w:after="0" w:line="183" w:lineRule="exact"/>
              <w:rPr>
                <w:sz w:val="20"/>
                <w:szCs w:val="20"/>
                <w:color w:val="auto"/>
              </w:rPr>
            </w:pPr>
            <w:r>
              <w:rPr>
                <w:rFonts w:ascii="Arial" w:cs="Arial" w:eastAsia="Arial" w:hAnsi="Arial"/>
                <w:sz w:val="17"/>
                <w:szCs w:val="17"/>
                <w:b w:val="1"/>
                <w:bCs w:val="1"/>
                <w:color w:val="auto"/>
              </w:rPr>
              <w:t>$3,150</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b w:val="1"/>
                <w:bCs w:val="1"/>
                <w:color w:val="auto"/>
              </w:rPr>
              <w:t>$592,578</w:t>
            </w:r>
          </w:p>
        </w:tc>
        <w:tc>
          <w:tcPr>
            <w:tcW w:w="0" w:type="dxa"/>
            <w:vAlign w:val="bottom"/>
          </w:tcPr>
          <w:p>
            <w:pPr>
              <w:spacing w:after="0"/>
              <w:rPr>
                <w:sz w:val="1"/>
                <w:szCs w:val="1"/>
                <w:color w:val="auto"/>
              </w:rPr>
            </w:pPr>
          </w:p>
        </w:tc>
      </w:tr>
    </w:tbl>
    <w:p>
      <w:pPr>
        <w:spacing w:after="0" w:line="396" w:lineRule="exact"/>
        <w:rPr>
          <w:sz w:val="20"/>
          <w:szCs w:val="20"/>
          <w:color w:val="auto"/>
        </w:rPr>
      </w:pPr>
    </w:p>
    <w:p>
      <w:pPr>
        <w:ind w:left="340" w:right="500" w:hanging="332"/>
        <w:spacing w:after="0" w:line="27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As described in Note 3, the Company adopted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effective January 1, 2019, which resulted in an increase to Retained earnings of less than $0.1 million.</w:t>
      </w:r>
    </w:p>
    <w:p>
      <w:pPr>
        <w:spacing w:after="0" w:line="64" w:lineRule="exact"/>
        <w:rPr>
          <w:rFonts w:ascii="Arial" w:cs="Arial" w:eastAsia="Arial" w:hAnsi="Arial"/>
          <w:sz w:val="18"/>
          <w:szCs w:val="18"/>
          <w:color w:val="auto"/>
        </w:rPr>
      </w:pPr>
    </w:p>
    <w:p>
      <w:pPr>
        <w:ind w:left="340" w:right="280" w:hanging="332"/>
        <w:spacing w:after="0" w:line="276"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adopted ASC 606 effective January 1, 2018, which resulted in a decrease to Retained earnings of $5.6 million and a $0.3 million decrease to Noncontrolling interest.</w:t>
      </w:r>
    </w:p>
    <w:p>
      <w:pPr>
        <w:spacing w:after="0" w:line="64"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adopted ASU 2016-16 effective January 1, 2018, which resulted in a $0.5 million increase to Retained earnings.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Recent Accounting Pronouncements</w:t>
      </w:r>
    </w:p>
    <w:p>
      <w:pPr>
        <w:spacing w:after="0" w:line="20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June 2016, an accounting update was issued which changes the way entities recognize impairment of many financial assets by requiring immediate recognition of credit losses expected to occur over their remaining life. We are continuing to evaluate the expected impact on our consolidated financial statements and related disclosures. We will adopt the new standard effective January 1, 2020.</w:t>
      </w:r>
    </w:p>
    <w:p>
      <w:pPr>
        <w:spacing w:after="0" w:line="124"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defined benefit plan disclosures. We do not expect a significant impact to our consolidated assets and liabilities, net earnings, or cash flows as a result of adopting this new standard. We plan to adopt the new standard effective January 1, 2020.</w:t>
      </w:r>
    </w:p>
    <w:p>
      <w:pPr>
        <w:spacing w:after="0" w:line="13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August 2018, an accounting update was issued which aims to improve the overall usefulness of disclosures to financial statement users and reduce unnecessary costs to companies when preparing fair value measurement disclosures. We are currently evaluating the impact of this update. We will adopt the new standard effective January 1, 2020.</w:t>
      </w:r>
    </w:p>
    <w:p>
      <w:pPr>
        <w:spacing w:after="0" w:line="137"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November 2018, an accounting update was issued which clarifies when transactions between collaborative arrangement participants are in the scope of ASC 606. The update also provides some guidance on presentation of transactions not in the scope of ASC 606. We are currently evaluating the impact of this update. We will adopt the new standard effective January 1, 2020.</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Management’s Discussion and Analysis (“MD&amp;A”) is intended to help the reader understand the results of operations and financial condition of the Company. MD&amp;A is provided as a supplement to, and should be read in conjunction with, our Consolidated Financial Statements and the accompanying Notes.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3"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This quarterly report and the documents incorporated or deemed to be incorporated by reference in this quarterly report contain statements concerning our future results and performance and other matters that are “forward-looking” statements within the meaning of Section 27A of the Securities Act and Section 21E of the Securities Exchange Act of 1934, as amended (the “Exchange Act”). The words “believe,” “expect,” “anticipate,” “intend,” “estimate,” “project,” ”look for,” “will,” “should” and similar expressions identify forward-looking statements, which generally are not historical in nature. Because forward-looking statements are subject to certain risks and uncertainties, (including, without limitation, those set forth in the Company’s most recent Annual Report on Form 10-K or prior Quarterly Reports on Form 10-Q) actual results may differ materially from those expressed or implied by such forward-looking statements.</w:t>
      </w:r>
    </w:p>
    <w:p>
      <w:pPr>
        <w:spacing w:after="0" w:line="139" w:lineRule="exact"/>
        <w:rPr>
          <w:sz w:val="20"/>
          <w:szCs w:val="20"/>
          <w:color w:val="auto"/>
        </w:rPr>
      </w:pPr>
    </w:p>
    <w:p>
      <w:pPr>
        <w:ind w:right="520" w:firstLine="648"/>
        <w:spacing w:after="0" w:line="276" w:lineRule="auto"/>
        <w:rPr>
          <w:sz w:val="20"/>
          <w:szCs w:val="20"/>
          <w:color w:val="auto"/>
        </w:rPr>
      </w:pPr>
      <w:r>
        <w:rPr>
          <w:rFonts w:ascii="Arial" w:cs="Arial" w:eastAsia="Arial" w:hAnsi="Arial"/>
          <w:sz w:val="18"/>
          <w:szCs w:val="18"/>
          <w:color w:val="auto"/>
        </w:rPr>
        <w:t>There are a number of risks, uncertainties, and other important factors that could cause actual results to differ materially from the forward-looking statements, including, but not limited to:</w:t>
      </w:r>
    </w:p>
    <w:p>
      <w:pPr>
        <w:spacing w:after="0" w:line="118" w:lineRule="exact"/>
        <w:rPr>
          <w:sz w:val="20"/>
          <w:szCs w:val="20"/>
          <w:color w:val="auto"/>
        </w:rPr>
      </w:pPr>
    </w:p>
    <w:p>
      <w:pPr>
        <w:ind w:left="1620" w:right="120" w:hanging="315"/>
        <w:spacing w:after="0" w:line="275" w:lineRule="auto"/>
        <w:tabs>
          <w:tab w:leader="none" w:pos="1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Conditions in the industries in which our Machine Clothing and Albany Engineered Composites segments compete, along with the general risks associated with macroeconomic conditions;</w:t>
      </w:r>
    </w:p>
    <w:p>
      <w:pPr>
        <w:spacing w:after="0" w:line="105" w:lineRule="exact"/>
        <w:rPr>
          <w:rFonts w:ascii="Times New Roman" w:cs="Times New Roman" w:eastAsia="Times New Roman" w:hAnsi="Times New Roman"/>
          <w:sz w:val="18"/>
          <w:szCs w:val="18"/>
          <w:color w:val="auto"/>
        </w:rPr>
      </w:pPr>
    </w:p>
    <w:p>
      <w:pPr>
        <w:ind w:left="1620" w:right="40" w:hanging="315"/>
        <w:spacing w:after="0" w:line="275" w:lineRule="auto"/>
        <w:tabs>
          <w:tab w:leader="none" w:pos="1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the Machine Clothing segment, greater than anticipated declines in the demand for publication grades of paper, or lower than anticipated growth in other paper grades;</w:t>
      </w:r>
    </w:p>
    <w:p>
      <w:pPr>
        <w:spacing w:after="0" w:line="105" w:lineRule="exact"/>
        <w:rPr>
          <w:rFonts w:ascii="Times New Roman" w:cs="Times New Roman" w:eastAsia="Times New Roman" w:hAnsi="Times New Roman"/>
          <w:sz w:val="18"/>
          <w:szCs w:val="18"/>
          <w:color w:val="auto"/>
        </w:rPr>
      </w:pPr>
    </w:p>
    <w:p>
      <w:pPr>
        <w:ind w:left="1620" w:right="580" w:hanging="315"/>
        <w:spacing w:after="0" w:line="275" w:lineRule="auto"/>
        <w:tabs>
          <w:tab w:leader="none" w:pos="1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 the Albany Engineered Composites segment, unanticipated reductions in demand, delays, technical difficulties or cancellations in aerospace programs that are expected to drive growth;</w:t>
      </w:r>
    </w:p>
    <w:p>
      <w:pPr>
        <w:spacing w:after="0" w:line="118"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achieve or maintain anticipated profitable growth in our Albany Engineered Composites segment; and</w:t>
      </w:r>
    </w:p>
    <w:p>
      <w:pPr>
        <w:spacing w:after="0" w:line="183" w:lineRule="exact"/>
        <w:rPr>
          <w:rFonts w:ascii="Times New Roman" w:cs="Times New Roman" w:eastAsia="Times New Roman" w:hAnsi="Times New Roman"/>
          <w:sz w:val="18"/>
          <w:szCs w:val="18"/>
          <w:color w:val="auto"/>
        </w:rPr>
      </w:pPr>
    </w:p>
    <w:p>
      <w:pPr>
        <w:ind w:left="1620" w:hanging="315"/>
        <w:spacing w:after="0"/>
        <w:tabs>
          <w:tab w:leader="none" w:pos="16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detailed in this report.</w:t>
      </w:r>
    </w:p>
    <w:p>
      <w:pPr>
        <w:spacing w:after="0" w:line="184"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Further information concerning important factors that could cause actual events or results to be materially different from the forward-looking statements can be found in “Business Environment Overview and Trends” sections of this quarterly report, as well as in Item 1A-“Risk Factors” section of our most recent Annual Report on Form 10-K. Statements expressing our assessments of the growth potential of the Albany Engineered Composites segment are not intended as forecasts of actual future growth, and should not be relied on as such. While we believe such assessments to have a reasonable basis, such assessments are, by their nature, inherently uncertain. This report sets forth a number of assumptions regarding these assessments, including projected timing and volume of demand for aircraft and for LEAP aircraft engines. Such assumptions could prove incorrect. Although we believe the expectations reflected in our other forward-looking statements are based on reasonable assumptions, it is not possible to foresee or identify all factors that could have a material and negative impact on our future performance. The forward-looking statements included or incorporated by reference in this report are made on the basis of our assumptions and analyses, as of the time the</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466" w:right="259" w:bottom="1440" w:gutter="0" w:footer="0" w:header="0"/>
        </w:sectPr>
      </w:pPr>
    </w:p>
    <w:bookmarkStart w:id="33" w:name="page34"/>
    <w:bookmarkEnd w:id="33"/>
    <w:p>
      <w:pPr>
        <w:ind w:right="600"/>
        <w:spacing w:after="0" w:line="276" w:lineRule="auto"/>
        <w:rPr>
          <w:sz w:val="20"/>
          <w:szCs w:val="20"/>
          <w:color w:val="auto"/>
        </w:rPr>
      </w:pPr>
      <w:r>
        <w:rPr>
          <w:rFonts w:ascii="Arial" w:cs="Arial" w:eastAsia="Arial" w:hAnsi="Arial"/>
          <w:sz w:val="18"/>
          <w:szCs w:val="18"/>
          <w:color w:val="auto"/>
        </w:rPr>
        <w:t>statements are made, in light of our experience and perception of historical conditions, expected future developments, and other factors believed to be appropriate under the circumstances.</w:t>
      </w:r>
    </w:p>
    <w:p>
      <w:pPr>
        <w:spacing w:after="0" w:line="10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Except as otherwise required by the federal securities laws, we disclaim any obligations or undertaking to publicly release any updates or revisions to any forward-looking statement contained or incorporated by reference in this report to reflect any change in our expectations with regard thereto or any change in events, conditions or circumstances on which any such statement is based.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Environment Overview and Trends</w:t>
      </w:r>
    </w:p>
    <w:p>
      <w:pPr>
        <w:spacing w:after="0" w:line="198"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Our reportable segments, Machine Clothing (MC) and Albany Engineered Composites (AEC), draw on the same advanced textiles and materials processing capabilities, and compete on the basis of product-based advantage that is grounded in those core capabilities.</w:t>
      </w:r>
    </w:p>
    <w:p>
      <w:pPr>
        <w:spacing w:after="0" w:line="132" w:lineRule="exact"/>
        <w:rPr>
          <w:sz w:val="20"/>
          <w:szCs w:val="20"/>
          <w:color w:val="auto"/>
        </w:rPr>
      </w:pPr>
    </w:p>
    <w:p>
      <w:pPr>
        <w:ind w:right="20" w:firstLine="648"/>
        <w:spacing w:after="0" w:line="239" w:lineRule="auto"/>
        <w:rPr>
          <w:sz w:val="20"/>
          <w:szCs w:val="20"/>
          <w:color w:val="auto"/>
        </w:rPr>
      </w:pPr>
      <w:r>
        <w:rPr>
          <w:rFonts w:ascii="Arial" w:cs="Arial" w:eastAsia="Arial" w:hAnsi="Arial"/>
          <w:sz w:val="18"/>
          <w:szCs w:val="18"/>
          <w:color w:val="auto"/>
        </w:rPr>
        <w:t>The MC segment is the Company’s long-established core business and primary generator of cash. While it has suffered from well-documented declines in publication grades in the Company’s traditional markets, the paper and paperboard industry is still expected to grow slightly on a global basis, driven by demand for packaging and tissue grades, as well as the expansion of paper consumption and production in Asia and South America. We feel we are now well-positioned in key markets, with high-quality, low-cost production in growth markets, substantially lower fixed costs in mature markets, and continued strength in new product development, technical product support, and manufacturing technology. Because of pricing pressures and industry overcapacity, the machine clothing and paper industries will continue to face top line pressure. Despite continued market pressure on revenue, the business retains the potential for maintaining stable earnings in the future. It has been a significant generator of cash, and we seek to maintain the cash-generating potential of this business by maintaining the low costs that we achieved through continuous focus on cost reduction initiatives, and competing vigorously by using our differentiated and technically superior products to reduce our customers’ total cost of operation and improve their paper quality.</w:t>
      </w:r>
    </w:p>
    <w:p>
      <w:pPr>
        <w:spacing w:after="0" w:line="140" w:lineRule="exact"/>
        <w:rPr>
          <w:sz w:val="20"/>
          <w:szCs w:val="20"/>
          <w:color w:val="auto"/>
        </w:rPr>
      </w:pPr>
    </w:p>
    <w:p>
      <w:pPr>
        <w:ind w:right="80" w:firstLine="648"/>
        <w:spacing w:after="0" w:line="239" w:lineRule="auto"/>
        <w:rPr>
          <w:sz w:val="20"/>
          <w:szCs w:val="20"/>
          <w:color w:val="auto"/>
        </w:rPr>
      </w:pPr>
      <w:r>
        <w:rPr>
          <w:rFonts w:ascii="Arial" w:cs="Arial" w:eastAsia="Arial" w:hAnsi="Arial"/>
          <w:sz w:val="18"/>
          <w:szCs w:val="18"/>
          <w:color w:val="auto"/>
        </w:rPr>
        <w:t>The AEC segment provides significant growth potential for our Company both near and long term. Our strategy is to grow by focusing our proprietary 3D-woven technology, as well as our non-3D technology capabilities, on high-value aerospace (both commercial and defense) applications, while at the same time performing successfully on our portfolio of growth programs. AEC (including Albany Safran Composites, LLC (ASC), in which our customer SAFRAN Group owns a 10 percent noncontrolling interest) supplies a number of customers in the aerospace industry. AEC’s largest aerospace customer is the SAFRAN Group and sales to SAFRAN, through ASC, (consisting primarily of fan blades and cases for CFM’s LEAP engine) accounted for approximately 19 percent of the Company’s consolidated net sales in 2018. AEC, through ASC, also supplies 3D-woven composite fan cases for the GE9X engine. AEC’s current portfolio of non-3D programs includes components for the F-35, fuselage components for the Boeing 787, components for the CH-53K helicopter, vacuum waste tanks for Boeing 7-Series aircraft, and missile bodies for Lockheed Martin’s JASSM air-to-surface missiles. AEC is actively engaged in research to develop new applications in both commercial and defense aircraft engine and airframe markets. In 2018, approximately 25 percent of AEC sales were related to U.S. government contracts or programs.</w:t>
      </w:r>
    </w:p>
    <w:p>
      <w:pPr>
        <w:spacing w:after="0" w:line="2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68" w:right="27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 xml:space="preserve">Consolidated </w:t>
      </w:r>
      <w:r>
        <w:rPr>
          <w:rFonts w:ascii="Arial" w:cs="Arial" w:eastAsia="Arial" w:hAnsi="Arial"/>
          <w:sz w:val="18"/>
          <w:szCs w:val="18"/>
          <w:b w:val="1"/>
          <w:bCs w:val="1"/>
          <w:color w:val="auto"/>
        </w:rPr>
        <w:t>Results of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880" w:type="dxa"/>
            <w:vAlign w:val="bottom"/>
            <w:tcBorders>
              <w:top w:val="single" w:sz="8" w:color="auto"/>
            </w:tcBorders>
          </w:tcPr>
          <w:p>
            <w:pPr>
              <w:spacing w:after="0"/>
              <w:rPr>
                <w:sz w:val="16"/>
                <w:szCs w:val="16"/>
                <w:color w:val="auto"/>
              </w:rPr>
            </w:pPr>
          </w:p>
        </w:tc>
        <w:tc>
          <w:tcPr>
            <w:tcW w:w="5200" w:type="dxa"/>
            <w:vAlign w:val="bottom"/>
            <w:tcBorders>
              <w:top w:val="single" w:sz="8" w:color="auto"/>
            </w:tcBorders>
            <w:gridSpan w:val="2"/>
          </w:tcPr>
          <w:p>
            <w:pPr>
              <w:jc w:val="right"/>
              <w:ind w:right="530"/>
              <w:spacing w:after="0" w:line="191" w:lineRule="exact"/>
              <w:rPr>
                <w:sz w:val="20"/>
                <w:szCs w:val="20"/>
                <w:color w:val="auto"/>
              </w:rPr>
            </w:pPr>
            <w:r>
              <w:rPr>
                <w:rFonts w:ascii="Arial" w:cs="Arial" w:eastAsia="Arial" w:hAnsi="Arial"/>
                <w:sz w:val="18"/>
                <w:szCs w:val="18"/>
                <w:b w:val="1"/>
                <w:bCs w:val="1"/>
                <w:color w:val="auto"/>
              </w:rPr>
              <w:t>Three months ended</w:t>
            </w:r>
          </w:p>
        </w:tc>
        <w:tc>
          <w:tcPr>
            <w:tcW w:w="13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27"/>
        </w:trPr>
        <w:tc>
          <w:tcPr>
            <w:tcW w:w="20" w:type="dxa"/>
            <w:vAlign w:val="bottom"/>
          </w:tcPr>
          <w:p>
            <w:pPr>
              <w:spacing w:after="0"/>
              <w:rPr>
                <w:sz w:val="19"/>
                <w:szCs w:val="19"/>
                <w:color w:val="auto"/>
              </w:rPr>
            </w:pPr>
          </w:p>
        </w:tc>
        <w:tc>
          <w:tcPr>
            <w:tcW w:w="488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b w:val="1"/>
                <w:bCs w:val="1"/>
                <w:color w:val="auto"/>
              </w:rPr>
              <w:t>March 31,</w:t>
            </w:r>
          </w:p>
        </w:tc>
        <w:tc>
          <w:tcPr>
            <w:tcW w:w="13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20" w:type="dxa"/>
            <w:vAlign w:val="bottom"/>
            <w:tcBorders>
              <w:bottom w:val="single" w:sz="8" w:color="auto"/>
            </w:tcBorders>
          </w:tcPr>
          <w:p>
            <w:pPr>
              <w:spacing w:after="0"/>
              <w:rPr>
                <w:sz w:val="17"/>
                <w:szCs w:val="17"/>
                <w:color w:val="auto"/>
              </w:rPr>
            </w:pPr>
          </w:p>
        </w:tc>
        <w:tc>
          <w:tcPr>
            <w:tcW w:w="4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 thousands, except percentages)</w:t>
            </w:r>
          </w:p>
        </w:tc>
        <w:tc>
          <w:tcPr>
            <w:tcW w:w="3260" w:type="dxa"/>
            <w:vAlign w:val="bottom"/>
            <w:tcBorders>
              <w:bottom w:val="single" w:sz="8" w:color="auto"/>
            </w:tcBorders>
          </w:tcPr>
          <w:p>
            <w:pPr>
              <w:jc w:val="right"/>
              <w:ind w:right="890"/>
              <w:spacing w:after="0" w:line="196" w:lineRule="exact"/>
              <w:rPr>
                <w:sz w:val="20"/>
                <w:szCs w:val="20"/>
                <w:color w:val="auto"/>
              </w:rPr>
            </w:pPr>
            <w:r>
              <w:rPr>
                <w:rFonts w:ascii="Arial" w:cs="Arial" w:eastAsia="Arial" w:hAnsi="Arial"/>
                <w:sz w:val="18"/>
                <w:szCs w:val="18"/>
                <w:b w:val="1"/>
                <w:bCs w:val="1"/>
                <w:color w:val="auto"/>
              </w:rPr>
              <w:t>2019</w:t>
            </w:r>
          </w:p>
        </w:tc>
        <w:tc>
          <w:tcPr>
            <w:tcW w:w="194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b w:val="1"/>
                <w:bCs w:val="1"/>
                <w:color w:val="auto"/>
              </w:rPr>
              <w:t>2018</w:t>
            </w:r>
          </w:p>
        </w:tc>
        <w:tc>
          <w:tcPr>
            <w:tcW w:w="132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 Change</w:t>
            </w:r>
          </w:p>
        </w:tc>
        <w:tc>
          <w:tcPr>
            <w:tcW w:w="20" w:type="dxa"/>
            <w:vAlign w:val="bottom"/>
          </w:tcPr>
          <w:p>
            <w:pPr>
              <w:spacing w:after="0"/>
              <w:rPr>
                <w:sz w:val="17"/>
                <w:szCs w:val="17"/>
                <w:color w:val="auto"/>
              </w:rPr>
            </w:pPr>
          </w:p>
        </w:tc>
      </w:tr>
      <w:tr>
        <w:trPr>
          <w:trHeight w:val="171"/>
        </w:trPr>
        <w:tc>
          <w:tcPr>
            <w:tcW w:w="4900" w:type="dxa"/>
            <w:vAlign w:val="bottom"/>
            <w:gridSpan w:val="2"/>
          </w:tcPr>
          <w:p>
            <w:pPr>
              <w:spacing w:after="0" w:line="171" w:lineRule="exact"/>
              <w:rPr>
                <w:sz w:val="20"/>
                <w:szCs w:val="20"/>
                <w:color w:val="auto"/>
              </w:rPr>
            </w:pPr>
            <w:r>
              <w:rPr>
                <w:rFonts w:ascii="Arial" w:cs="Arial" w:eastAsia="Arial" w:hAnsi="Arial"/>
                <w:sz w:val="18"/>
                <w:szCs w:val="18"/>
                <w:color w:val="auto"/>
              </w:rPr>
              <w:t>Machine Clothing</w:t>
            </w:r>
          </w:p>
        </w:tc>
        <w:tc>
          <w:tcPr>
            <w:tcW w:w="326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$144,334</w:t>
            </w:r>
          </w:p>
        </w:tc>
        <w:tc>
          <w:tcPr>
            <w:tcW w:w="1940" w:type="dxa"/>
            <w:vAlign w:val="bottom"/>
          </w:tcPr>
          <w:p>
            <w:pPr>
              <w:jc w:val="right"/>
              <w:ind w:right="70"/>
              <w:spacing w:after="0" w:line="171" w:lineRule="exact"/>
              <w:rPr>
                <w:sz w:val="20"/>
                <w:szCs w:val="20"/>
                <w:color w:val="auto"/>
              </w:rPr>
            </w:pPr>
            <w:r>
              <w:rPr>
                <w:rFonts w:ascii="Arial" w:cs="Arial" w:eastAsia="Arial" w:hAnsi="Arial"/>
                <w:sz w:val="18"/>
                <w:szCs w:val="18"/>
                <w:color w:val="auto"/>
              </w:rPr>
              <w:t>$141,773</w:t>
            </w:r>
          </w:p>
        </w:tc>
        <w:tc>
          <w:tcPr>
            <w:tcW w:w="1320" w:type="dxa"/>
            <w:vAlign w:val="bottom"/>
          </w:tcPr>
          <w:p>
            <w:pPr>
              <w:jc w:val="right"/>
              <w:spacing w:after="0" w:line="171"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4"/>
                <w:szCs w:val="14"/>
                <w:color w:val="auto"/>
              </w:rPr>
            </w:pPr>
          </w:p>
        </w:tc>
      </w:tr>
      <w:tr>
        <w:trPr>
          <w:trHeight w:val="227"/>
        </w:trPr>
        <w:tc>
          <w:tcPr>
            <w:tcW w:w="4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Albany Engineered Composites</w:t>
            </w:r>
          </w:p>
        </w:tc>
        <w:tc>
          <w:tcPr>
            <w:tcW w:w="3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107,039</w:t>
            </w:r>
          </w:p>
        </w:tc>
        <w:tc>
          <w:tcPr>
            <w:tcW w:w="1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81,830</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30.8%</w:t>
            </w:r>
          </w:p>
        </w:tc>
      </w:tr>
      <w:tr>
        <w:trPr>
          <w:trHeight w:val="196"/>
        </w:trPr>
        <w:tc>
          <w:tcPr>
            <w:tcW w:w="490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Total</w:t>
            </w:r>
          </w:p>
        </w:tc>
        <w:tc>
          <w:tcPr>
            <w:tcW w:w="3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$251,373</w:t>
            </w:r>
          </w:p>
        </w:tc>
        <w:tc>
          <w:tcPr>
            <w:tcW w:w="194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$223,603</w:t>
            </w:r>
          </w:p>
        </w:tc>
        <w:tc>
          <w:tcPr>
            <w:tcW w:w="134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12.4%</w:t>
            </w: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first-quarter 2019 Net sales, excluding the impact of currency translation effects: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72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Decrease</w:t>
            </w:r>
          </w:p>
        </w:tc>
        <w:tc>
          <w:tcPr>
            <w:tcW w:w="1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due to</w:t>
            </w:r>
          </w:p>
        </w:tc>
        <w:tc>
          <w:tcPr>
            <w:tcW w:w="1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8"/>
              </w:rPr>
              <w:t>% Change</w:t>
            </w:r>
          </w:p>
        </w:tc>
      </w:tr>
      <w:tr>
        <w:trPr>
          <w:trHeight w:val="203"/>
        </w:trPr>
        <w:tc>
          <w:tcPr>
            <w:tcW w:w="37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34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changes in</w:t>
            </w:r>
          </w:p>
        </w:tc>
        <w:tc>
          <w:tcPr>
            <w:tcW w:w="13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Q1 2019</w:t>
            </w:r>
          </w:p>
        </w:tc>
        <w:tc>
          <w:tcPr>
            <w:tcW w:w="12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8"/>
              </w:rPr>
              <w:t>Net sales</w:t>
            </w:r>
          </w:p>
        </w:tc>
        <w:tc>
          <w:tcPr>
            <w:tcW w:w="18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rPr>
              <w:t>compared to Q1</w:t>
            </w:r>
          </w:p>
        </w:tc>
      </w:tr>
      <w:tr>
        <w:trPr>
          <w:trHeight w:val="203"/>
        </w:trPr>
        <w:tc>
          <w:tcPr>
            <w:tcW w:w="3720" w:type="dxa"/>
            <w:vAlign w:val="bottom"/>
          </w:tcPr>
          <w:p>
            <w:pPr>
              <w:spacing w:after="0"/>
              <w:rPr>
                <w:sz w:val="17"/>
                <w:szCs w:val="17"/>
                <w:color w:val="auto"/>
              </w:rPr>
            </w:pPr>
          </w:p>
        </w:tc>
        <w:tc>
          <w:tcPr>
            <w:tcW w:w="2000" w:type="dxa"/>
            <w:vAlign w:val="bottom"/>
          </w:tcPr>
          <w:p>
            <w:pPr>
              <w:jc w:val="center"/>
              <w:ind w:left="310"/>
              <w:spacing w:after="0" w:line="202" w:lineRule="exact"/>
              <w:rPr>
                <w:sz w:val="20"/>
                <w:szCs w:val="20"/>
                <w:color w:val="auto"/>
              </w:rPr>
            </w:pPr>
            <w:r>
              <w:rPr>
                <w:rFonts w:ascii="Arial" w:cs="Arial" w:eastAsia="Arial" w:hAnsi="Arial"/>
                <w:sz w:val="18"/>
                <w:szCs w:val="18"/>
                <w:b w:val="1"/>
                <w:bCs w:val="1"/>
                <w:color w:val="auto"/>
                <w:w w:val="99"/>
              </w:rPr>
              <w:t>Net sales as</w:t>
            </w:r>
          </w:p>
        </w:tc>
        <w:tc>
          <w:tcPr>
            <w:tcW w:w="13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currency</w:t>
            </w:r>
          </w:p>
        </w:tc>
        <w:tc>
          <w:tcPr>
            <w:tcW w:w="13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sales on</w:t>
            </w:r>
          </w:p>
        </w:tc>
        <w:tc>
          <w:tcPr>
            <w:tcW w:w="1260" w:type="dxa"/>
            <w:vAlign w:val="bottom"/>
          </w:tcPr>
          <w:p>
            <w:pPr>
              <w:jc w:val="center"/>
              <w:ind w:right="170"/>
              <w:spacing w:after="0" w:line="202" w:lineRule="exact"/>
              <w:rPr>
                <w:sz w:val="20"/>
                <w:szCs w:val="20"/>
                <w:color w:val="auto"/>
              </w:rPr>
            </w:pPr>
            <w:r>
              <w:rPr>
                <w:rFonts w:ascii="Arial" w:cs="Arial" w:eastAsia="Arial" w:hAnsi="Arial"/>
                <w:sz w:val="18"/>
                <w:szCs w:val="18"/>
                <w:b w:val="1"/>
                <w:bCs w:val="1"/>
                <w:color w:val="auto"/>
                <w:w w:val="99"/>
              </w:rPr>
              <w:t>as</w:t>
            </w:r>
          </w:p>
        </w:tc>
        <w:tc>
          <w:tcPr>
            <w:tcW w:w="18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2018, excluding</w:t>
            </w:r>
          </w:p>
        </w:tc>
      </w:tr>
      <w:tr>
        <w:trPr>
          <w:trHeight w:val="203"/>
        </w:trPr>
        <w:tc>
          <w:tcPr>
            <w:tcW w:w="3720" w:type="dxa"/>
            <w:vAlign w:val="bottom"/>
          </w:tcPr>
          <w:p>
            <w:pPr>
              <w:spacing w:after="0"/>
              <w:rPr>
                <w:sz w:val="17"/>
                <w:szCs w:val="17"/>
                <w:color w:val="auto"/>
              </w:rPr>
            </w:pPr>
          </w:p>
        </w:tc>
        <w:tc>
          <w:tcPr>
            <w:tcW w:w="2000" w:type="dxa"/>
            <w:vAlign w:val="bottom"/>
          </w:tcPr>
          <w:p>
            <w:pPr>
              <w:jc w:val="center"/>
              <w:ind w:left="250"/>
              <w:spacing w:after="0" w:line="202" w:lineRule="exact"/>
              <w:rPr>
                <w:sz w:val="20"/>
                <w:szCs w:val="20"/>
                <w:color w:val="auto"/>
              </w:rPr>
            </w:pPr>
            <w:r>
              <w:rPr>
                <w:rFonts w:ascii="Arial" w:cs="Arial" w:eastAsia="Arial" w:hAnsi="Arial"/>
                <w:sz w:val="18"/>
                <w:szCs w:val="18"/>
                <w:b w:val="1"/>
                <w:bCs w:val="1"/>
                <w:color w:val="auto"/>
                <w:w w:val="99"/>
              </w:rPr>
              <w:t>reported,</w:t>
            </w:r>
          </w:p>
        </w:tc>
        <w:tc>
          <w:tcPr>
            <w:tcW w:w="13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translation</w:t>
            </w:r>
          </w:p>
        </w:tc>
        <w:tc>
          <w:tcPr>
            <w:tcW w:w="130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8"/>
              </w:rPr>
              <w:t>same basis</w:t>
            </w:r>
          </w:p>
        </w:tc>
        <w:tc>
          <w:tcPr>
            <w:tcW w:w="1260" w:type="dxa"/>
            <w:vAlign w:val="bottom"/>
          </w:tcPr>
          <w:p>
            <w:pPr>
              <w:jc w:val="center"/>
              <w:ind w:right="150"/>
              <w:spacing w:after="0" w:line="202" w:lineRule="exact"/>
              <w:rPr>
                <w:sz w:val="20"/>
                <w:szCs w:val="20"/>
                <w:color w:val="auto"/>
              </w:rPr>
            </w:pPr>
            <w:r>
              <w:rPr>
                <w:rFonts w:ascii="Arial" w:cs="Arial" w:eastAsia="Arial" w:hAnsi="Arial"/>
                <w:sz w:val="18"/>
                <w:szCs w:val="18"/>
                <w:b w:val="1"/>
                <w:bCs w:val="1"/>
                <w:color w:val="auto"/>
                <w:w w:val="99"/>
              </w:rPr>
              <w:t>reported,</w:t>
            </w:r>
          </w:p>
        </w:tc>
        <w:tc>
          <w:tcPr>
            <w:tcW w:w="1820" w:type="dxa"/>
            <w:vAlign w:val="bottom"/>
            <w:gridSpan w:val="2"/>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currency rate</w:t>
            </w:r>
          </w:p>
        </w:tc>
      </w:tr>
      <w:tr>
        <w:trPr>
          <w:trHeight w:val="227"/>
        </w:trPr>
        <w:tc>
          <w:tcPr>
            <w:tcW w:w="3720" w:type="dxa"/>
            <w:vAlign w:val="bottom"/>
          </w:tcPr>
          <w:p>
            <w:pPr>
              <w:spacing w:after="0"/>
              <w:rPr>
                <w:sz w:val="20"/>
                <w:szCs w:val="20"/>
                <w:color w:val="auto"/>
              </w:rPr>
            </w:pPr>
            <w:r>
              <w:rPr>
                <w:rFonts w:ascii="Arial" w:cs="Arial" w:eastAsia="Arial" w:hAnsi="Arial"/>
                <w:sz w:val="18"/>
                <w:szCs w:val="18"/>
                <w:b w:val="1"/>
                <w:bCs w:val="1"/>
                <w:color w:val="auto"/>
              </w:rPr>
              <w:t>(in thousands, except percentages)</w:t>
            </w:r>
          </w:p>
        </w:tc>
        <w:tc>
          <w:tcPr>
            <w:tcW w:w="2000" w:type="dxa"/>
            <w:vAlign w:val="bottom"/>
          </w:tcPr>
          <w:p>
            <w:pPr>
              <w:jc w:val="center"/>
              <w:ind w:left="310"/>
              <w:spacing w:after="0"/>
              <w:rPr>
                <w:sz w:val="20"/>
                <w:szCs w:val="20"/>
                <w:color w:val="auto"/>
              </w:rPr>
            </w:pPr>
            <w:r>
              <w:rPr>
                <w:rFonts w:ascii="Arial" w:cs="Arial" w:eastAsia="Arial" w:hAnsi="Arial"/>
                <w:sz w:val="18"/>
                <w:szCs w:val="18"/>
                <w:b w:val="1"/>
                <w:bCs w:val="1"/>
                <w:color w:val="auto"/>
                <w:w w:val="98"/>
              </w:rPr>
              <w:t>Q1 2019</w:t>
            </w:r>
          </w:p>
        </w:tc>
        <w:tc>
          <w:tcPr>
            <w:tcW w:w="1340" w:type="dxa"/>
            <w:vAlign w:val="bottom"/>
          </w:tcPr>
          <w:p>
            <w:pPr>
              <w:jc w:val="center"/>
              <w:ind w:right="90"/>
              <w:spacing w:after="0"/>
              <w:rPr>
                <w:sz w:val="20"/>
                <w:szCs w:val="20"/>
                <w:color w:val="auto"/>
              </w:rPr>
            </w:pPr>
            <w:r>
              <w:rPr>
                <w:rFonts w:ascii="Arial" w:cs="Arial" w:eastAsia="Arial" w:hAnsi="Arial"/>
                <w:sz w:val="18"/>
                <w:szCs w:val="18"/>
                <w:b w:val="1"/>
                <w:bCs w:val="1"/>
                <w:color w:val="auto"/>
              </w:rPr>
              <w:t>rates</w:t>
            </w:r>
          </w:p>
        </w:tc>
        <w:tc>
          <w:tcPr>
            <w:tcW w:w="130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as Q1 2018</w:t>
            </w:r>
          </w:p>
        </w:tc>
        <w:tc>
          <w:tcPr>
            <w:tcW w:w="1260" w:type="dxa"/>
            <w:vAlign w:val="bottom"/>
          </w:tcPr>
          <w:p>
            <w:pPr>
              <w:jc w:val="center"/>
              <w:ind w:right="150"/>
              <w:spacing w:after="0"/>
              <w:rPr>
                <w:sz w:val="20"/>
                <w:szCs w:val="20"/>
                <w:color w:val="auto"/>
              </w:rPr>
            </w:pPr>
            <w:r>
              <w:rPr>
                <w:rFonts w:ascii="Arial" w:cs="Arial" w:eastAsia="Arial" w:hAnsi="Arial"/>
                <w:sz w:val="18"/>
                <w:szCs w:val="18"/>
                <w:b w:val="1"/>
                <w:bCs w:val="1"/>
                <w:color w:val="auto"/>
              </w:rPr>
              <w:t>Q1 2018</w:t>
            </w:r>
          </w:p>
        </w:tc>
        <w:tc>
          <w:tcPr>
            <w:tcW w:w="18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effects</w:t>
            </w:r>
          </w:p>
        </w:tc>
      </w:tr>
      <w:tr>
        <w:trPr>
          <w:trHeight w:val="171"/>
        </w:trPr>
        <w:tc>
          <w:tcPr>
            <w:tcW w:w="3720" w:type="dxa"/>
            <w:vAlign w:val="bottom"/>
            <w:tcBorders>
              <w:top w:val="single" w:sz="8" w:color="auto"/>
            </w:tcBorders>
          </w:tcPr>
          <w:p>
            <w:pPr>
              <w:spacing w:after="0" w:line="171" w:lineRule="exact"/>
              <w:rPr>
                <w:sz w:val="20"/>
                <w:szCs w:val="20"/>
                <w:color w:val="auto"/>
              </w:rPr>
            </w:pPr>
            <w:r>
              <w:rPr>
                <w:rFonts w:ascii="Arial" w:cs="Arial" w:eastAsia="Arial" w:hAnsi="Arial"/>
                <w:sz w:val="18"/>
                <w:szCs w:val="18"/>
                <w:color w:val="auto"/>
              </w:rPr>
              <w:t>Machine Clothing</w:t>
            </w:r>
          </w:p>
        </w:tc>
        <w:tc>
          <w:tcPr>
            <w:tcW w:w="2000" w:type="dxa"/>
            <w:vAlign w:val="bottom"/>
            <w:tcBorders>
              <w:top w:val="single" w:sz="8" w:color="auto"/>
            </w:tcBorders>
          </w:tcPr>
          <w:p>
            <w:pPr>
              <w:jc w:val="right"/>
              <w:ind w:right="10"/>
              <w:spacing w:after="0" w:line="171" w:lineRule="exact"/>
              <w:rPr>
                <w:sz w:val="20"/>
                <w:szCs w:val="20"/>
                <w:color w:val="auto"/>
              </w:rPr>
            </w:pPr>
            <w:r>
              <w:rPr>
                <w:rFonts w:ascii="Arial" w:cs="Arial" w:eastAsia="Arial" w:hAnsi="Arial"/>
                <w:sz w:val="18"/>
                <w:szCs w:val="18"/>
                <w:b w:val="1"/>
                <w:bCs w:val="1"/>
                <w:color w:val="auto"/>
              </w:rPr>
              <w:t>$144,334</w:t>
            </w:r>
          </w:p>
        </w:tc>
        <w:tc>
          <w:tcPr>
            <w:tcW w:w="134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$4,241</w:t>
            </w:r>
          </w:p>
        </w:tc>
        <w:tc>
          <w:tcPr>
            <w:tcW w:w="1300" w:type="dxa"/>
            <w:vAlign w:val="bottom"/>
            <w:tcBorders>
              <w:top w:val="single" w:sz="8" w:color="auto"/>
            </w:tcBorders>
          </w:tcPr>
          <w:p>
            <w:pPr>
              <w:jc w:val="right"/>
              <w:ind w:right="30"/>
              <w:spacing w:after="0" w:line="171" w:lineRule="exact"/>
              <w:rPr>
                <w:sz w:val="20"/>
                <w:szCs w:val="20"/>
                <w:color w:val="auto"/>
              </w:rPr>
            </w:pPr>
            <w:r>
              <w:rPr>
                <w:rFonts w:ascii="Arial" w:cs="Arial" w:eastAsia="Arial" w:hAnsi="Arial"/>
                <w:sz w:val="18"/>
                <w:szCs w:val="18"/>
                <w:color w:val="auto"/>
              </w:rPr>
              <w:t>$148,575</w:t>
            </w:r>
          </w:p>
        </w:tc>
        <w:tc>
          <w:tcPr>
            <w:tcW w:w="1260" w:type="dxa"/>
            <w:vAlign w:val="bottom"/>
            <w:tcBorders>
              <w:top w:val="single" w:sz="8" w:color="auto"/>
            </w:tcBorders>
          </w:tcPr>
          <w:p>
            <w:pPr>
              <w:jc w:val="right"/>
              <w:ind w:right="50"/>
              <w:spacing w:after="0" w:line="171" w:lineRule="exact"/>
              <w:rPr>
                <w:sz w:val="20"/>
                <w:szCs w:val="20"/>
                <w:color w:val="auto"/>
              </w:rPr>
            </w:pPr>
            <w:r>
              <w:rPr>
                <w:rFonts w:ascii="Arial" w:cs="Arial" w:eastAsia="Arial" w:hAnsi="Arial"/>
                <w:sz w:val="18"/>
                <w:szCs w:val="18"/>
                <w:color w:val="auto"/>
              </w:rPr>
              <w:t>$141,773</w:t>
            </w:r>
          </w:p>
        </w:tc>
        <w:tc>
          <w:tcPr>
            <w:tcW w:w="1800" w:type="dxa"/>
            <w:vAlign w:val="bottom"/>
            <w:tcBorders>
              <w:top w:val="single" w:sz="8" w:color="auto"/>
            </w:tcBorders>
          </w:tcPr>
          <w:p>
            <w:pPr>
              <w:jc w:val="right"/>
              <w:spacing w:after="0" w:line="171" w:lineRule="exact"/>
              <w:rPr>
                <w:sz w:val="20"/>
                <w:szCs w:val="20"/>
                <w:color w:val="auto"/>
              </w:rPr>
            </w:pPr>
            <w:r>
              <w:rPr>
                <w:rFonts w:ascii="Arial" w:cs="Arial" w:eastAsia="Arial" w:hAnsi="Arial"/>
                <w:sz w:val="18"/>
                <w:szCs w:val="18"/>
                <w:color w:val="auto"/>
              </w:rPr>
              <w:t>4.8%</w:t>
            </w:r>
          </w:p>
        </w:tc>
        <w:tc>
          <w:tcPr>
            <w:tcW w:w="20" w:type="dxa"/>
            <w:vAlign w:val="bottom"/>
          </w:tcPr>
          <w:p>
            <w:pPr>
              <w:spacing w:after="0"/>
              <w:rPr>
                <w:sz w:val="14"/>
                <w:szCs w:val="14"/>
                <w:color w:val="auto"/>
              </w:rPr>
            </w:pPr>
          </w:p>
        </w:tc>
      </w:tr>
      <w:tr>
        <w:trPr>
          <w:trHeight w:val="227"/>
        </w:trPr>
        <w:tc>
          <w:tcPr>
            <w:tcW w:w="3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2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107,039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108,926</w:t>
            </w:r>
          </w:p>
        </w:tc>
        <w:tc>
          <w:tcPr>
            <w:tcW w:w="1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81,830</w:t>
            </w:r>
          </w:p>
        </w:tc>
        <w:tc>
          <w:tcPr>
            <w:tcW w:w="18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33.1%</w:t>
            </w:r>
          </w:p>
        </w:tc>
      </w:tr>
      <w:tr>
        <w:trPr>
          <w:trHeight w:val="196"/>
        </w:trPr>
        <w:tc>
          <w:tcPr>
            <w:tcW w:w="37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2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$251,373</w:t>
            </w: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$6,128</w:t>
            </w:r>
          </w:p>
        </w:tc>
        <w:tc>
          <w:tcPr>
            <w:tcW w:w="13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$257,501</w:t>
            </w:r>
          </w:p>
        </w:tc>
        <w:tc>
          <w:tcPr>
            <w:tcW w:w="1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$223,603</w:t>
            </w:r>
          </w:p>
        </w:tc>
        <w:tc>
          <w:tcPr>
            <w:tcW w:w="182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15.2%</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left="660" w:right="100" w:hanging="328"/>
        <w:spacing w:after="0" w:line="255" w:lineRule="auto"/>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decreasing net sales by $6.1 million during the first quarter of 2019, as compared to 2018, principally due to the weakening of the euro and Chinese renminbi in the first quarter of 2019, compared to the first quarter of 2018.</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w:t>
      </w:r>
    </w:p>
    <w:p>
      <w:pPr>
        <w:spacing w:after="0" w:line="224"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increased 15.2% compared to the same period in 2018.</w:t>
      </w:r>
    </w:p>
    <w:p>
      <w:pPr>
        <w:spacing w:after="0" w:line="210" w:lineRule="exact"/>
        <w:rPr>
          <w:rFonts w:ascii="Times New Roman" w:cs="Times New Roman" w:eastAsia="Times New Roman" w:hAnsi="Times New Roman"/>
          <w:sz w:val="18"/>
          <w:szCs w:val="18"/>
          <w:color w:val="auto"/>
        </w:rPr>
      </w:pPr>
    </w:p>
    <w:p>
      <w:pPr>
        <w:ind w:left="1300" w:right="380" w:hanging="320"/>
        <w:spacing w:after="0" w:line="275" w:lineRule="auto"/>
        <w:tabs>
          <w:tab w:leader="none" w:pos="13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MC increased 4.8% principally due to global growth in sales for tissue and packaging grades, and in the North America market across all major grades.</w:t>
      </w:r>
    </w:p>
    <w:p>
      <w:pPr>
        <w:spacing w:after="0" w:line="13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 AEC increased 33.1% primarily driven by growth in the LEAP, and CH-53K programs.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Gross Profit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Gross profit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700" w:type="dxa"/>
            <w:vAlign w:val="bottom"/>
            <w:tcBorders>
              <w:top w:val="single" w:sz="8" w:color="auto"/>
            </w:tcBorders>
          </w:tcPr>
          <w:p>
            <w:pPr>
              <w:spacing w:after="0"/>
              <w:rPr>
                <w:sz w:val="16"/>
                <w:szCs w:val="16"/>
                <w:color w:val="auto"/>
              </w:rPr>
            </w:pPr>
          </w:p>
        </w:tc>
        <w:tc>
          <w:tcPr>
            <w:tcW w:w="5720" w:type="dxa"/>
            <w:vAlign w:val="bottom"/>
            <w:tcBorders>
              <w:top w:val="single" w:sz="8" w:color="auto"/>
            </w:tcBorders>
            <w:gridSpan w:val="2"/>
          </w:tcPr>
          <w:p>
            <w:pPr>
              <w:jc w:val="right"/>
              <w:ind w:right="1010"/>
              <w:spacing w:after="0" w:line="191"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r>
      <w:tr>
        <w:trPr>
          <w:trHeight w:val="203"/>
        </w:trPr>
        <w:tc>
          <w:tcPr>
            <w:tcW w:w="5700" w:type="dxa"/>
            <w:vAlign w:val="bottom"/>
          </w:tcPr>
          <w:p>
            <w:pPr>
              <w:spacing w:after="0"/>
              <w:rPr>
                <w:sz w:val="17"/>
                <w:szCs w:val="17"/>
                <w:color w:val="auto"/>
              </w:rPr>
            </w:pPr>
          </w:p>
        </w:tc>
        <w:tc>
          <w:tcPr>
            <w:tcW w:w="440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March 31,</w:t>
            </w: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40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2019</w:t>
            </w: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r>
      <w:tr>
        <w:trPr>
          <w:trHeight w:val="171"/>
        </w:trPr>
        <w:tc>
          <w:tcPr>
            <w:tcW w:w="570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4400" w:type="dxa"/>
            <w:vAlign w:val="bottom"/>
          </w:tcPr>
          <w:p>
            <w:pPr>
              <w:jc w:val="right"/>
              <w:ind w:right="410"/>
              <w:spacing w:after="0" w:line="171" w:lineRule="exact"/>
              <w:rPr>
                <w:sz w:val="20"/>
                <w:szCs w:val="20"/>
                <w:color w:val="auto"/>
              </w:rPr>
            </w:pPr>
            <w:r>
              <w:rPr>
                <w:rFonts w:ascii="Arial" w:cs="Arial" w:eastAsia="Arial" w:hAnsi="Arial"/>
                <w:sz w:val="18"/>
                <w:szCs w:val="18"/>
                <w:b w:val="1"/>
                <w:bCs w:val="1"/>
                <w:color w:val="auto"/>
              </w:rPr>
              <w:t>$74,528</w:t>
            </w:r>
          </w:p>
        </w:tc>
        <w:tc>
          <w:tcPr>
            <w:tcW w:w="1320" w:type="dxa"/>
            <w:vAlign w:val="bottom"/>
          </w:tcPr>
          <w:p>
            <w:pPr>
              <w:jc w:val="right"/>
              <w:spacing w:after="0" w:line="171" w:lineRule="exact"/>
              <w:rPr>
                <w:sz w:val="20"/>
                <w:szCs w:val="20"/>
                <w:color w:val="auto"/>
              </w:rPr>
            </w:pPr>
            <w:r>
              <w:rPr>
                <w:rFonts w:ascii="Arial" w:cs="Arial" w:eastAsia="Arial" w:hAnsi="Arial"/>
                <w:sz w:val="18"/>
                <w:szCs w:val="18"/>
                <w:color w:val="auto"/>
              </w:rPr>
              <w:t>$66,312</w:t>
            </w:r>
          </w:p>
        </w:tc>
        <w:tc>
          <w:tcPr>
            <w:tcW w:w="20" w:type="dxa"/>
            <w:vAlign w:val="bottom"/>
          </w:tcPr>
          <w:p>
            <w:pPr>
              <w:spacing w:after="0"/>
              <w:rPr>
                <w:sz w:val="14"/>
                <w:szCs w:val="14"/>
                <w:color w:val="auto"/>
              </w:rPr>
            </w:pPr>
          </w:p>
        </w:tc>
      </w:tr>
      <w:tr>
        <w:trPr>
          <w:trHeight w:val="203"/>
        </w:trPr>
        <w:tc>
          <w:tcPr>
            <w:tcW w:w="57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40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17,243</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11,524</w:t>
            </w:r>
          </w:p>
        </w:tc>
        <w:tc>
          <w:tcPr>
            <w:tcW w:w="20" w:type="dxa"/>
            <w:vAlign w:val="bottom"/>
          </w:tcPr>
          <w:p>
            <w:pPr>
              <w:spacing w:after="0"/>
              <w:rPr>
                <w:sz w:val="17"/>
                <w:szCs w:val="17"/>
                <w:color w:val="auto"/>
              </w:rPr>
            </w:pPr>
          </w:p>
        </w:tc>
      </w:tr>
      <w:tr>
        <w:trPr>
          <w:trHeight w:val="227"/>
        </w:trPr>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4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(54)</w:t>
            </w:r>
          </w:p>
        </w:tc>
      </w:tr>
      <w:tr>
        <w:trPr>
          <w:trHeight w:val="196"/>
        </w:trPr>
        <w:tc>
          <w:tcPr>
            <w:tcW w:w="5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4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$91,771</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$77,782</w:t>
            </w:r>
          </w:p>
        </w:tc>
        <w:tc>
          <w:tcPr>
            <w:tcW w:w="20" w:type="dxa"/>
            <w:vAlign w:val="bottom"/>
            <w:tcBorders>
              <w:bottom w:val="single" w:sz="8" w:color="auto"/>
            </w:tcBorders>
          </w:tcPr>
          <w:p>
            <w:pPr>
              <w:spacing w:after="0"/>
              <w:rPr>
                <w:sz w:val="17"/>
                <w:szCs w:val="17"/>
                <w:color w:val="auto"/>
              </w:rPr>
            </w:pPr>
          </w:p>
        </w:tc>
      </w:tr>
      <w:tr>
        <w:trPr>
          <w:trHeight w:val="196"/>
        </w:trPr>
        <w:tc>
          <w:tcPr>
            <w:tcW w:w="5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44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b w:val="1"/>
                <w:bCs w:val="1"/>
                <w:color w:val="auto"/>
              </w:rPr>
              <w:t>36.5%</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34.8%</w:t>
            </w:r>
          </w:p>
        </w:tc>
        <w:tc>
          <w:tcPr>
            <w:tcW w:w="20" w:type="dxa"/>
            <w:vAlign w:val="bottom"/>
            <w:tcBorders>
              <w:bottom w:val="single" w:sz="8" w:color="auto"/>
            </w:tcBorders>
          </w:tcPr>
          <w:p>
            <w:pPr>
              <w:spacing w:after="0"/>
              <w:rPr>
                <w:sz w:val="17"/>
                <w:szCs w:val="17"/>
                <w:color w:val="auto"/>
              </w:rPr>
            </w:pPr>
          </w:p>
        </w:tc>
      </w:tr>
    </w:tbl>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right="660" w:firstLine="648"/>
        <w:spacing w:after="0" w:line="276" w:lineRule="auto"/>
        <w:rPr>
          <w:sz w:val="20"/>
          <w:szCs w:val="20"/>
          <w:color w:val="auto"/>
        </w:rPr>
      </w:pPr>
      <w:r>
        <w:rPr>
          <w:rFonts w:ascii="Arial" w:cs="Arial" w:eastAsia="Arial" w:hAnsi="Arial"/>
          <w:sz w:val="18"/>
          <w:szCs w:val="18"/>
          <w:color w:val="auto"/>
        </w:rPr>
        <w:t>The increase in 2019 gross profit, as compared to the same period in 2018, was principally due to the net effect of the following individually significant items:</w:t>
      </w:r>
    </w:p>
    <w:p>
      <w:pPr>
        <w:spacing w:after="0" w:line="10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MC gross profit, principally due to higher sales and improved labor productivity.</w:t>
      </w:r>
    </w:p>
    <w:p>
      <w:pPr>
        <w:spacing w:after="0" w:line="197" w:lineRule="exact"/>
        <w:rPr>
          <w:rFonts w:ascii="Times New Roman" w:cs="Times New Roman" w:eastAsia="Times New Roman" w:hAnsi="Times New Roman"/>
          <w:sz w:val="18"/>
          <w:szCs w:val="18"/>
          <w:color w:val="auto"/>
        </w:rPr>
      </w:pPr>
    </w:p>
    <w:p>
      <w:pPr>
        <w:ind w:left="660" w:right="160" w:hanging="328"/>
        <w:spacing w:after="0" w:line="255" w:lineRule="auto"/>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An increase in AEC gross profit, principally due to higher sales, improved labor productivity, and the favorable effect of changes in the estimated profitability of long-term contracts, which increased Gross profit by $0.6 million in the first quarter of 2019, compared to a reduction of $0.7 million in 2018.</w:t>
      </w:r>
    </w:p>
    <w:p>
      <w:pPr>
        <w:spacing w:after="0" w:line="3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did not have a significant effect on gross profit in 2019.</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Technical, General, and Research (STG&amp;R)</w:t>
      </w:r>
    </w:p>
    <w:p>
      <w:pPr>
        <w:spacing w:after="0" w:line="200" w:lineRule="exact"/>
        <w:rPr>
          <w:sz w:val="20"/>
          <w:szCs w:val="20"/>
          <w:color w:val="auto"/>
        </w:rPr>
      </w:pPr>
    </w:p>
    <w:p>
      <w:pPr>
        <w:ind w:right="800" w:firstLine="648"/>
        <w:spacing w:after="0" w:line="276" w:lineRule="auto"/>
        <w:rPr>
          <w:sz w:val="20"/>
          <w:szCs w:val="20"/>
          <w:color w:val="auto"/>
        </w:rPr>
      </w:pPr>
      <w:r>
        <w:rPr>
          <w:rFonts w:ascii="Arial" w:cs="Arial" w:eastAsia="Arial" w:hAnsi="Arial"/>
          <w:sz w:val="18"/>
          <w:szCs w:val="18"/>
          <w:color w:val="auto"/>
        </w:rPr>
        <w:t>Selling, Technical, General and Research (STG&amp;R) expenses include; selling, general, administrative, technical and research expenses.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STG&amp;R expenses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20" w:type="dxa"/>
            <w:vAlign w:val="bottom"/>
            <w:tcBorders>
              <w:top w:val="single" w:sz="8" w:color="auto"/>
            </w:tcBorders>
          </w:tcPr>
          <w:p>
            <w:pPr>
              <w:spacing w:after="0"/>
              <w:rPr>
                <w:sz w:val="16"/>
                <w:szCs w:val="16"/>
                <w:color w:val="auto"/>
              </w:rPr>
            </w:pPr>
          </w:p>
        </w:tc>
        <w:tc>
          <w:tcPr>
            <w:tcW w:w="46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Three months ended</w:t>
            </w:r>
          </w:p>
        </w:tc>
        <w:tc>
          <w:tcPr>
            <w:tcW w:w="1260" w:type="dxa"/>
            <w:vAlign w:val="bottom"/>
            <w:tcBorders>
              <w:top w:val="single" w:sz="8" w:color="auto"/>
            </w:tcBorders>
          </w:tcPr>
          <w:p>
            <w:pPr>
              <w:spacing w:after="0"/>
              <w:rPr>
                <w:sz w:val="16"/>
                <w:szCs w:val="16"/>
                <w:color w:val="auto"/>
              </w:rPr>
            </w:pPr>
          </w:p>
        </w:tc>
      </w:tr>
      <w:tr>
        <w:trPr>
          <w:trHeight w:val="203"/>
        </w:trPr>
        <w:tc>
          <w:tcPr>
            <w:tcW w:w="5520" w:type="dxa"/>
            <w:vAlign w:val="bottom"/>
          </w:tcPr>
          <w:p>
            <w:pPr>
              <w:spacing w:after="0"/>
              <w:rPr>
                <w:sz w:val="17"/>
                <w:szCs w:val="17"/>
                <w:color w:val="auto"/>
              </w:rPr>
            </w:pPr>
          </w:p>
        </w:tc>
        <w:tc>
          <w:tcPr>
            <w:tcW w:w="46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17"/>
                <w:szCs w:val="17"/>
                <w:color w:val="auto"/>
              </w:rPr>
            </w:pPr>
          </w:p>
        </w:tc>
      </w:tr>
      <w:tr>
        <w:trPr>
          <w:trHeight w:val="227"/>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64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r>
      <w:tr>
        <w:trPr>
          <w:trHeight w:val="171"/>
        </w:trPr>
        <w:tc>
          <w:tcPr>
            <w:tcW w:w="552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4640" w:type="dxa"/>
            <w:vAlign w:val="bottom"/>
          </w:tcPr>
          <w:p>
            <w:pPr>
              <w:jc w:val="right"/>
              <w:ind w:right="710"/>
              <w:spacing w:after="0" w:line="171" w:lineRule="exact"/>
              <w:rPr>
                <w:sz w:val="20"/>
                <w:szCs w:val="20"/>
                <w:color w:val="auto"/>
              </w:rPr>
            </w:pPr>
            <w:r>
              <w:rPr>
                <w:rFonts w:ascii="Arial" w:cs="Arial" w:eastAsia="Arial" w:hAnsi="Arial"/>
                <w:sz w:val="18"/>
                <w:szCs w:val="18"/>
                <w:b w:val="1"/>
                <w:bCs w:val="1"/>
                <w:color w:val="auto"/>
              </w:rPr>
              <w:t>$29,886</w:t>
            </w:r>
          </w:p>
        </w:tc>
        <w:tc>
          <w:tcPr>
            <w:tcW w:w="1260" w:type="dxa"/>
            <w:vAlign w:val="bottom"/>
          </w:tcPr>
          <w:p>
            <w:pPr>
              <w:jc w:val="right"/>
              <w:spacing w:after="0" w:line="171" w:lineRule="exact"/>
              <w:rPr>
                <w:sz w:val="20"/>
                <w:szCs w:val="20"/>
                <w:color w:val="auto"/>
              </w:rPr>
            </w:pPr>
            <w:r>
              <w:rPr>
                <w:rFonts w:ascii="Arial" w:cs="Arial" w:eastAsia="Arial" w:hAnsi="Arial"/>
                <w:sz w:val="18"/>
                <w:szCs w:val="18"/>
                <w:color w:val="auto"/>
              </w:rPr>
              <w:t>$31,018</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64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7,637</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9,028</w:t>
            </w:r>
          </w:p>
        </w:tc>
      </w:tr>
      <w:tr>
        <w:trPr>
          <w:trHeight w:val="227"/>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4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13,671</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12,159</w:t>
            </w:r>
          </w:p>
        </w:tc>
      </w:tr>
      <w:tr>
        <w:trPr>
          <w:trHeight w:val="196"/>
        </w:trPr>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6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$51,194</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$52,205</w:t>
            </w:r>
          </w:p>
        </w:tc>
      </w:tr>
      <w:tr>
        <w:trPr>
          <w:trHeight w:val="196"/>
        </w:trPr>
        <w:tc>
          <w:tcPr>
            <w:tcW w:w="55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 of Net sales</w:t>
            </w:r>
          </w:p>
        </w:tc>
        <w:tc>
          <w:tcPr>
            <w:tcW w:w="4640" w:type="dxa"/>
            <w:vAlign w:val="bottom"/>
            <w:tcBorders>
              <w:bottom w:val="single" w:sz="8" w:color="auto"/>
            </w:tcBorders>
          </w:tcPr>
          <w:p>
            <w:pPr>
              <w:jc w:val="right"/>
              <w:ind w:right="710"/>
              <w:spacing w:after="0" w:line="196" w:lineRule="exact"/>
              <w:rPr>
                <w:sz w:val="20"/>
                <w:szCs w:val="20"/>
                <w:color w:val="auto"/>
              </w:rPr>
            </w:pPr>
            <w:r>
              <w:rPr>
                <w:rFonts w:ascii="Arial" w:cs="Arial" w:eastAsia="Arial" w:hAnsi="Arial"/>
                <w:sz w:val="18"/>
                <w:szCs w:val="18"/>
                <w:b w:val="1"/>
                <w:bCs w:val="1"/>
                <w:color w:val="auto"/>
              </w:rPr>
              <w:t>20.4%</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w:t>
            </w:r>
          </w:p>
        </w:tc>
      </w:tr>
    </w:tbl>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The overall decrease in STG&amp;R expenses in the first quarter of 2019, compared to the same period in 2018, was principally due to the net effect of the following individually significant items:</w:t>
      </w:r>
    </w:p>
    <w:p>
      <w:pPr>
        <w:spacing w:after="0" w:line="132" w:lineRule="exact"/>
        <w:rPr>
          <w:sz w:val="20"/>
          <w:szCs w:val="20"/>
          <w:color w:val="auto"/>
        </w:rPr>
      </w:pPr>
    </w:p>
    <w:p>
      <w:pPr>
        <w:ind w:left="660" w:right="220" w:hanging="328"/>
        <w:spacing w:after="0" w:line="275" w:lineRule="auto"/>
        <w:tabs>
          <w:tab w:leader="none" w:pos="6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In MC, revaluation of nonfunctional currency assets and liabilities and resulted in first-quarter losses of $1.5 million in 2018, while the effect in 2019 was nil.</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36" w:name="page37"/>
    <w:bookmarkEnd w:id="36"/>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In AEC, lower compensation and professional fees in 2019, as compared to 2018.</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Corporate STG&amp;R expenses increased principally due to CFO termination costs in 2019.</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00" w:lineRule="exact"/>
        <w:rPr>
          <w:sz w:val="20"/>
          <w:szCs w:val="20"/>
          <w:color w:val="auto"/>
        </w:rPr>
      </w:pPr>
    </w:p>
    <w:p>
      <w:pPr>
        <w:ind w:right="540" w:firstLine="648"/>
        <w:spacing w:after="0" w:line="276" w:lineRule="auto"/>
        <w:rPr>
          <w:sz w:val="20"/>
          <w:szCs w:val="20"/>
          <w:color w:val="auto"/>
        </w:rPr>
      </w:pPr>
      <w:r>
        <w:rPr>
          <w:rFonts w:ascii="Arial" w:cs="Arial" w:eastAsia="Arial" w:hAnsi="Arial"/>
          <w:sz w:val="18"/>
          <w:szCs w:val="18"/>
          <w:color w:val="auto"/>
        </w:rPr>
        <w:t>The following table is a subset of the STG&amp;R expenses table above and summarizes expenses associated with internally funded research and development by business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60" w:type="dxa"/>
            <w:vAlign w:val="bottom"/>
            <w:tcBorders>
              <w:top w:val="single" w:sz="8" w:color="auto"/>
            </w:tcBorders>
          </w:tcPr>
          <w:p>
            <w:pPr>
              <w:spacing w:after="0"/>
              <w:rPr>
                <w:sz w:val="16"/>
                <w:szCs w:val="16"/>
                <w:color w:val="auto"/>
              </w:rPr>
            </w:pPr>
          </w:p>
        </w:tc>
        <w:tc>
          <w:tcPr>
            <w:tcW w:w="48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Three months ended</w:t>
            </w:r>
          </w:p>
        </w:tc>
        <w:tc>
          <w:tcPr>
            <w:tcW w:w="1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488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March 31,</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88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b w:val="1"/>
                <w:bCs w:val="1"/>
                <w:color w:val="auto"/>
              </w:rPr>
              <w:t>2019</w:t>
            </w:r>
          </w:p>
        </w:tc>
        <w:tc>
          <w:tcPr>
            <w:tcW w:w="14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506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4880" w:type="dxa"/>
            <w:vAlign w:val="bottom"/>
          </w:tcPr>
          <w:p>
            <w:pPr>
              <w:jc w:val="right"/>
              <w:ind w:right="830"/>
              <w:spacing w:after="0" w:line="171" w:lineRule="exact"/>
              <w:rPr>
                <w:sz w:val="20"/>
                <w:szCs w:val="20"/>
                <w:color w:val="auto"/>
              </w:rPr>
            </w:pPr>
            <w:r>
              <w:rPr>
                <w:rFonts w:ascii="Arial" w:cs="Arial" w:eastAsia="Arial" w:hAnsi="Arial"/>
                <w:sz w:val="18"/>
                <w:szCs w:val="18"/>
                <w:b w:val="1"/>
                <w:bCs w:val="1"/>
                <w:color w:val="auto"/>
              </w:rPr>
              <w:t>$4,422</w:t>
            </w:r>
          </w:p>
        </w:tc>
        <w:tc>
          <w:tcPr>
            <w:tcW w:w="1480" w:type="dxa"/>
            <w:vAlign w:val="bottom"/>
          </w:tcPr>
          <w:p>
            <w:pPr>
              <w:jc w:val="right"/>
              <w:spacing w:after="0" w:line="171" w:lineRule="exact"/>
              <w:rPr>
                <w:sz w:val="20"/>
                <w:szCs w:val="20"/>
                <w:color w:val="auto"/>
              </w:rPr>
            </w:pPr>
            <w:r>
              <w:rPr>
                <w:rFonts w:ascii="Arial" w:cs="Arial" w:eastAsia="Arial" w:hAnsi="Arial"/>
                <w:sz w:val="18"/>
                <w:szCs w:val="18"/>
                <w:color w:val="auto"/>
              </w:rPr>
              <w:t>$4,418</w:t>
            </w:r>
          </w:p>
        </w:tc>
        <w:tc>
          <w:tcPr>
            <w:tcW w:w="40" w:type="dxa"/>
            <w:vAlign w:val="bottom"/>
            <w:gridSpan w:val="2"/>
          </w:tcPr>
          <w:p>
            <w:pPr>
              <w:spacing w:after="0"/>
              <w:rPr>
                <w:sz w:val="14"/>
                <w:szCs w:val="14"/>
                <w:color w:val="auto"/>
              </w:rPr>
            </w:pPr>
          </w:p>
        </w:tc>
      </w:tr>
      <w:tr>
        <w:trPr>
          <w:trHeight w:val="22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Albany Engineered Composites</w:t>
            </w:r>
          </w:p>
        </w:tc>
        <w:tc>
          <w:tcPr>
            <w:tcW w:w="48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3,116</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3,148</w:t>
            </w:r>
          </w:p>
        </w:tc>
        <w:tc>
          <w:tcPr>
            <w:tcW w:w="20" w:type="dxa"/>
            <w:vAlign w:val="bottom"/>
          </w:tcPr>
          <w:p>
            <w:pPr>
              <w:spacing w:after="0"/>
              <w:rPr>
                <w:sz w:val="19"/>
                <w:szCs w:val="19"/>
                <w:color w:val="auto"/>
              </w:rPr>
            </w:pPr>
          </w:p>
        </w:tc>
      </w:tr>
      <w:tr>
        <w:trPr>
          <w:trHeight w:val="196"/>
        </w:trPr>
        <w:tc>
          <w:tcPr>
            <w:tcW w:w="5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88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$7,538</w:t>
            </w:r>
          </w:p>
        </w:tc>
        <w:tc>
          <w:tcPr>
            <w:tcW w:w="15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$7,566</w:t>
            </w:r>
          </w:p>
        </w:tc>
        <w:tc>
          <w:tcPr>
            <w:tcW w:w="20" w:type="dxa"/>
            <w:vAlign w:val="bottom"/>
            <w:tcBorders>
              <w:bottom w:val="single" w:sz="8" w:color="auto"/>
            </w:tcBorders>
          </w:tcPr>
          <w:p>
            <w:pPr>
              <w:spacing w:after="0"/>
              <w:rPr>
                <w:sz w:val="17"/>
                <w:szCs w:val="17"/>
                <w:color w:val="auto"/>
              </w:rPr>
            </w:pPr>
          </w:p>
        </w:tc>
      </w:tr>
    </w:tbl>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w:t>
      </w:r>
    </w:p>
    <w:p>
      <w:pPr>
        <w:spacing w:after="0" w:line="20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In addition to the items discussed above affecting gross profit, and STG&amp;R expenses, operating income was affected by restructuring costs of $0.5 million in the first three months of 2019, and $8.6 million for the same period in 2018.</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restructuring expenses by business segment: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060" w:type="dxa"/>
            <w:vAlign w:val="bottom"/>
            <w:tcBorders>
              <w:top w:val="single" w:sz="8" w:color="auto"/>
            </w:tcBorders>
          </w:tcPr>
          <w:p>
            <w:pPr>
              <w:spacing w:after="0"/>
              <w:rPr>
                <w:sz w:val="16"/>
                <w:szCs w:val="16"/>
                <w:color w:val="auto"/>
              </w:rPr>
            </w:pPr>
          </w:p>
        </w:tc>
        <w:tc>
          <w:tcPr>
            <w:tcW w:w="48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Three months ended</w:t>
            </w:r>
          </w:p>
        </w:tc>
        <w:tc>
          <w:tcPr>
            <w:tcW w:w="14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060" w:type="dxa"/>
            <w:vAlign w:val="bottom"/>
          </w:tcPr>
          <w:p>
            <w:pPr>
              <w:spacing w:after="0"/>
              <w:rPr>
                <w:sz w:val="17"/>
                <w:szCs w:val="17"/>
                <w:color w:val="auto"/>
              </w:rPr>
            </w:pPr>
          </w:p>
        </w:tc>
        <w:tc>
          <w:tcPr>
            <w:tcW w:w="488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March 31,</w:t>
            </w: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4880" w:type="dxa"/>
            <w:vAlign w:val="bottom"/>
            <w:tcBorders>
              <w:bottom w:val="single" w:sz="8" w:color="auto"/>
            </w:tcBorders>
          </w:tcPr>
          <w:p>
            <w:pPr>
              <w:jc w:val="right"/>
              <w:ind w:right="1870"/>
              <w:spacing w:after="0"/>
              <w:rPr>
                <w:sz w:val="20"/>
                <w:szCs w:val="20"/>
                <w:color w:val="auto"/>
              </w:rPr>
            </w:pPr>
            <w:r>
              <w:rPr>
                <w:rFonts w:ascii="Arial" w:cs="Arial" w:eastAsia="Arial" w:hAnsi="Arial"/>
                <w:sz w:val="18"/>
                <w:szCs w:val="18"/>
                <w:b w:val="1"/>
                <w:bCs w:val="1"/>
                <w:color w:val="auto"/>
              </w:rPr>
              <w:t>2019</w:t>
            </w:r>
          </w:p>
        </w:tc>
        <w:tc>
          <w:tcPr>
            <w:tcW w:w="148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506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4880" w:type="dxa"/>
            <w:vAlign w:val="bottom"/>
          </w:tcPr>
          <w:p>
            <w:pPr>
              <w:jc w:val="right"/>
              <w:ind w:right="830"/>
              <w:spacing w:after="0" w:line="171" w:lineRule="exact"/>
              <w:rPr>
                <w:sz w:val="20"/>
                <w:szCs w:val="20"/>
                <w:color w:val="auto"/>
              </w:rPr>
            </w:pPr>
            <w:r>
              <w:rPr>
                <w:rFonts w:ascii="Arial" w:cs="Arial" w:eastAsia="Arial" w:hAnsi="Arial"/>
                <w:sz w:val="18"/>
                <w:szCs w:val="18"/>
                <w:b w:val="1"/>
                <w:bCs w:val="1"/>
                <w:color w:val="auto"/>
              </w:rPr>
              <w:t>$401</w:t>
            </w:r>
          </w:p>
        </w:tc>
        <w:tc>
          <w:tcPr>
            <w:tcW w:w="1480" w:type="dxa"/>
            <w:vAlign w:val="bottom"/>
          </w:tcPr>
          <w:p>
            <w:pPr>
              <w:jc w:val="right"/>
              <w:spacing w:after="0" w:line="171" w:lineRule="exact"/>
              <w:rPr>
                <w:sz w:val="20"/>
                <w:szCs w:val="20"/>
                <w:color w:val="auto"/>
              </w:rPr>
            </w:pPr>
            <w:r>
              <w:rPr>
                <w:rFonts w:ascii="Arial" w:cs="Arial" w:eastAsia="Arial" w:hAnsi="Arial"/>
                <w:sz w:val="18"/>
                <w:szCs w:val="18"/>
                <w:color w:val="auto"/>
              </w:rPr>
              <w:t>$8,352</w:t>
            </w:r>
          </w:p>
        </w:tc>
        <w:tc>
          <w:tcPr>
            <w:tcW w:w="40" w:type="dxa"/>
            <w:vAlign w:val="bottom"/>
            <w:gridSpan w:val="2"/>
          </w:tcPr>
          <w:p>
            <w:pPr>
              <w:spacing w:after="0"/>
              <w:rPr>
                <w:sz w:val="14"/>
                <w:szCs w:val="14"/>
                <w:color w:val="auto"/>
              </w:rPr>
            </w:pPr>
          </w:p>
        </w:tc>
      </w:tr>
      <w:tr>
        <w:trPr>
          <w:trHeight w:val="203"/>
        </w:trPr>
        <w:tc>
          <w:tcPr>
            <w:tcW w:w="506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4880" w:type="dxa"/>
            <w:vAlign w:val="bottom"/>
          </w:tcPr>
          <w:p>
            <w:pPr>
              <w:jc w:val="right"/>
              <w:ind w:right="830"/>
              <w:spacing w:after="0" w:line="202" w:lineRule="exact"/>
              <w:rPr>
                <w:sz w:val="20"/>
                <w:szCs w:val="20"/>
                <w:color w:val="auto"/>
              </w:rPr>
            </w:pPr>
            <w:r>
              <w:rPr>
                <w:rFonts w:ascii="Arial" w:cs="Arial" w:eastAsia="Arial" w:hAnsi="Arial"/>
                <w:sz w:val="18"/>
                <w:szCs w:val="18"/>
                <w:b w:val="1"/>
                <w:bCs w:val="1"/>
                <w:color w:val="auto"/>
              </w:rPr>
              <w:t>83</w:t>
            </w: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w:t>
            </w:r>
          </w:p>
        </w:tc>
        <w:tc>
          <w:tcPr>
            <w:tcW w:w="20" w:type="dxa"/>
            <w:vAlign w:val="bottom"/>
          </w:tcPr>
          <w:p>
            <w:pPr>
              <w:spacing w:after="0"/>
              <w:rPr>
                <w:sz w:val="17"/>
                <w:szCs w:val="17"/>
                <w:color w:val="auto"/>
              </w:rPr>
            </w:pPr>
          </w:p>
        </w:tc>
      </w:tr>
      <w:tr>
        <w:trPr>
          <w:trHeight w:val="227"/>
        </w:trPr>
        <w:tc>
          <w:tcPr>
            <w:tcW w:w="5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488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w:t>
            </w:r>
          </w:p>
        </w:tc>
        <w:tc>
          <w:tcPr>
            <w:tcW w:w="1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96"/>
        </w:trPr>
        <w:tc>
          <w:tcPr>
            <w:tcW w:w="5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4880" w:type="dxa"/>
            <w:vAlign w:val="bottom"/>
            <w:tcBorders>
              <w:bottom w:val="single" w:sz="8" w:color="auto"/>
            </w:tcBorders>
          </w:tcPr>
          <w:p>
            <w:pPr>
              <w:jc w:val="right"/>
              <w:ind w:right="830"/>
              <w:spacing w:after="0" w:line="196" w:lineRule="exact"/>
              <w:rPr>
                <w:sz w:val="20"/>
                <w:szCs w:val="20"/>
                <w:color w:val="auto"/>
              </w:rPr>
            </w:pPr>
            <w:r>
              <w:rPr>
                <w:rFonts w:ascii="Arial" w:cs="Arial" w:eastAsia="Arial" w:hAnsi="Arial"/>
                <w:sz w:val="18"/>
                <w:szCs w:val="18"/>
                <w:b w:val="1"/>
                <w:bCs w:val="1"/>
                <w:color w:val="auto"/>
              </w:rPr>
              <w:t>$484</w:t>
            </w:r>
          </w:p>
        </w:tc>
        <w:tc>
          <w:tcPr>
            <w:tcW w:w="150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$8,573</w:t>
            </w:r>
          </w:p>
        </w:tc>
        <w:tc>
          <w:tcPr>
            <w:tcW w:w="20" w:type="dxa"/>
            <w:vAlign w:val="bottom"/>
            <w:tcBorders>
              <w:bottom w:val="single" w:sz="8" w:color="auto"/>
            </w:tcBorders>
          </w:tcPr>
          <w:p>
            <w:pPr>
              <w:spacing w:after="0"/>
              <w:rPr>
                <w:sz w:val="17"/>
                <w:szCs w:val="17"/>
                <w:color w:val="auto"/>
              </w:rPr>
            </w:pPr>
          </w:p>
        </w:tc>
      </w:tr>
    </w:tbl>
    <w:p>
      <w:pPr>
        <w:spacing w:after="0" w:line="396"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In 2018, the Company’s proposal to close its Machine Clothing production facility in Sélestat, France was approved by the French Labor Ministry. The restructuring program was driven by the Company’s need to balance manufacturing capacity with demand. In the first three months of 2018, we recorded restructuring expense of $8.1 million for severance and outplacement costs for the approximately 50 positions that will be terminated under this plan. Since 2017, we have recorded $12.1 million of restructuring charges related to this action. The Company continues to assess property, plant and equipment in that location to determine if equipment will be transferred to other facilities, or if the value of the assets can be recovered through a sale. Depending on the outcome of</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7" w:name="page38"/>
    <w:bookmarkEnd w:id="37"/>
    <w:p>
      <w:pPr>
        <w:ind w:right="480"/>
        <w:spacing w:after="0" w:line="276" w:lineRule="auto"/>
        <w:rPr>
          <w:sz w:val="20"/>
          <w:szCs w:val="20"/>
          <w:color w:val="auto"/>
        </w:rPr>
      </w:pPr>
      <w:r>
        <w:rPr>
          <w:rFonts w:ascii="Arial" w:cs="Arial" w:eastAsia="Arial" w:hAnsi="Arial"/>
          <w:sz w:val="18"/>
          <w:szCs w:val="18"/>
          <w:color w:val="auto"/>
        </w:rPr>
        <w:t>that assessment, additional restructuring charges could be recorded in future periods. Annual cost savings associated with this action has resulted in lower cost of goods sold.</w:t>
      </w:r>
    </w:p>
    <w:p>
      <w:pPr>
        <w:spacing w:after="0" w:line="105" w:lineRule="exact"/>
        <w:rPr>
          <w:sz w:val="20"/>
          <w:szCs w:val="20"/>
          <w:color w:val="auto"/>
        </w:rPr>
      </w:pPr>
    </w:p>
    <w:p>
      <w:pPr>
        <w:ind w:right="580" w:firstLine="648"/>
        <w:spacing w:after="0" w:line="276" w:lineRule="auto"/>
        <w:rPr>
          <w:sz w:val="20"/>
          <w:szCs w:val="20"/>
          <w:color w:val="auto"/>
        </w:rPr>
      </w:pPr>
      <w:r>
        <w:rPr>
          <w:rFonts w:ascii="Arial" w:cs="Arial" w:eastAsia="Arial" w:hAnsi="Arial"/>
          <w:sz w:val="18"/>
          <w:szCs w:val="18"/>
          <w:color w:val="auto"/>
        </w:rPr>
        <w:t>AEC restructuring charges include expenses for the first three months of 2019 and 2018 related to work force reductions in AEC locations in Salt Lake City, Utah and Rochester, New Hampshire.</w:t>
      </w:r>
    </w:p>
    <w:p>
      <w:pPr>
        <w:spacing w:after="0" w:line="118" w:lineRule="exact"/>
        <w:rPr>
          <w:sz w:val="20"/>
          <w:szCs w:val="20"/>
          <w:color w:val="auto"/>
        </w:rPr>
      </w:pPr>
    </w:p>
    <w:p>
      <w:pPr>
        <w:ind w:right="1000" w:firstLine="648"/>
        <w:spacing w:after="0" w:line="276" w:lineRule="auto"/>
        <w:rPr>
          <w:sz w:val="20"/>
          <w:szCs w:val="20"/>
          <w:color w:val="auto"/>
        </w:rPr>
      </w:pPr>
      <w:r>
        <w:rPr>
          <w:rFonts w:ascii="Arial" w:cs="Arial" w:eastAsia="Arial" w:hAnsi="Arial"/>
          <w:sz w:val="18"/>
          <w:szCs w:val="18"/>
          <w:color w:val="auto"/>
        </w:rPr>
        <w:t>For more information on our restructuring charges, see Note 5 to the Consolidated Financial Statements in Item 1, which is incorporated herein by reference.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income/(loss) by business segment: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300" w:type="dxa"/>
            <w:vAlign w:val="bottom"/>
            <w:tcBorders>
              <w:top w:val="single" w:sz="8" w:color="auto"/>
            </w:tcBorders>
          </w:tcPr>
          <w:p>
            <w:pPr>
              <w:spacing w:after="0"/>
              <w:rPr>
                <w:sz w:val="16"/>
                <w:szCs w:val="16"/>
                <w:color w:val="auto"/>
              </w:rPr>
            </w:pPr>
          </w:p>
        </w:tc>
        <w:tc>
          <w:tcPr>
            <w:tcW w:w="5120" w:type="dxa"/>
            <w:vAlign w:val="bottom"/>
            <w:tcBorders>
              <w:top w:val="single" w:sz="8" w:color="auto"/>
            </w:tcBorders>
            <w:gridSpan w:val="2"/>
          </w:tcPr>
          <w:p>
            <w:pPr>
              <w:jc w:val="right"/>
              <w:ind w:right="910"/>
              <w:spacing w:after="0" w:line="191"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17"/>
                <w:szCs w:val="17"/>
                <w:color w:val="auto"/>
              </w:rPr>
            </w:pPr>
          </w:p>
        </w:tc>
        <w:tc>
          <w:tcPr>
            <w:tcW w:w="3860" w:type="dxa"/>
            <w:vAlign w:val="bottom"/>
          </w:tcPr>
          <w:p>
            <w:pPr>
              <w:jc w:val="right"/>
              <w:ind w:right="110"/>
              <w:spacing w:after="0" w:line="202" w:lineRule="exact"/>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86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line="171" w:lineRule="exact"/>
              <w:rPr>
                <w:sz w:val="20"/>
                <w:szCs w:val="20"/>
                <w:color w:val="auto"/>
              </w:rPr>
            </w:pPr>
            <w:r>
              <w:rPr>
                <w:rFonts w:ascii="Arial" w:cs="Arial" w:eastAsia="Arial" w:hAnsi="Arial"/>
                <w:sz w:val="18"/>
                <w:szCs w:val="18"/>
                <w:color w:val="auto"/>
              </w:rPr>
              <w:t>Machine Clothing</w:t>
            </w:r>
          </w:p>
        </w:tc>
        <w:tc>
          <w:tcPr>
            <w:tcW w:w="3860" w:type="dxa"/>
            <w:vAlign w:val="bottom"/>
          </w:tcPr>
          <w:p>
            <w:pPr>
              <w:jc w:val="right"/>
              <w:ind w:right="470"/>
              <w:spacing w:after="0" w:line="171" w:lineRule="exact"/>
              <w:rPr>
                <w:sz w:val="20"/>
                <w:szCs w:val="20"/>
                <w:color w:val="auto"/>
              </w:rPr>
            </w:pPr>
            <w:r>
              <w:rPr>
                <w:rFonts w:ascii="Arial" w:cs="Arial" w:eastAsia="Arial" w:hAnsi="Arial"/>
                <w:sz w:val="18"/>
                <w:szCs w:val="18"/>
                <w:b w:val="1"/>
                <w:bCs w:val="1"/>
                <w:color w:val="auto"/>
              </w:rPr>
              <w:t>$44,243</w:t>
            </w:r>
          </w:p>
        </w:tc>
        <w:tc>
          <w:tcPr>
            <w:tcW w:w="1260" w:type="dxa"/>
            <w:vAlign w:val="bottom"/>
          </w:tcPr>
          <w:p>
            <w:pPr>
              <w:jc w:val="right"/>
              <w:spacing w:after="0" w:line="171" w:lineRule="exact"/>
              <w:rPr>
                <w:sz w:val="20"/>
                <w:szCs w:val="20"/>
                <w:color w:val="auto"/>
              </w:rPr>
            </w:pPr>
            <w:r>
              <w:rPr>
                <w:rFonts w:ascii="Arial" w:cs="Arial" w:eastAsia="Arial" w:hAnsi="Arial"/>
                <w:sz w:val="18"/>
                <w:szCs w:val="18"/>
                <w:color w:val="auto"/>
              </w:rPr>
              <w:t>$26,942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Albany Engineered Composites</w:t>
            </w:r>
          </w:p>
        </w:tc>
        <w:tc>
          <w:tcPr>
            <w:tcW w:w="3860" w:type="dxa"/>
            <w:vAlign w:val="bottom"/>
          </w:tcPr>
          <w:p>
            <w:pPr>
              <w:jc w:val="right"/>
              <w:ind w:right="470"/>
              <w:spacing w:after="0" w:line="202" w:lineRule="exact"/>
              <w:rPr>
                <w:sz w:val="20"/>
                <w:szCs w:val="20"/>
                <w:color w:val="auto"/>
              </w:rPr>
            </w:pPr>
            <w:r>
              <w:rPr>
                <w:rFonts w:ascii="Arial" w:cs="Arial" w:eastAsia="Arial" w:hAnsi="Arial"/>
                <w:sz w:val="18"/>
                <w:szCs w:val="18"/>
                <w:b w:val="1"/>
                <w:bCs w:val="1"/>
                <w:color w:val="auto"/>
              </w:rPr>
              <w:t>9,522</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Corporate expenses</w:t>
            </w:r>
          </w:p>
        </w:tc>
        <w:tc>
          <w:tcPr>
            <w:tcW w:w="38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(13,672)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w:t>
            </w:r>
          </w:p>
        </w:tc>
        <w:tc>
          <w:tcPr>
            <w:tcW w:w="3860" w:type="dxa"/>
            <w:vAlign w:val="bottom"/>
            <w:tcBorders>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$40,093</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6300" w:type="dxa"/>
            <w:vAlign w:val="bottom"/>
          </w:tcPr>
          <w:p>
            <w:pPr>
              <w:spacing w:after="0"/>
              <w:rPr>
                <w:sz w:val="20"/>
                <w:szCs w:val="20"/>
                <w:color w:val="auto"/>
              </w:rPr>
            </w:pPr>
            <w:r>
              <w:rPr>
                <w:rFonts w:ascii="Arial" w:cs="Arial" w:eastAsia="Arial" w:hAnsi="Arial"/>
                <w:sz w:val="18"/>
                <w:szCs w:val="18"/>
                <w:b w:val="1"/>
                <w:bCs w:val="1"/>
                <w:color w:val="auto"/>
              </w:rPr>
              <w:t>Other Earnings Items</w:t>
            </w:r>
          </w:p>
        </w:tc>
        <w:tc>
          <w:tcPr>
            <w:tcW w:w="3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6300" w:type="dxa"/>
            <w:vAlign w:val="bottom"/>
            <w:tcBorders>
              <w:bottom w:val="single" w:sz="8" w:color="auto"/>
            </w:tcBorders>
          </w:tcPr>
          <w:p>
            <w:pPr>
              <w:spacing w:after="0"/>
              <w:rPr>
                <w:sz w:val="15"/>
                <w:szCs w:val="15"/>
                <w:color w:val="auto"/>
              </w:rPr>
            </w:pPr>
          </w:p>
        </w:tc>
        <w:tc>
          <w:tcPr>
            <w:tcW w:w="5120" w:type="dxa"/>
            <w:vAlign w:val="bottom"/>
            <w:tcBorders>
              <w:bottom w:val="single" w:sz="8" w:color="auto"/>
            </w:tcBorders>
            <w:gridSpan w:val="2"/>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rPr>
                <w:sz w:val="14"/>
                <w:szCs w:val="14"/>
                <w:color w:val="auto"/>
              </w:rPr>
            </w:pPr>
          </w:p>
        </w:tc>
        <w:tc>
          <w:tcPr>
            <w:tcW w:w="5120" w:type="dxa"/>
            <w:vAlign w:val="bottom"/>
            <w:gridSpan w:val="2"/>
          </w:tcPr>
          <w:p>
            <w:pPr>
              <w:jc w:val="right"/>
              <w:ind w:right="870"/>
              <w:spacing w:after="0" w:line="171"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rPr>
                <w:sz w:val="17"/>
                <w:szCs w:val="17"/>
                <w:color w:val="auto"/>
              </w:rPr>
            </w:pPr>
          </w:p>
        </w:tc>
        <w:tc>
          <w:tcPr>
            <w:tcW w:w="3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860" w:type="dxa"/>
            <w:vAlign w:val="bottom"/>
            <w:tcBorders>
              <w:bottom w:val="single" w:sz="8" w:color="auto"/>
            </w:tcBorders>
          </w:tcPr>
          <w:p>
            <w:pPr>
              <w:jc w:val="right"/>
              <w:ind w:right="1130"/>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6300" w:type="dxa"/>
            <w:vAlign w:val="bottom"/>
          </w:tcPr>
          <w:p>
            <w:pPr>
              <w:spacing w:after="0" w:line="171" w:lineRule="exact"/>
              <w:rPr>
                <w:sz w:val="20"/>
                <w:szCs w:val="20"/>
                <w:color w:val="auto"/>
              </w:rPr>
            </w:pPr>
            <w:r>
              <w:rPr>
                <w:rFonts w:ascii="Arial" w:cs="Arial" w:eastAsia="Arial" w:hAnsi="Arial"/>
                <w:sz w:val="18"/>
                <w:szCs w:val="18"/>
                <w:color w:val="auto"/>
              </w:rPr>
              <w:t>Interest expense, net</w:t>
            </w:r>
          </w:p>
        </w:tc>
        <w:tc>
          <w:tcPr>
            <w:tcW w:w="3860" w:type="dxa"/>
            <w:vAlign w:val="bottom"/>
          </w:tcPr>
          <w:p>
            <w:pPr>
              <w:jc w:val="right"/>
              <w:ind w:right="350"/>
              <w:spacing w:after="0" w:line="171" w:lineRule="exact"/>
              <w:rPr>
                <w:sz w:val="20"/>
                <w:szCs w:val="20"/>
                <w:color w:val="auto"/>
              </w:rPr>
            </w:pPr>
            <w:r>
              <w:rPr>
                <w:rFonts w:ascii="Arial" w:cs="Arial" w:eastAsia="Arial" w:hAnsi="Arial"/>
                <w:sz w:val="18"/>
                <w:szCs w:val="18"/>
                <w:b w:val="1"/>
                <w:bCs w:val="1"/>
                <w:color w:val="auto"/>
              </w:rPr>
              <w:t>$4,417</w:t>
            </w:r>
          </w:p>
        </w:tc>
        <w:tc>
          <w:tcPr>
            <w:tcW w:w="1260" w:type="dxa"/>
            <w:vAlign w:val="bottom"/>
          </w:tcPr>
          <w:p>
            <w:pPr>
              <w:jc w:val="right"/>
              <w:spacing w:after="0" w:line="171" w:lineRule="exact"/>
              <w:rPr>
                <w:sz w:val="20"/>
                <w:szCs w:val="20"/>
                <w:color w:val="auto"/>
              </w:rPr>
            </w:pPr>
            <w:r>
              <w:rPr>
                <w:rFonts w:ascii="Arial" w:cs="Arial" w:eastAsia="Arial" w:hAnsi="Arial"/>
                <w:sz w:val="18"/>
                <w:szCs w:val="18"/>
                <w:color w:val="auto"/>
              </w:rPr>
              <w:t>$4,288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Other (income)/expense, net</w:t>
            </w:r>
          </w:p>
        </w:tc>
        <w:tc>
          <w:tcPr>
            <w:tcW w:w="38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(1,208)</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Income tax expense</w:t>
            </w:r>
          </w:p>
        </w:tc>
        <w:tc>
          <w:tcPr>
            <w:tcW w:w="386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7,476</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3,365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6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attributable to the noncontrolling interest</w:t>
            </w:r>
          </w:p>
        </w:tc>
        <w:tc>
          <w:tcPr>
            <w:tcW w:w="3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218</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200" w:lineRule="exact"/>
        <w:rPr>
          <w:sz w:val="20"/>
          <w:szCs w:val="20"/>
          <w:color w:val="auto"/>
        </w:rPr>
      </w:pPr>
    </w:p>
    <w:p>
      <w:pPr>
        <w:ind w:right="120" w:firstLine="648"/>
        <w:spacing w:after="0" w:line="276" w:lineRule="auto"/>
        <w:rPr>
          <w:sz w:val="20"/>
          <w:szCs w:val="20"/>
          <w:color w:val="auto"/>
        </w:rPr>
      </w:pPr>
      <w:r>
        <w:rPr>
          <w:rFonts w:ascii="Arial" w:cs="Arial" w:eastAsia="Arial" w:hAnsi="Arial"/>
          <w:sz w:val="18"/>
          <w:szCs w:val="18"/>
          <w:color w:val="auto"/>
        </w:rPr>
        <w:t>Interest expense, net, increased in 2019, principally due to an increase in average debt outstanding. The higher debt balances related to funding expansion of the AEC business. See the Capital Resources section for further discussion of borrowings and interest rates.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(income)/expense, net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decrease in Other (income)/expense, net included the following individually significant items: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left="660" w:right="460" w:hanging="328"/>
        <w:spacing w:after="0" w:line="275" w:lineRule="auto"/>
        <w:tabs>
          <w:tab w:leader="none" w:pos="66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For the first quarter of each year, revaluation of nonfunctional currency cash and intercompany balances resulted in a gain of $2.0 million in 2019 and a loss of $0.7 million in 2018.</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Income Tax</w:t>
      </w:r>
    </w:p>
    <w:p>
      <w:pPr>
        <w:spacing w:after="0" w:line="20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The Company has operations which constitute a taxable presence in 18 countries outside of the United States. The majority of these countries had income tax rates that are above the United States federal tax rate of 21% during the periods reported. The jurisdictional location of earnings is a significant component of our effective tax rate each year. The rate impact of this component is influenced by the specific location of non-U.S. earnings and the level of our total earnings. From period to period, the jurisdictional mix of earnings can vary as a result of operating fluctuations in the normal course of business, as well as the extent and location of other income and expense items, such as pension settlement and restructuring charges.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The Company’s effective tax rates for the first quarter of 2019 and 2018 were 20.3% and 29.9%, respectively. The tax rate is affected by recurring items, such as the income tax rate in the U.S. and in non-U.S. jurisdictions and the mix of income earned in those jurisdictions. The tax rate is also affected by U.S. tax costs on foreign earnings, and by discrete items that may occur in any given year but are not consistent from year to year.</w:t>
      </w:r>
    </w:p>
    <w:p>
      <w:pPr>
        <w:spacing w:after="0" w:line="130" w:lineRule="exact"/>
        <w:rPr>
          <w:sz w:val="20"/>
          <w:szCs w:val="20"/>
          <w:color w:val="auto"/>
        </w:rPr>
      </w:pPr>
    </w:p>
    <w:p>
      <w:pPr>
        <w:ind w:right="580" w:firstLine="648"/>
        <w:spacing w:after="0" w:line="276" w:lineRule="auto"/>
        <w:rPr>
          <w:sz w:val="20"/>
          <w:szCs w:val="20"/>
          <w:color w:val="auto"/>
        </w:rPr>
      </w:pPr>
      <w:r>
        <w:rPr>
          <w:rFonts w:ascii="Arial" w:cs="Arial" w:eastAsia="Arial" w:hAnsi="Arial"/>
          <w:sz w:val="18"/>
          <w:szCs w:val="18"/>
          <w:color w:val="auto"/>
        </w:rPr>
        <w:t>Significant items that impacted the 2019 effective tax rate included the following (percentages reflect the effect of each item as a percentage of income before income taxes):</w:t>
      </w:r>
    </w:p>
    <w:p>
      <w:pPr>
        <w:spacing w:after="0" w:line="118" w:lineRule="exact"/>
        <w:rPr>
          <w:sz w:val="20"/>
          <w:szCs w:val="20"/>
          <w:color w:val="auto"/>
        </w:rPr>
      </w:pPr>
    </w:p>
    <w:p>
      <w:pPr>
        <w:ind w:left="1800" w:hanging="320"/>
        <w:spacing w:after="0"/>
        <w:tabs>
          <w:tab w:leader="none" w:pos="1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The income tax rate on continuing operations, excluding discrete items, was 29.4%.</w:t>
      </w:r>
    </w:p>
    <w:p>
      <w:pPr>
        <w:spacing w:after="0" w:line="30" w:lineRule="exact"/>
        <w:rPr>
          <w:rFonts w:ascii="Times New Roman" w:cs="Times New Roman" w:eastAsia="Times New Roman" w:hAnsi="Times New Roman"/>
          <w:sz w:val="18"/>
          <w:szCs w:val="18"/>
          <w:color w:val="auto"/>
        </w:rPr>
      </w:pPr>
    </w:p>
    <w:p>
      <w:pPr>
        <w:ind w:left="1800" w:hanging="320"/>
        <w:spacing w:after="0"/>
        <w:tabs>
          <w:tab w:leader="none" w:pos="1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$2.2 million [-6.1%] tax benefit due to changes of uncertain tax positions.</w:t>
      </w:r>
    </w:p>
    <w:p>
      <w:pPr>
        <w:spacing w:after="0" w:line="8" w:lineRule="exact"/>
        <w:rPr>
          <w:rFonts w:ascii="Times New Roman" w:cs="Times New Roman" w:eastAsia="Times New Roman" w:hAnsi="Times New Roman"/>
          <w:sz w:val="18"/>
          <w:szCs w:val="18"/>
          <w:color w:val="auto"/>
        </w:rPr>
      </w:pPr>
    </w:p>
    <w:p>
      <w:pPr>
        <w:ind w:left="1800" w:hanging="320"/>
        <w:spacing w:after="0"/>
        <w:tabs>
          <w:tab w:leader="none" w:pos="1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$1.3 million [-3.6%] tax benefit from an adjustment related to a prior period change in a valuation allowance.</w:t>
      </w:r>
    </w:p>
    <w:p>
      <w:pPr>
        <w:spacing w:after="0" w:line="8" w:lineRule="exact"/>
        <w:rPr>
          <w:rFonts w:ascii="Times New Roman" w:cs="Times New Roman" w:eastAsia="Times New Roman" w:hAnsi="Times New Roman"/>
          <w:sz w:val="18"/>
          <w:szCs w:val="18"/>
          <w:color w:val="auto"/>
        </w:rPr>
      </w:pPr>
    </w:p>
    <w:p>
      <w:pPr>
        <w:ind w:left="1800" w:hanging="320"/>
        <w:spacing w:after="0"/>
        <w:tabs>
          <w:tab w:leader="none" w:pos="180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 $0.2 million [0.6%] tax expense for other tax adjustments.</w:t>
      </w:r>
    </w:p>
    <w:p>
      <w:pPr>
        <w:spacing w:after="0" w:line="202"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Significant items that impacted the first quarter of 2018 tax rate included the following:</w:t>
      </w:r>
    </w:p>
    <w:p>
      <w:pPr>
        <w:spacing w:after="0" w:line="171" w:lineRule="exact"/>
        <w:rPr>
          <w:sz w:val="20"/>
          <w:szCs w:val="20"/>
          <w:color w:val="auto"/>
        </w:rPr>
      </w:pPr>
    </w:p>
    <w:p>
      <w:pPr>
        <w:ind w:left="1800" w:hanging="320"/>
        <w:spacing w:after="0"/>
        <w:tabs>
          <w:tab w:leader="none" w:pos="1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The income tax rate on continuing operations, excluding discrete items, was 32.5%.</w:t>
      </w:r>
    </w:p>
    <w:p>
      <w:pPr>
        <w:spacing w:after="0" w:line="30" w:lineRule="exact"/>
        <w:rPr>
          <w:rFonts w:ascii="Times New Roman" w:cs="Times New Roman" w:eastAsia="Times New Roman" w:hAnsi="Times New Roman"/>
          <w:sz w:val="18"/>
          <w:szCs w:val="18"/>
          <w:color w:val="auto"/>
        </w:rPr>
      </w:pPr>
    </w:p>
    <w:p>
      <w:pPr>
        <w:ind w:left="1800" w:hanging="320"/>
        <w:spacing w:after="0"/>
        <w:tabs>
          <w:tab w:leader="none" w:pos="1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$0.1 million [-1.1%] discrete income tax benefit related to the exercise of U.S. stock options.</w:t>
      </w:r>
    </w:p>
    <w:p>
      <w:pPr>
        <w:spacing w:after="0" w:line="8" w:lineRule="exact"/>
        <w:rPr>
          <w:rFonts w:ascii="Times New Roman" w:cs="Times New Roman" w:eastAsia="Times New Roman" w:hAnsi="Times New Roman"/>
          <w:sz w:val="18"/>
          <w:szCs w:val="18"/>
          <w:color w:val="auto"/>
        </w:rPr>
      </w:pPr>
    </w:p>
    <w:p>
      <w:pPr>
        <w:ind w:left="1800" w:hanging="320"/>
        <w:spacing w:after="0"/>
        <w:tabs>
          <w:tab w:leader="none" w:pos="180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A $0.2 million [-1.5%] net tax benefit related to other discrete items.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Machine Clothing Segment</w:t>
      </w:r>
    </w:p>
    <w:p>
      <w:pPr>
        <w:spacing w:after="0" w:line="200"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Machine Clothing is our primary business segment and accounted for 57% of our consolidated revenues during the first three months of 2019. MC products are purchased primarily by manufacturers of paper and paperboard.</w:t>
      </w:r>
    </w:p>
    <w:p>
      <w:pPr>
        <w:spacing w:after="0" w:line="132" w:lineRule="exact"/>
        <w:rPr>
          <w:sz w:val="20"/>
          <w:szCs w:val="20"/>
          <w:color w:val="auto"/>
        </w:rPr>
      </w:pPr>
    </w:p>
    <w:p>
      <w:pPr>
        <w:jc w:val="both"/>
        <w:ind w:right="260" w:firstLine="648"/>
        <w:spacing w:after="0" w:line="255" w:lineRule="auto"/>
        <w:rPr>
          <w:sz w:val="20"/>
          <w:szCs w:val="20"/>
          <w:color w:val="auto"/>
        </w:rPr>
      </w:pPr>
      <w:r>
        <w:rPr>
          <w:rFonts w:ascii="Arial" w:cs="Arial" w:eastAsia="Arial" w:hAnsi="Arial"/>
          <w:sz w:val="18"/>
          <w:szCs w:val="18"/>
          <w:color w:val="auto"/>
        </w:rPr>
        <w:t>According to RISI, Inc., global production of paper and paperboard is expected to grow at an annual rate of approximately 1 percent over the next five years, driven primarily by global growth in packaging and tissue, which is expected to be greater than expected declines in publication grades.</w:t>
      </w:r>
    </w:p>
    <w:p>
      <w:pPr>
        <w:spacing w:after="0" w:line="151"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While the MC business has suffered from well-documented declines in publication grades in the Company’s traditional markets, the paper and paperboard industry is still expected to grow slightly on a global basis, driven by demand for packaging and tissue grades. We feel we are now</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39" w:name="page40"/>
    <w:bookmarkEnd w:id="39"/>
    <w:p>
      <w:pPr>
        <w:ind w:right="80"/>
        <w:spacing w:after="0" w:line="248" w:lineRule="auto"/>
        <w:rPr>
          <w:sz w:val="20"/>
          <w:szCs w:val="20"/>
          <w:color w:val="auto"/>
        </w:rPr>
      </w:pPr>
      <w:r>
        <w:rPr>
          <w:rFonts w:ascii="Arial" w:cs="Arial" w:eastAsia="Arial" w:hAnsi="Arial"/>
          <w:sz w:val="18"/>
          <w:szCs w:val="18"/>
          <w:color w:val="auto"/>
        </w:rPr>
        <w:t>well -positioned in these markets, with high-quality, low-cost production in growth markets, substantially lower fixed costs in mature markets, and continued strength in new product development, technical product support, and manufacturing technology. Recent technological advances in paper machine clothing, while contributing to the papermaking efficiency of customers, have lengthened the useful life of many of our products and had an adverse impact on overall paper machine clothing demand.</w:t>
      </w:r>
    </w:p>
    <w:p>
      <w:pPr>
        <w:spacing w:after="0" w:line="157" w:lineRule="exact"/>
        <w:rPr>
          <w:sz w:val="20"/>
          <w:szCs w:val="20"/>
          <w:color w:val="auto"/>
        </w:rPr>
      </w:pPr>
    </w:p>
    <w:p>
      <w:pPr>
        <w:ind w:right="60" w:firstLine="648"/>
        <w:spacing w:after="0" w:line="248" w:lineRule="auto"/>
        <w:rPr>
          <w:sz w:val="20"/>
          <w:szCs w:val="20"/>
          <w:color w:val="auto"/>
        </w:rPr>
      </w:pPr>
      <w:r>
        <w:rPr>
          <w:rFonts w:ascii="Arial" w:cs="Arial" w:eastAsia="Arial" w:hAnsi="Arial"/>
          <w:sz w:val="18"/>
          <w:szCs w:val="18"/>
          <w:color w:val="auto"/>
        </w:rPr>
        <w:t>The Company’s manufacturing and product platforms position us well to meet these shifting demands across product grades and geographic regions. Our strategy for meeting these challenges continues to be to grow share in all markets, with new products and technology, and to maintain our manufacturing footprint to align with global demand, while we offset the effects of inflation through continuous productivity improvement.</w:t>
      </w:r>
    </w:p>
    <w:p>
      <w:pPr>
        <w:spacing w:after="0" w:line="157" w:lineRule="exact"/>
        <w:rPr>
          <w:sz w:val="20"/>
          <w:szCs w:val="20"/>
          <w:color w:val="auto"/>
        </w:rPr>
      </w:pPr>
    </w:p>
    <w:p>
      <w:pPr>
        <w:ind w:right="420" w:firstLine="648"/>
        <w:spacing w:after="0" w:line="276" w:lineRule="auto"/>
        <w:rPr>
          <w:sz w:val="20"/>
          <w:szCs w:val="20"/>
          <w:color w:val="auto"/>
        </w:rPr>
      </w:pPr>
      <w:r>
        <w:rPr>
          <w:rFonts w:ascii="Arial" w:cs="Arial" w:eastAsia="Arial" w:hAnsi="Arial"/>
          <w:sz w:val="18"/>
          <w:szCs w:val="18"/>
          <w:color w:val="auto"/>
        </w:rPr>
        <w:t>We have incurred significant restructuring charges in recent periods as we reduced MC manufacturing capacity and administrative positions in the United States and France.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20" w:type="dxa"/>
            <w:vAlign w:val="bottom"/>
            <w:tcBorders>
              <w:top w:val="single" w:sz="8" w:color="auto"/>
            </w:tcBorders>
          </w:tcPr>
          <w:p>
            <w:pPr>
              <w:spacing w:after="0"/>
              <w:rPr>
                <w:sz w:val="16"/>
                <w:szCs w:val="16"/>
                <w:color w:val="auto"/>
              </w:rPr>
            </w:pPr>
          </w:p>
        </w:tc>
        <w:tc>
          <w:tcPr>
            <w:tcW w:w="46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rPr>
              <w:t>Three months ended</w:t>
            </w:r>
          </w:p>
        </w:tc>
        <w:tc>
          <w:tcPr>
            <w:tcW w:w="12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5520" w:type="dxa"/>
            <w:vAlign w:val="bottom"/>
          </w:tcPr>
          <w:p>
            <w:pPr>
              <w:spacing w:after="0"/>
              <w:rPr>
                <w:sz w:val="17"/>
                <w:szCs w:val="17"/>
                <w:color w:val="auto"/>
              </w:rPr>
            </w:pPr>
          </w:p>
        </w:tc>
        <w:tc>
          <w:tcPr>
            <w:tcW w:w="4640" w:type="dxa"/>
            <w:vAlign w:val="bottom"/>
          </w:tcPr>
          <w:p>
            <w:pPr>
              <w:jc w:val="right"/>
              <w:ind w:right="410"/>
              <w:spacing w:after="0" w:line="202" w:lineRule="exact"/>
              <w:rPr>
                <w:sz w:val="20"/>
                <w:szCs w:val="20"/>
                <w:color w:val="auto"/>
              </w:rPr>
            </w:pPr>
            <w:r>
              <w:rPr>
                <w:rFonts w:ascii="Arial" w:cs="Arial" w:eastAsia="Arial" w:hAnsi="Arial"/>
                <w:sz w:val="18"/>
                <w:szCs w:val="18"/>
                <w:b w:val="1"/>
                <w:bCs w:val="1"/>
                <w:color w:val="auto"/>
              </w:rPr>
              <w:t>March 31,</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640" w:type="dxa"/>
            <w:vAlign w:val="bottom"/>
            <w:tcBorders>
              <w:bottom w:val="single" w:sz="8" w:color="auto"/>
            </w:tcBorders>
          </w:tcPr>
          <w:p>
            <w:pPr>
              <w:jc w:val="right"/>
              <w:ind w:right="1650"/>
              <w:spacing w:after="0"/>
              <w:rPr>
                <w:sz w:val="20"/>
                <w:szCs w:val="20"/>
                <w:color w:val="auto"/>
              </w:rPr>
            </w:pPr>
            <w:r>
              <w:rPr>
                <w:rFonts w:ascii="Arial" w:cs="Arial" w:eastAsia="Arial" w:hAnsi="Arial"/>
                <w:sz w:val="18"/>
                <w:szCs w:val="18"/>
                <w:b w:val="1"/>
                <w:bCs w:val="1"/>
                <w:color w:val="auto"/>
              </w:rPr>
              <w:t>2019</w:t>
            </w:r>
          </w:p>
        </w:tc>
        <w:tc>
          <w:tcPr>
            <w:tcW w:w="12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r>
      <w:tr>
        <w:trPr>
          <w:trHeight w:val="171"/>
        </w:trPr>
        <w:tc>
          <w:tcPr>
            <w:tcW w:w="5520" w:type="dxa"/>
            <w:vAlign w:val="bottom"/>
          </w:tcPr>
          <w:p>
            <w:pPr>
              <w:spacing w:after="0" w:line="171" w:lineRule="exact"/>
              <w:rPr>
                <w:sz w:val="20"/>
                <w:szCs w:val="20"/>
                <w:color w:val="auto"/>
              </w:rPr>
            </w:pPr>
            <w:r>
              <w:rPr>
                <w:rFonts w:ascii="Arial" w:cs="Arial" w:eastAsia="Arial" w:hAnsi="Arial"/>
                <w:sz w:val="18"/>
                <w:szCs w:val="18"/>
                <w:color w:val="auto"/>
              </w:rPr>
              <w:t>Net sales</w:t>
            </w:r>
          </w:p>
        </w:tc>
        <w:tc>
          <w:tcPr>
            <w:tcW w:w="4640" w:type="dxa"/>
            <w:vAlign w:val="bottom"/>
          </w:tcPr>
          <w:p>
            <w:pPr>
              <w:jc w:val="right"/>
              <w:ind w:right="710"/>
              <w:spacing w:after="0" w:line="171" w:lineRule="exact"/>
              <w:rPr>
                <w:sz w:val="20"/>
                <w:szCs w:val="20"/>
                <w:color w:val="auto"/>
              </w:rPr>
            </w:pPr>
            <w:r>
              <w:rPr>
                <w:rFonts w:ascii="Arial" w:cs="Arial" w:eastAsia="Arial" w:hAnsi="Arial"/>
                <w:sz w:val="18"/>
                <w:szCs w:val="18"/>
                <w:b w:val="1"/>
                <w:bCs w:val="1"/>
                <w:color w:val="auto"/>
              </w:rPr>
              <w:t>$144,334</w:t>
            </w:r>
          </w:p>
        </w:tc>
        <w:tc>
          <w:tcPr>
            <w:tcW w:w="1260" w:type="dxa"/>
            <w:vAlign w:val="bottom"/>
          </w:tcPr>
          <w:p>
            <w:pPr>
              <w:jc w:val="right"/>
              <w:spacing w:after="0" w:line="171" w:lineRule="exact"/>
              <w:rPr>
                <w:sz w:val="20"/>
                <w:szCs w:val="20"/>
                <w:color w:val="auto"/>
              </w:rPr>
            </w:pPr>
            <w:r>
              <w:rPr>
                <w:rFonts w:ascii="Arial" w:cs="Arial" w:eastAsia="Arial" w:hAnsi="Arial"/>
                <w:sz w:val="18"/>
                <w:szCs w:val="18"/>
                <w:color w:val="auto"/>
              </w:rPr>
              <w:t>$141,773</w:t>
            </w:r>
          </w:p>
        </w:tc>
        <w:tc>
          <w:tcPr>
            <w:tcW w:w="20" w:type="dxa"/>
            <w:vAlign w:val="bottom"/>
          </w:tcPr>
          <w:p>
            <w:pPr>
              <w:spacing w:after="0"/>
              <w:rPr>
                <w:sz w:val="14"/>
                <w:szCs w:val="14"/>
                <w:color w:val="auto"/>
              </w:rPr>
            </w:pP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64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74,528</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66,312</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464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51.6%</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46.8%</w:t>
            </w:r>
          </w:p>
        </w:tc>
      </w:tr>
      <w:tr>
        <w:trPr>
          <w:trHeight w:val="203"/>
        </w:trPr>
        <w:tc>
          <w:tcPr>
            <w:tcW w:w="552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4640" w:type="dxa"/>
            <w:vAlign w:val="bottom"/>
          </w:tcPr>
          <w:p>
            <w:pPr>
              <w:jc w:val="right"/>
              <w:ind w:right="710"/>
              <w:spacing w:after="0" w:line="202" w:lineRule="exact"/>
              <w:rPr>
                <w:sz w:val="20"/>
                <w:szCs w:val="20"/>
                <w:color w:val="auto"/>
              </w:rPr>
            </w:pPr>
            <w:r>
              <w:rPr>
                <w:rFonts w:ascii="Arial" w:cs="Arial" w:eastAsia="Arial" w:hAnsi="Arial"/>
                <w:sz w:val="18"/>
                <w:szCs w:val="18"/>
                <w:b w:val="1"/>
                <w:bCs w:val="1"/>
                <w:color w:val="auto"/>
              </w:rPr>
              <w:t>29,886</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31,018</w:t>
            </w:r>
          </w:p>
        </w:tc>
      </w:tr>
      <w:tr>
        <w:trPr>
          <w:trHeight w:val="227"/>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w:t>
            </w:r>
          </w:p>
        </w:tc>
        <w:tc>
          <w:tcPr>
            <w:tcW w:w="46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44,243</w:t>
            </w:r>
          </w:p>
        </w:tc>
        <w:tc>
          <w:tcPr>
            <w:tcW w:w="1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26,942</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left="620" w:hanging="315"/>
        <w:spacing w:after="0"/>
        <w:tabs>
          <w:tab w:leader="none" w:pos="6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increased by 1.8%.</w:t>
      </w:r>
    </w:p>
    <w:p>
      <w:pPr>
        <w:spacing w:after="0" w:line="183" w:lineRule="exact"/>
        <w:rPr>
          <w:rFonts w:ascii="Times New Roman" w:cs="Times New Roman" w:eastAsia="Times New Roman" w:hAnsi="Times New Roman"/>
          <w:sz w:val="18"/>
          <w:szCs w:val="18"/>
          <w:color w:val="auto"/>
        </w:rPr>
      </w:pPr>
    </w:p>
    <w:p>
      <w:pPr>
        <w:ind w:left="1460" w:right="60" w:hanging="318"/>
        <w:spacing w:after="0" w:line="255" w:lineRule="auto"/>
        <w:tabs>
          <w:tab w:leader="none" w:pos="1460" w:val="left"/>
        </w:tabs>
        <w:numPr>
          <w:ilvl w:val="1"/>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had the effect of decreasing first-quarter 2019 sales by $4.2 million compared to the same period in 2018. That currency translation effect was principally due to the weakening of the euro and Chinese renminbi in the first quarter of 2019, compared to the first quarter of 2018.</w:t>
      </w:r>
    </w:p>
    <w:p>
      <w:pPr>
        <w:spacing w:after="0" w:line="338" w:lineRule="exact"/>
        <w:rPr>
          <w:rFonts w:ascii="Times New Roman" w:cs="Times New Roman" w:eastAsia="Times New Roman" w:hAnsi="Times New Roman"/>
          <w:sz w:val="18"/>
          <w:szCs w:val="18"/>
          <w:color w:val="auto"/>
        </w:rPr>
      </w:pPr>
    </w:p>
    <w:p>
      <w:pPr>
        <w:ind w:left="1460" w:right="360" w:hanging="318"/>
        <w:spacing w:after="0" w:line="275" w:lineRule="auto"/>
        <w:tabs>
          <w:tab w:leader="none" w:pos="1460" w:val="left"/>
        </w:tabs>
        <w:numPr>
          <w:ilvl w:val="1"/>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 Net sales in MC increased 4.8% principally due to growth in sales for the tissue and packaging grades, and in the North America market across all major grades.</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left="1240" w:hanging="327"/>
        <w:spacing w:after="0"/>
        <w:tabs>
          <w:tab w:leader="none" w:pos="124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 in MC Gross profit was principally due to higher sales and improved labor productivity.</w:t>
      </w:r>
    </w:p>
    <w:p>
      <w:pPr>
        <w:spacing w:after="0" w:line="386" w:lineRule="exact"/>
        <w:rPr>
          <w:rFonts w:ascii="Times New Roman" w:cs="Times New Roman" w:eastAsia="Times New Roman" w:hAnsi="Times New Roman"/>
          <w:sz w:val="18"/>
          <w:szCs w:val="18"/>
          <w:color w:val="auto"/>
        </w:rPr>
      </w:pPr>
    </w:p>
    <w:p>
      <w:pPr>
        <w:ind w:left="1360" w:hanging="326"/>
        <w:spacing w:after="0"/>
        <w:tabs>
          <w:tab w:leader="none" w:pos="1360" w:val="left"/>
        </w:tabs>
        <w:numPr>
          <w:ilvl w:val="1"/>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currency translation rates did not have a significant effect on Gross profit for the first quarter of 2019.</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operating income was principally due to the net effect of the following individually significant items:</w:t>
      </w:r>
    </w:p>
    <w:p>
      <w:pPr>
        <w:spacing w:after="0" w:line="198" w:lineRule="exact"/>
        <w:rPr>
          <w:sz w:val="20"/>
          <w:szCs w:val="20"/>
          <w:color w:val="auto"/>
        </w:rPr>
      </w:pPr>
    </w:p>
    <w:p>
      <w:pPr>
        <w:ind w:left="1160" w:hanging="328"/>
        <w:spacing w:after="0"/>
        <w:tabs>
          <w:tab w:leader="none" w:pos="116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Gross profit increased $8.2 million due to increased sales and improved labor productivity.</w:t>
      </w:r>
    </w:p>
    <w:p>
      <w:pPr>
        <w:spacing w:after="0" w:line="386" w:lineRule="exact"/>
        <w:rPr>
          <w:rFonts w:ascii="Times New Roman" w:cs="Times New Roman" w:eastAsia="Times New Roman" w:hAnsi="Times New Roman"/>
          <w:sz w:val="18"/>
          <w:szCs w:val="18"/>
          <w:color w:val="auto"/>
        </w:rPr>
      </w:pPr>
    </w:p>
    <w:p>
      <w:pPr>
        <w:ind w:left="1460" w:right="180" w:hanging="318"/>
        <w:spacing w:after="0" w:line="275" w:lineRule="auto"/>
        <w:tabs>
          <w:tab w:leader="none" w:pos="1460" w:val="left"/>
        </w:tabs>
        <w:numPr>
          <w:ilvl w:val="1"/>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STG&amp;R expenses decreased $1.1 million principally due to revaluation of nonfunctional currency assets and liabilities and resulted in first-quarter losses of $1.5 million in 2018, while the effect in 2019 was nil.</w:t>
      </w:r>
    </w:p>
    <w:p>
      <w:pPr>
        <w:spacing w:after="0" w:line="322" w:lineRule="exact"/>
        <w:rPr>
          <w:sz w:val="20"/>
          <w:szCs w:val="20"/>
          <w:color w:val="auto"/>
        </w:rPr>
      </w:pPr>
    </w:p>
    <w:p>
      <w:pPr>
        <w:ind w:left="1420" w:hanging="318"/>
        <w:spacing w:after="0"/>
        <w:tabs>
          <w:tab w:leader="none" w:pos="14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Restructuring charges were $0.4 million in the first-quarter of 2019, compared to $8.4 million in the same period in 2018.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Albany Engineered Composites Segment</w:t>
      </w:r>
    </w:p>
    <w:p>
      <w:pPr>
        <w:spacing w:after="0" w:line="200" w:lineRule="exact"/>
        <w:rPr>
          <w:sz w:val="20"/>
          <w:szCs w:val="20"/>
          <w:color w:val="auto"/>
        </w:rPr>
      </w:pPr>
    </w:p>
    <w:p>
      <w:pPr>
        <w:ind w:firstLine="648"/>
        <w:spacing w:after="0" w:line="243" w:lineRule="auto"/>
        <w:rPr>
          <w:sz w:val="20"/>
          <w:szCs w:val="20"/>
          <w:color w:val="auto"/>
        </w:rPr>
      </w:pPr>
      <w:r>
        <w:rPr>
          <w:rFonts w:ascii="Arial" w:cs="Arial" w:eastAsia="Arial" w:hAnsi="Arial"/>
          <w:sz w:val="18"/>
          <w:szCs w:val="18"/>
          <w:color w:val="auto"/>
        </w:rPr>
        <w:t>The AEC segment, including Albany Safran Composites, LLC (ASC), in which our customer, the SAFRAN Group, owns a 10 percent noncontrolling interest, provides highly engineered advanced composite structures to customers primarily in the aerospace (both commercial and defense) industry. AEC’s largest program relates to CFM International’s LEAP engine. AEC, through ASC, is the exclusive supplier of advanced composite fan blades and cases for this program under a long-term supply contract. LEAP engines are currently used on the Boeing 737 Max, Airbus A320neo and COMAC aircraft. Other significant AEC programs include components for the F-35, fuselage frames for the Boeing 787, components for the CH53-K helicopter, and the fan case for the GE9X engine.</w:t>
      </w:r>
    </w:p>
    <w:p>
      <w:pPr>
        <w:spacing w:after="0" w:line="134" w:lineRule="exact"/>
        <w:rPr>
          <w:sz w:val="20"/>
          <w:szCs w:val="20"/>
          <w:color w:val="auto"/>
        </w:rPr>
      </w:pPr>
    </w:p>
    <w:p>
      <w:pPr>
        <w:jc w:val="both"/>
        <w:ind w:right="100" w:firstLine="648"/>
        <w:spacing w:after="0" w:line="248" w:lineRule="auto"/>
        <w:rPr>
          <w:sz w:val="20"/>
          <w:szCs w:val="20"/>
          <w:color w:val="auto"/>
        </w:rPr>
      </w:pPr>
      <w:r>
        <w:rPr>
          <w:rFonts w:ascii="Arial" w:cs="Arial" w:eastAsia="Arial" w:hAnsi="Arial"/>
          <w:sz w:val="18"/>
          <w:szCs w:val="18"/>
          <w:color w:val="auto"/>
        </w:rPr>
        <w:t>A number of countries, including the United States, have recently issued orders grounding Boeing 737 Max 8 and/or Max 9 aircraft. If these recent groundings cause a decrease in demand for, or production of, this aircraft, it could have an adverse impact on demand for LEAP engines, which could in turn have an adverse impact on demand for our LEAP engine parts. Based on recent communications by Boeing and the SAFRAN Group, we are currently not projecting any change to our production forecast.</w:t>
      </w:r>
    </w:p>
    <w:p>
      <w:pPr>
        <w:spacing w:after="0" w:line="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40"/>
          </w:cols>
          <w:pgMar w:left="240" w:top="466" w:right="31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Review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560" w:type="dxa"/>
            <w:vAlign w:val="bottom"/>
            <w:tcBorders>
              <w:top w:val="single" w:sz="8" w:color="auto"/>
            </w:tcBorders>
          </w:tcPr>
          <w:p>
            <w:pPr>
              <w:spacing w:after="0"/>
              <w:rPr>
                <w:sz w:val="16"/>
                <w:szCs w:val="16"/>
                <w:color w:val="auto"/>
              </w:rPr>
            </w:pPr>
          </w:p>
        </w:tc>
        <w:tc>
          <w:tcPr>
            <w:tcW w:w="5860" w:type="dxa"/>
            <w:vAlign w:val="bottom"/>
            <w:tcBorders>
              <w:top w:val="single" w:sz="8" w:color="auto"/>
            </w:tcBorders>
            <w:gridSpan w:val="2"/>
          </w:tcPr>
          <w:p>
            <w:pPr>
              <w:jc w:val="right"/>
              <w:ind w:right="1130"/>
              <w:spacing w:after="0" w:line="191" w:lineRule="exact"/>
              <w:rPr>
                <w:sz w:val="20"/>
                <w:szCs w:val="20"/>
                <w:color w:val="auto"/>
              </w:rPr>
            </w:pPr>
            <w:r>
              <w:rPr>
                <w:rFonts w:ascii="Arial" w:cs="Arial" w:eastAsia="Arial" w:hAnsi="Arial"/>
                <w:sz w:val="18"/>
                <w:szCs w:val="18"/>
                <w:b w:val="1"/>
                <w:bCs w:val="1"/>
                <w:color w:val="auto"/>
              </w:rPr>
              <w:t>Three months ended</w:t>
            </w:r>
          </w:p>
        </w:tc>
        <w:tc>
          <w:tcPr>
            <w:tcW w:w="20" w:type="dxa"/>
            <w:vAlign w:val="bottom"/>
          </w:tcPr>
          <w:p>
            <w:pPr>
              <w:spacing w:after="0"/>
              <w:rPr>
                <w:sz w:val="16"/>
                <w:szCs w:val="16"/>
                <w:color w:val="auto"/>
              </w:rPr>
            </w:pPr>
          </w:p>
        </w:tc>
      </w:tr>
      <w:tr>
        <w:trPr>
          <w:trHeight w:val="203"/>
        </w:trPr>
        <w:tc>
          <w:tcPr>
            <w:tcW w:w="5560" w:type="dxa"/>
            <w:vAlign w:val="bottom"/>
          </w:tcPr>
          <w:p>
            <w:pPr>
              <w:spacing w:after="0"/>
              <w:rPr>
                <w:sz w:val="17"/>
                <w:szCs w:val="17"/>
                <w:color w:val="auto"/>
              </w:rPr>
            </w:pPr>
          </w:p>
        </w:tc>
        <w:tc>
          <w:tcPr>
            <w:tcW w:w="4400" w:type="dxa"/>
            <w:vAlign w:val="bottom"/>
          </w:tcPr>
          <w:p>
            <w:pPr>
              <w:jc w:val="right"/>
              <w:ind w:right="150"/>
              <w:spacing w:after="0" w:line="202" w:lineRule="exact"/>
              <w:rPr>
                <w:sz w:val="20"/>
                <w:szCs w:val="20"/>
                <w:color w:val="auto"/>
              </w:rPr>
            </w:pPr>
            <w:r>
              <w:rPr>
                <w:rFonts w:ascii="Arial" w:cs="Arial" w:eastAsia="Arial" w:hAnsi="Arial"/>
                <w:sz w:val="18"/>
                <w:szCs w:val="18"/>
                <w:b w:val="1"/>
                <w:bCs w:val="1"/>
                <w:color w:val="auto"/>
              </w:rPr>
              <w:t>March 31,</w:t>
            </w: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 except percentages)</w:t>
            </w:r>
          </w:p>
        </w:tc>
        <w:tc>
          <w:tcPr>
            <w:tcW w:w="44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b w:val="1"/>
                <w:bCs w:val="1"/>
                <w:color w:val="auto"/>
              </w:rPr>
              <w:t>2019</w:t>
            </w:r>
          </w:p>
        </w:tc>
        <w:tc>
          <w:tcPr>
            <w:tcW w:w="146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r>
      <w:tr>
        <w:trPr>
          <w:trHeight w:val="171"/>
        </w:trPr>
        <w:tc>
          <w:tcPr>
            <w:tcW w:w="5560" w:type="dxa"/>
            <w:vAlign w:val="bottom"/>
          </w:tcPr>
          <w:p>
            <w:pPr>
              <w:spacing w:after="0" w:line="171" w:lineRule="exact"/>
              <w:rPr>
                <w:sz w:val="20"/>
                <w:szCs w:val="20"/>
                <w:color w:val="auto"/>
              </w:rPr>
            </w:pPr>
            <w:r>
              <w:rPr>
                <w:rFonts w:ascii="Arial" w:cs="Arial" w:eastAsia="Arial" w:hAnsi="Arial"/>
                <w:sz w:val="18"/>
                <w:szCs w:val="18"/>
                <w:color w:val="auto"/>
              </w:rPr>
              <w:t>Net sales</w:t>
            </w:r>
          </w:p>
        </w:tc>
        <w:tc>
          <w:tcPr>
            <w:tcW w:w="4400" w:type="dxa"/>
            <w:vAlign w:val="bottom"/>
          </w:tcPr>
          <w:p>
            <w:pPr>
              <w:jc w:val="right"/>
              <w:ind w:right="510"/>
              <w:spacing w:after="0" w:line="171" w:lineRule="exact"/>
              <w:rPr>
                <w:sz w:val="20"/>
                <w:szCs w:val="20"/>
                <w:color w:val="auto"/>
              </w:rPr>
            </w:pPr>
            <w:r>
              <w:rPr>
                <w:rFonts w:ascii="Arial" w:cs="Arial" w:eastAsia="Arial" w:hAnsi="Arial"/>
                <w:sz w:val="18"/>
                <w:szCs w:val="18"/>
                <w:b w:val="1"/>
                <w:bCs w:val="1"/>
                <w:color w:val="auto"/>
              </w:rPr>
              <w:t>$107,039</w:t>
            </w:r>
          </w:p>
        </w:tc>
        <w:tc>
          <w:tcPr>
            <w:tcW w:w="1460" w:type="dxa"/>
            <w:vAlign w:val="bottom"/>
          </w:tcPr>
          <w:p>
            <w:pPr>
              <w:jc w:val="right"/>
              <w:spacing w:after="0" w:line="171" w:lineRule="exact"/>
              <w:rPr>
                <w:sz w:val="20"/>
                <w:szCs w:val="20"/>
                <w:color w:val="auto"/>
              </w:rPr>
            </w:pPr>
            <w:r>
              <w:rPr>
                <w:rFonts w:ascii="Arial" w:cs="Arial" w:eastAsia="Arial" w:hAnsi="Arial"/>
                <w:sz w:val="18"/>
                <w:szCs w:val="18"/>
                <w:color w:val="auto"/>
              </w:rPr>
              <w:t>$81,830</w:t>
            </w:r>
          </w:p>
        </w:tc>
        <w:tc>
          <w:tcPr>
            <w:tcW w:w="20" w:type="dxa"/>
            <w:vAlign w:val="bottom"/>
          </w:tcPr>
          <w:p>
            <w:pPr>
              <w:spacing w:after="0"/>
              <w:rPr>
                <w:sz w:val="14"/>
                <w:szCs w:val="14"/>
                <w:color w:val="auto"/>
              </w:rPr>
            </w:pP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Gross profit</w:t>
            </w:r>
          </w:p>
        </w:tc>
        <w:tc>
          <w:tcPr>
            <w:tcW w:w="440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17,243</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11,524</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 of Net sales</w:t>
            </w:r>
          </w:p>
        </w:tc>
        <w:tc>
          <w:tcPr>
            <w:tcW w:w="440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16.1%</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14.1%</w:t>
            </w:r>
          </w:p>
        </w:tc>
      </w:tr>
      <w:tr>
        <w:trPr>
          <w:trHeight w:val="203"/>
        </w:trPr>
        <w:tc>
          <w:tcPr>
            <w:tcW w:w="5560" w:type="dxa"/>
            <w:vAlign w:val="bottom"/>
          </w:tcPr>
          <w:p>
            <w:pPr>
              <w:spacing w:after="0" w:line="202" w:lineRule="exact"/>
              <w:rPr>
                <w:sz w:val="20"/>
                <w:szCs w:val="20"/>
                <w:color w:val="auto"/>
              </w:rPr>
            </w:pPr>
            <w:r>
              <w:rPr>
                <w:rFonts w:ascii="Arial" w:cs="Arial" w:eastAsia="Arial" w:hAnsi="Arial"/>
                <w:sz w:val="18"/>
                <w:szCs w:val="18"/>
                <w:color w:val="auto"/>
              </w:rPr>
              <w:t>STG&amp;R expenses</w:t>
            </w:r>
          </w:p>
        </w:tc>
        <w:tc>
          <w:tcPr>
            <w:tcW w:w="4400" w:type="dxa"/>
            <w:vAlign w:val="bottom"/>
          </w:tcPr>
          <w:p>
            <w:pPr>
              <w:jc w:val="right"/>
              <w:ind w:right="510"/>
              <w:spacing w:after="0" w:line="202" w:lineRule="exact"/>
              <w:rPr>
                <w:sz w:val="20"/>
                <w:szCs w:val="20"/>
                <w:color w:val="auto"/>
              </w:rPr>
            </w:pPr>
            <w:r>
              <w:rPr>
                <w:rFonts w:ascii="Arial" w:cs="Arial" w:eastAsia="Arial" w:hAnsi="Arial"/>
                <w:sz w:val="18"/>
                <w:szCs w:val="18"/>
                <w:b w:val="1"/>
                <w:bCs w:val="1"/>
                <w:color w:val="auto"/>
              </w:rPr>
              <w:t>7,637</w:t>
            </w:r>
          </w:p>
        </w:tc>
        <w:tc>
          <w:tcPr>
            <w:tcW w:w="14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9,028</w:t>
            </w:r>
          </w:p>
        </w:tc>
      </w:tr>
      <w:tr>
        <w:trPr>
          <w:trHeight w:val="227"/>
        </w:trPr>
        <w:tc>
          <w:tcPr>
            <w:tcW w:w="5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income/(loss)</w:t>
            </w:r>
          </w:p>
        </w:tc>
        <w:tc>
          <w:tcPr>
            <w:tcW w:w="4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9,522</w:t>
            </w:r>
          </w:p>
        </w:tc>
        <w:tc>
          <w:tcPr>
            <w:tcW w:w="1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2,275</w:t>
            </w:r>
          </w:p>
        </w:tc>
      </w:tr>
    </w:tbl>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Net sales was principally due to the net effect of the following individually significant items:</w:t>
      </w:r>
    </w:p>
    <w:p>
      <w:pPr>
        <w:spacing w:after="0" w:line="198"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Net sales increased by 30.8%.</w:t>
      </w:r>
    </w:p>
    <w:p>
      <w:pPr>
        <w:spacing w:after="0" w:line="183" w:lineRule="exact"/>
        <w:rPr>
          <w:rFonts w:ascii="Times New Roman" w:cs="Times New Roman" w:eastAsia="Times New Roman" w:hAnsi="Times New Roman"/>
          <w:sz w:val="18"/>
          <w:szCs w:val="18"/>
          <w:color w:val="auto"/>
        </w:rPr>
      </w:pPr>
    </w:p>
    <w:p>
      <w:pPr>
        <w:ind w:left="660" w:right="320" w:hanging="328"/>
        <w:spacing w:after="0" w:line="275" w:lineRule="auto"/>
        <w:tabs>
          <w:tab w:leader="none" w:pos="66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Excluding the effect of changes in currency translation rates, Net sales increased 33.1% primarily driven by growth in the LEAP and CH-53K programs.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increase in gross profit of $5.7 million was principally due to the increase in Net sales, as described above, improved labor productivity, and the effect of changes in the estimated profitability of long-term contracts which increased Gross profit by $0.6 million in the first quarter of 2019, compared to a reduction of $0.7 million in 2018.</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contracts</w:t>
      </w:r>
    </w:p>
    <w:p>
      <w:pPr>
        <w:spacing w:after="0" w:line="173"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AEC has contracts with certain customers, including its contract for the LEAP program, where revenue is determined by a cost-plus fee agreement. Revenue earned under these arrangements accounted for approximately 50 percent of segment revenue for each of the first three months of 2019 and 2018.</w:t>
      </w:r>
    </w:p>
    <w:p>
      <w:pPr>
        <w:spacing w:after="0" w:line="151" w:lineRule="exact"/>
        <w:rPr>
          <w:sz w:val="20"/>
          <w:szCs w:val="20"/>
          <w:color w:val="auto"/>
        </w:rPr>
      </w:pPr>
    </w:p>
    <w:p>
      <w:pPr>
        <w:ind w:right="140" w:firstLine="324"/>
        <w:spacing w:after="0" w:line="248" w:lineRule="auto"/>
        <w:rPr>
          <w:sz w:val="20"/>
          <w:szCs w:val="20"/>
          <w:color w:val="auto"/>
        </w:rPr>
      </w:pPr>
      <w:r>
        <w:rPr>
          <w:rFonts w:ascii="Arial" w:cs="Arial" w:eastAsia="Arial" w:hAnsi="Arial"/>
          <w:sz w:val="18"/>
          <w:szCs w:val="18"/>
          <w:color w:val="auto"/>
        </w:rPr>
        <w:t>In addition, AEC has long-term contracts in which the selling price is fixed. In accounting for those contracts, we estimate the profit margin expected at the completion of the contract and recognize a pro-rata share of that profit during the course of the contract using a cost-to-cost approach. Changes in estimated contract profitability will affect revenue and gross profit when the change occurs, which could have a significant favorable or unfavorable effect on revenue and gross profit in any reporting period.</w:t>
      </w:r>
    </w:p>
    <w:p>
      <w:pPr>
        <w:spacing w:after="0" w:line="157" w:lineRule="exact"/>
        <w:rPr>
          <w:sz w:val="20"/>
          <w:szCs w:val="20"/>
          <w:color w:val="auto"/>
        </w:rPr>
      </w:pPr>
    </w:p>
    <w:p>
      <w:pPr>
        <w:ind w:right="180" w:firstLine="324"/>
        <w:spacing w:after="0" w:line="276" w:lineRule="auto"/>
        <w:rPr>
          <w:sz w:val="20"/>
          <w:szCs w:val="20"/>
          <w:color w:val="auto"/>
        </w:rPr>
      </w:pPr>
      <w:r>
        <w:rPr>
          <w:rFonts w:ascii="Arial" w:cs="Arial" w:eastAsia="Arial" w:hAnsi="Arial"/>
          <w:sz w:val="18"/>
          <w:szCs w:val="18"/>
          <w:color w:val="auto"/>
        </w:rPr>
        <w:t>Changes in contract estimates resulted in an increase to gross profit of $0.6 million for the first quarter of 2019. Changes in other contract estimates in the first quarter of 2018 resulted in a decrease to gross profit of $0.7 million.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Operating Income/(Loss)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Three month comparison</w:t>
      </w:r>
    </w:p>
    <w:p>
      <w:pPr>
        <w:spacing w:after="0" w:line="200" w:lineRule="exact"/>
        <w:rPr>
          <w:sz w:val="20"/>
          <w:szCs w:val="20"/>
          <w:color w:val="auto"/>
        </w:rPr>
      </w:pPr>
    </w:p>
    <w:p>
      <w:pPr>
        <w:ind w:right="120" w:firstLine="324"/>
        <w:spacing w:after="0" w:line="276" w:lineRule="auto"/>
        <w:rPr>
          <w:sz w:val="20"/>
          <w:szCs w:val="20"/>
          <w:color w:val="auto"/>
        </w:rPr>
      </w:pPr>
      <w:r>
        <w:rPr>
          <w:rFonts w:ascii="Arial" w:cs="Arial" w:eastAsia="Arial" w:hAnsi="Arial"/>
          <w:sz w:val="18"/>
          <w:szCs w:val="18"/>
          <w:color w:val="auto"/>
        </w:rPr>
        <w:t>The increase in operating income of $7.3 million in the first quarter of 2019 was principally due to the net effect of the following individually significant items:</w:t>
      </w:r>
    </w:p>
    <w:p>
      <w:pPr>
        <w:spacing w:after="0" w:line="132"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$5.7 million increase in Gross profit, as described above.</w:t>
      </w:r>
    </w:p>
    <w:p>
      <w:pPr>
        <w:spacing w:after="0" w:line="18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 $1.4 million decrease in STG&amp;R expenses, due to lower compensation and professional fees in 2019.</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60" w:type="dxa"/>
            <w:vAlign w:val="bottom"/>
            <w:tcBorders>
              <w:top w:val="single" w:sz="8" w:color="auto"/>
            </w:tcBorders>
          </w:tcPr>
          <w:p>
            <w:pPr>
              <w:spacing w:after="0"/>
              <w:rPr>
                <w:sz w:val="14"/>
                <w:szCs w:val="14"/>
                <w:color w:val="auto"/>
              </w:rPr>
            </w:pPr>
          </w:p>
        </w:tc>
        <w:tc>
          <w:tcPr>
            <w:tcW w:w="4440" w:type="dxa"/>
            <w:vAlign w:val="bottom"/>
            <w:tcBorders>
              <w:top w:val="single" w:sz="8" w:color="auto"/>
            </w:tcBorders>
            <w:gridSpan w:val="2"/>
          </w:tcPr>
          <w:p>
            <w:pPr>
              <w:jc w:val="right"/>
              <w:ind w:right="570"/>
              <w:spacing w:after="0" w:line="171"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gridSpan w:val="2"/>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340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March 31,</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7"/>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340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71"/>
        </w:trPr>
        <w:tc>
          <w:tcPr>
            <w:tcW w:w="6980" w:type="dxa"/>
            <w:vAlign w:val="bottom"/>
            <w:gridSpan w:val="2"/>
          </w:tcPr>
          <w:p>
            <w:pPr>
              <w:spacing w:after="0" w:line="171" w:lineRule="exact"/>
              <w:rPr>
                <w:sz w:val="20"/>
                <w:szCs w:val="20"/>
                <w:color w:val="auto"/>
              </w:rPr>
            </w:pPr>
            <w:r>
              <w:rPr>
                <w:rFonts w:ascii="Arial" w:cs="Arial" w:eastAsia="Arial" w:hAnsi="Arial"/>
                <w:sz w:val="18"/>
                <w:szCs w:val="18"/>
                <w:color w:val="auto"/>
              </w:rPr>
              <w:t>Net income</w:t>
            </w:r>
          </w:p>
        </w:tc>
        <w:tc>
          <w:tcPr>
            <w:tcW w:w="3400" w:type="dxa"/>
            <w:vAlign w:val="bottom"/>
          </w:tcPr>
          <w:p>
            <w:pPr>
              <w:jc w:val="right"/>
              <w:ind w:right="350"/>
              <w:spacing w:after="0" w:line="171" w:lineRule="exact"/>
              <w:rPr>
                <w:sz w:val="20"/>
                <w:szCs w:val="20"/>
                <w:color w:val="auto"/>
              </w:rPr>
            </w:pPr>
            <w:r>
              <w:rPr>
                <w:rFonts w:ascii="Arial" w:cs="Arial" w:eastAsia="Arial" w:hAnsi="Arial"/>
                <w:sz w:val="18"/>
                <w:szCs w:val="18"/>
                <w:b w:val="1"/>
                <w:bCs w:val="1"/>
                <w:color w:val="auto"/>
              </w:rPr>
              <w:t>$29,408</w:t>
            </w:r>
          </w:p>
        </w:tc>
        <w:tc>
          <w:tcPr>
            <w:tcW w:w="1040" w:type="dxa"/>
            <w:vAlign w:val="bottom"/>
          </w:tcPr>
          <w:p>
            <w:pPr>
              <w:jc w:val="right"/>
              <w:spacing w:after="0" w:line="171" w:lineRule="exact"/>
              <w:rPr>
                <w:sz w:val="20"/>
                <w:szCs w:val="20"/>
                <w:color w:val="auto"/>
              </w:rPr>
            </w:pPr>
            <w:r>
              <w:rPr>
                <w:rFonts w:ascii="Arial" w:cs="Arial" w:eastAsia="Arial" w:hAnsi="Arial"/>
                <w:sz w:val="18"/>
                <w:szCs w:val="18"/>
                <w:color w:val="auto"/>
              </w:rPr>
              <w:t>$7,899</w:t>
            </w:r>
          </w:p>
        </w:tc>
        <w:tc>
          <w:tcPr>
            <w:tcW w:w="40" w:type="dxa"/>
            <w:vAlign w:val="bottom"/>
            <w:gridSpan w:val="2"/>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40"/>
              <w:spacing w:after="0" w:line="202" w:lineRule="exact"/>
              <w:rPr>
                <w:sz w:val="20"/>
                <w:szCs w:val="20"/>
                <w:color w:val="auto"/>
              </w:rPr>
            </w:pPr>
            <w:r>
              <w:rPr>
                <w:rFonts w:ascii="Arial" w:cs="Arial" w:eastAsia="Arial" w:hAnsi="Arial"/>
                <w:sz w:val="18"/>
                <w:szCs w:val="18"/>
                <w:color w:val="auto"/>
              </w:rPr>
              <w:t>Depreciation and amortization</w:t>
            </w:r>
          </w:p>
        </w:tc>
        <w:tc>
          <w:tcPr>
            <w:tcW w:w="34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17,956</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20,948</w:t>
            </w:r>
          </w:p>
        </w:tc>
      </w:tr>
      <w:tr>
        <w:trPr>
          <w:trHeight w:val="203"/>
        </w:trPr>
        <w:tc>
          <w:tcPr>
            <w:tcW w:w="20" w:type="dxa"/>
            <w:vAlign w:val="bottom"/>
          </w:tcPr>
          <w:p>
            <w:pPr>
              <w:spacing w:after="0"/>
              <w:rPr>
                <w:sz w:val="17"/>
                <w:szCs w:val="17"/>
                <w:color w:val="auto"/>
              </w:rPr>
            </w:pPr>
          </w:p>
        </w:tc>
        <w:tc>
          <w:tcPr>
            <w:tcW w:w="6960" w:type="dxa"/>
            <w:vAlign w:val="bottom"/>
          </w:tcPr>
          <w:p>
            <w:pPr>
              <w:ind w:left="140"/>
              <w:spacing w:after="0" w:line="202" w:lineRule="exact"/>
              <w:rPr>
                <w:sz w:val="20"/>
                <w:szCs w:val="20"/>
                <w:color w:val="auto"/>
              </w:rPr>
            </w:pPr>
            <w:r>
              <w:rPr>
                <w:rFonts w:ascii="Arial" w:cs="Arial" w:eastAsia="Arial" w:hAnsi="Arial"/>
                <w:sz w:val="18"/>
                <w:szCs w:val="18"/>
                <w:color w:val="auto"/>
              </w:rPr>
              <w:t>Changes in working capital (a)</w:t>
            </w:r>
          </w:p>
        </w:tc>
        <w:tc>
          <w:tcPr>
            <w:tcW w:w="34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(7,017)</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(37,264)</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960" w:type="dxa"/>
            <w:vAlign w:val="bottom"/>
          </w:tcPr>
          <w:p>
            <w:pPr>
              <w:ind w:left="140"/>
              <w:spacing w:after="0" w:line="202" w:lineRule="exact"/>
              <w:rPr>
                <w:sz w:val="20"/>
                <w:szCs w:val="20"/>
                <w:color w:val="auto"/>
              </w:rPr>
            </w:pPr>
            <w:r>
              <w:rPr>
                <w:rFonts w:ascii="Arial" w:cs="Arial" w:eastAsia="Arial" w:hAnsi="Arial"/>
                <w:sz w:val="18"/>
                <w:szCs w:val="18"/>
                <w:color w:val="auto"/>
              </w:rPr>
              <w:t>Changes in other noncurrent liabilities and deferred taxes</w:t>
            </w:r>
          </w:p>
        </w:tc>
        <w:tc>
          <w:tcPr>
            <w:tcW w:w="34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(2,744)</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(2,405)</w:t>
            </w:r>
          </w:p>
        </w:tc>
      </w:tr>
      <w:tr>
        <w:trPr>
          <w:trHeight w:val="227"/>
        </w:trPr>
        <w:tc>
          <w:tcPr>
            <w:tcW w:w="20" w:type="dxa"/>
            <w:vAlign w:val="bottom"/>
          </w:tcPr>
          <w:p>
            <w:pPr>
              <w:spacing w:after="0"/>
              <w:rPr>
                <w:sz w:val="19"/>
                <w:szCs w:val="19"/>
                <w:color w:val="auto"/>
              </w:rPr>
            </w:pPr>
          </w:p>
        </w:tc>
        <w:tc>
          <w:tcPr>
            <w:tcW w:w="6960" w:type="dxa"/>
            <w:vAlign w:val="bottom"/>
          </w:tcPr>
          <w:p>
            <w:pPr>
              <w:ind w:left="140"/>
              <w:spacing w:after="0"/>
              <w:rPr>
                <w:sz w:val="20"/>
                <w:szCs w:val="20"/>
                <w:color w:val="auto"/>
              </w:rPr>
            </w:pPr>
            <w:r>
              <w:rPr>
                <w:rFonts w:ascii="Arial" w:cs="Arial" w:eastAsia="Arial" w:hAnsi="Arial"/>
                <w:sz w:val="18"/>
                <w:szCs w:val="18"/>
                <w:color w:val="auto"/>
              </w:rPr>
              <w:t>Other operating items</w:t>
            </w:r>
          </w:p>
        </w:tc>
        <w:tc>
          <w:tcPr>
            <w:tcW w:w="3400" w:type="dxa"/>
            <w:vAlign w:val="bottom"/>
          </w:tcPr>
          <w:p>
            <w:pPr>
              <w:jc w:val="right"/>
              <w:ind w:right="350"/>
              <w:spacing w:after="0"/>
              <w:rPr>
                <w:sz w:val="20"/>
                <w:szCs w:val="20"/>
                <w:color w:val="auto"/>
              </w:rPr>
            </w:pPr>
            <w:r>
              <w:rPr>
                <w:rFonts w:ascii="Arial" w:cs="Arial" w:eastAsia="Arial" w:hAnsi="Arial"/>
                <w:sz w:val="18"/>
                <w:szCs w:val="18"/>
                <w:b w:val="1"/>
                <w:bCs w:val="1"/>
                <w:color w:val="auto"/>
              </w:rPr>
              <w:t>(13,037)</w:t>
            </w: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(8,125)</w:t>
            </w:r>
          </w:p>
        </w:tc>
      </w:tr>
      <w:tr>
        <w:trPr>
          <w:trHeight w:val="171"/>
        </w:trPr>
        <w:tc>
          <w:tcPr>
            <w:tcW w:w="20" w:type="dxa"/>
            <w:vAlign w:val="bottom"/>
          </w:tcPr>
          <w:p>
            <w:pPr>
              <w:spacing w:after="0"/>
              <w:rPr>
                <w:sz w:val="14"/>
                <w:szCs w:val="14"/>
                <w:color w:val="auto"/>
              </w:rPr>
            </w:pPr>
          </w:p>
        </w:tc>
        <w:tc>
          <w:tcPr>
            <w:tcW w:w="6960" w:type="dxa"/>
            <w:vAlign w:val="bottom"/>
            <w:tcBorders>
              <w:top w:val="single" w:sz="8" w:color="auto"/>
            </w:tcBorders>
          </w:tcPr>
          <w:p>
            <w:pPr>
              <w:spacing w:after="0" w:line="171" w:lineRule="exact"/>
              <w:rPr>
                <w:sz w:val="20"/>
                <w:szCs w:val="20"/>
                <w:color w:val="auto"/>
              </w:rPr>
            </w:pPr>
            <w:r>
              <w:rPr>
                <w:rFonts w:ascii="Arial" w:cs="Arial" w:eastAsia="Arial" w:hAnsi="Arial"/>
                <w:sz w:val="18"/>
                <w:szCs w:val="18"/>
                <w:color w:val="auto"/>
              </w:rPr>
              <w:t>Net cash provided by/(used in) operating activities</w:t>
            </w:r>
          </w:p>
        </w:tc>
        <w:tc>
          <w:tcPr>
            <w:tcW w:w="3400" w:type="dxa"/>
            <w:vAlign w:val="bottom"/>
            <w:tcBorders>
              <w:top w:val="single" w:sz="8" w:color="auto"/>
            </w:tcBorders>
          </w:tcPr>
          <w:p>
            <w:pPr>
              <w:jc w:val="right"/>
              <w:ind w:right="350"/>
              <w:spacing w:after="0" w:line="171" w:lineRule="exact"/>
              <w:rPr>
                <w:sz w:val="20"/>
                <w:szCs w:val="20"/>
                <w:color w:val="auto"/>
              </w:rPr>
            </w:pPr>
            <w:r>
              <w:rPr>
                <w:rFonts w:ascii="Arial" w:cs="Arial" w:eastAsia="Arial" w:hAnsi="Arial"/>
                <w:sz w:val="18"/>
                <w:szCs w:val="18"/>
                <w:b w:val="1"/>
                <w:bCs w:val="1"/>
                <w:color w:val="auto"/>
              </w:rPr>
              <w:t>24,566</w:t>
            </w:r>
          </w:p>
        </w:tc>
        <w:tc>
          <w:tcPr>
            <w:tcW w:w="1060" w:type="dxa"/>
            <w:vAlign w:val="bottom"/>
            <w:tcBorders>
              <w:top w:val="single" w:sz="8" w:color="auto"/>
            </w:tcBorders>
            <w:gridSpan w:val="2"/>
          </w:tcPr>
          <w:p>
            <w:pPr>
              <w:jc w:val="right"/>
              <w:ind w:right="20"/>
              <w:spacing w:after="0" w:line="171" w:lineRule="exact"/>
              <w:rPr>
                <w:sz w:val="20"/>
                <w:szCs w:val="20"/>
                <w:color w:val="auto"/>
              </w:rPr>
            </w:pPr>
            <w:r>
              <w:rPr>
                <w:rFonts w:ascii="Arial" w:cs="Arial" w:eastAsia="Arial" w:hAnsi="Arial"/>
                <w:sz w:val="18"/>
                <w:szCs w:val="18"/>
                <w:color w:val="auto"/>
              </w:rPr>
              <w:t>(18,947)</w:t>
            </w:r>
          </w:p>
        </w:tc>
        <w:tc>
          <w:tcPr>
            <w:tcW w:w="20" w:type="dxa"/>
            <w:vAlign w:val="bottom"/>
          </w:tcPr>
          <w:p>
            <w:pPr>
              <w:spacing w:after="0"/>
              <w:rPr>
                <w:sz w:val="14"/>
                <w:szCs w:val="14"/>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investing activities</w:t>
            </w:r>
          </w:p>
        </w:tc>
        <w:tc>
          <w:tcPr>
            <w:tcW w:w="34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(20,820)</w:t>
            </w: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(15,800)</w:t>
            </w:r>
          </w:p>
        </w:tc>
        <w:tc>
          <w:tcPr>
            <w:tcW w:w="20" w:type="dxa"/>
            <w:vAlign w:val="bottom"/>
          </w:tcPr>
          <w:p>
            <w:pPr>
              <w:spacing w:after="0"/>
              <w:rPr>
                <w:sz w:val="17"/>
                <w:szCs w:val="17"/>
                <w:color w:val="auto"/>
              </w:rPr>
            </w:pPr>
          </w:p>
        </w:tc>
      </w:tr>
      <w:tr>
        <w:trPr>
          <w:trHeight w:val="203"/>
        </w:trPr>
        <w:tc>
          <w:tcPr>
            <w:tcW w:w="6980" w:type="dxa"/>
            <w:vAlign w:val="bottom"/>
            <w:gridSpan w:val="2"/>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3400" w:type="dxa"/>
            <w:vAlign w:val="bottom"/>
          </w:tcPr>
          <w:p>
            <w:pPr>
              <w:jc w:val="right"/>
              <w:ind w:right="350"/>
              <w:spacing w:after="0" w:line="202" w:lineRule="exact"/>
              <w:rPr>
                <w:sz w:val="20"/>
                <w:szCs w:val="20"/>
                <w:color w:val="auto"/>
              </w:rPr>
            </w:pPr>
            <w:r>
              <w:rPr>
                <w:rFonts w:ascii="Arial" w:cs="Arial" w:eastAsia="Arial" w:hAnsi="Arial"/>
                <w:sz w:val="18"/>
                <w:szCs w:val="18"/>
                <w:b w:val="1"/>
                <w:bCs w:val="1"/>
                <w:color w:val="auto"/>
              </w:rPr>
              <w:t>(15,139)</w:t>
            </w:r>
          </w:p>
        </w:tc>
        <w:tc>
          <w:tcPr>
            <w:tcW w:w="108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(2,458)</w:t>
            </w:r>
          </w:p>
        </w:tc>
      </w:tr>
      <w:tr>
        <w:trPr>
          <w:trHeight w:val="227"/>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1,023</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4,904</w:t>
            </w:r>
          </w:p>
        </w:tc>
        <w:tc>
          <w:tcPr>
            <w:tcW w:w="20" w:type="dxa"/>
            <w:vAlign w:val="bottom"/>
          </w:tcPr>
          <w:p>
            <w:pPr>
              <w:spacing w:after="0"/>
              <w:rPr>
                <w:sz w:val="19"/>
                <w:szCs w:val="19"/>
                <w:color w:val="auto"/>
              </w:rPr>
            </w:pPr>
          </w:p>
        </w:tc>
      </w:tr>
      <w:tr>
        <w:trPr>
          <w:trHeight w:val="171"/>
        </w:trPr>
        <w:tc>
          <w:tcPr>
            <w:tcW w:w="6980" w:type="dxa"/>
            <w:vAlign w:val="bottom"/>
            <w:gridSpan w:val="2"/>
          </w:tcPr>
          <w:p>
            <w:pPr>
              <w:spacing w:after="0" w:line="171" w:lineRule="exact"/>
              <w:rPr>
                <w:sz w:val="20"/>
                <w:szCs w:val="20"/>
                <w:color w:val="auto"/>
              </w:rPr>
            </w:pPr>
            <w:r>
              <w:rPr>
                <w:rFonts w:ascii="Arial" w:cs="Arial" w:eastAsia="Arial" w:hAnsi="Arial"/>
                <w:sz w:val="18"/>
                <w:szCs w:val="18"/>
                <w:color w:val="auto"/>
              </w:rPr>
              <w:t>Decrease in cash and cash equivalents</w:t>
            </w:r>
          </w:p>
        </w:tc>
        <w:tc>
          <w:tcPr>
            <w:tcW w:w="3400" w:type="dxa"/>
            <w:vAlign w:val="bottom"/>
          </w:tcPr>
          <w:p>
            <w:pPr>
              <w:jc w:val="right"/>
              <w:ind w:right="350"/>
              <w:spacing w:after="0" w:line="171" w:lineRule="exact"/>
              <w:rPr>
                <w:sz w:val="20"/>
                <w:szCs w:val="20"/>
                <w:color w:val="auto"/>
              </w:rPr>
            </w:pPr>
            <w:r>
              <w:rPr>
                <w:rFonts w:ascii="Arial" w:cs="Arial" w:eastAsia="Arial" w:hAnsi="Arial"/>
                <w:sz w:val="18"/>
                <w:szCs w:val="18"/>
                <w:b w:val="1"/>
                <w:bCs w:val="1"/>
                <w:color w:val="auto"/>
              </w:rPr>
              <w:t>(10,370)</w:t>
            </w:r>
          </w:p>
        </w:tc>
        <w:tc>
          <w:tcPr>
            <w:tcW w:w="1060" w:type="dxa"/>
            <w:vAlign w:val="bottom"/>
            <w:gridSpan w:val="2"/>
          </w:tcPr>
          <w:p>
            <w:pPr>
              <w:jc w:val="right"/>
              <w:ind w:right="20"/>
              <w:spacing w:after="0" w:line="171" w:lineRule="exact"/>
              <w:rPr>
                <w:sz w:val="20"/>
                <w:szCs w:val="20"/>
                <w:color w:val="auto"/>
              </w:rPr>
            </w:pPr>
            <w:r>
              <w:rPr>
                <w:rFonts w:ascii="Arial" w:cs="Arial" w:eastAsia="Arial" w:hAnsi="Arial"/>
                <w:sz w:val="18"/>
                <w:szCs w:val="18"/>
                <w:color w:val="auto"/>
              </w:rPr>
              <w:t>(32,301)</w:t>
            </w:r>
          </w:p>
        </w:tc>
        <w:tc>
          <w:tcPr>
            <w:tcW w:w="20" w:type="dxa"/>
            <w:vAlign w:val="bottom"/>
          </w:tcPr>
          <w:p>
            <w:pPr>
              <w:spacing w:after="0"/>
              <w:rPr>
                <w:sz w:val="14"/>
                <w:szCs w:val="14"/>
                <w:color w:val="auto"/>
              </w:rPr>
            </w:pPr>
          </w:p>
        </w:tc>
      </w:tr>
      <w:tr>
        <w:trPr>
          <w:trHeight w:val="227"/>
        </w:trPr>
        <w:tc>
          <w:tcPr>
            <w:tcW w:w="69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Cash and cash equivalents at beginning of year</w:t>
            </w:r>
          </w:p>
        </w:tc>
        <w:tc>
          <w:tcPr>
            <w:tcW w:w="34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197,755</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183,727</w:t>
            </w:r>
          </w:p>
        </w:tc>
        <w:tc>
          <w:tcPr>
            <w:tcW w:w="20" w:type="dxa"/>
            <w:vAlign w:val="bottom"/>
          </w:tcPr>
          <w:p>
            <w:pPr>
              <w:spacing w:after="0"/>
              <w:rPr>
                <w:sz w:val="19"/>
                <w:szCs w:val="19"/>
                <w:color w:val="auto"/>
              </w:rPr>
            </w:pPr>
          </w:p>
        </w:tc>
      </w:tr>
      <w:tr>
        <w:trPr>
          <w:trHeight w:val="196"/>
        </w:trPr>
        <w:tc>
          <w:tcPr>
            <w:tcW w:w="69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Cash and cash equivalents at end of period</w:t>
            </w:r>
          </w:p>
        </w:tc>
        <w:tc>
          <w:tcPr>
            <w:tcW w:w="34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$187,385</w:t>
            </w:r>
          </w:p>
        </w:tc>
        <w:tc>
          <w:tcPr>
            <w:tcW w:w="10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$151,426</w:t>
            </w:r>
          </w:p>
        </w:tc>
        <w:tc>
          <w:tcPr>
            <w:tcW w:w="20" w:type="dxa"/>
            <w:vAlign w:val="bottom"/>
            <w:tcBorders>
              <w:bottom w:val="single" w:sz="8" w:color="auto"/>
            </w:tcBorders>
          </w:tcPr>
          <w:p>
            <w:pPr>
              <w:spacing w:after="0"/>
              <w:rPr>
                <w:sz w:val="17"/>
                <w:szCs w:val="17"/>
                <w:color w:val="auto"/>
              </w:rPr>
            </w:pPr>
          </w:p>
        </w:tc>
      </w:tr>
    </w:tbl>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Includes Accounts receivable, Contract assets, Inventories, and Accounts payable.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0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7"/>
          <w:szCs w:val="17"/>
          <w:color w:val="auto"/>
        </w:rPr>
        <w:t>Cash flow provided by operating activities was $ 24.6 million for the first three months of 2019, cash flow used by operating activities was $18.9 million for the first three months of 2018. The net increase in cash provided by operating activities in 2019 was due to increased profitability in both MC and AEC, and improved management of working capital that resulted from a number of improvement initiatives.</w:t>
      </w:r>
    </w:p>
    <w:p>
      <w:pPr>
        <w:spacing w:after="0" w:line="10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paid for income taxes was $8.0 million and $8.2 million for the first three months of 2019 and 2018, respectively.</w:t>
      </w:r>
    </w:p>
    <w:p>
      <w:pPr>
        <w:spacing w:after="0" w:line="171"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At March 31, 2019, we had $187.4 million of cash and cash equivalents, of which $157.7 million was held by subsidiaries outside of the United States.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and Financing Activities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 expenditures for the first three months were $20.8 million in 2019 and $15.8 million in 2018.</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43" w:name="page44"/>
    <w:bookmarkEnd w:id="43"/>
    <w:p>
      <w:pPr>
        <w:ind w:firstLine="648"/>
        <w:spacing w:after="0" w:line="248" w:lineRule="auto"/>
        <w:rPr>
          <w:sz w:val="20"/>
          <w:szCs w:val="20"/>
          <w:color w:val="auto"/>
        </w:rPr>
      </w:pPr>
      <w:r>
        <w:rPr>
          <w:rFonts w:ascii="Arial" w:cs="Arial" w:eastAsia="Arial" w:hAnsi="Arial"/>
          <w:sz w:val="18"/>
          <w:szCs w:val="18"/>
          <w:color w:val="auto"/>
        </w:rPr>
        <w:t>Dividends have been declared each quarter since the fourth quarter of 2001. Decisions with respect to whether a dividend will be paid, and the amount of the dividend, are made by the Board of Directors each quarter. To the extent the Board declares cash dividends in the future, we expect to pay such dividends out of operating cash flows. Future cash dividends will also depend on debt covenants and on the Board’s assessment of our ability to generate sufficient cash flows.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00" w:lineRule="exact"/>
        <w:rPr>
          <w:sz w:val="20"/>
          <w:szCs w:val="20"/>
          <w:color w:val="auto"/>
        </w:rPr>
      </w:pPr>
    </w:p>
    <w:p>
      <w:pPr>
        <w:ind w:right="220" w:firstLine="648"/>
        <w:spacing w:after="0" w:line="245" w:lineRule="auto"/>
        <w:rPr>
          <w:sz w:val="20"/>
          <w:szCs w:val="20"/>
          <w:color w:val="auto"/>
        </w:rPr>
      </w:pPr>
      <w:r>
        <w:rPr>
          <w:rFonts w:ascii="Arial" w:cs="Arial" w:eastAsia="Arial" w:hAnsi="Arial"/>
          <w:sz w:val="18"/>
          <w:szCs w:val="18"/>
          <w:color w:val="auto"/>
        </w:rPr>
        <w:t>We finance our business activities primarily with cash generated from operations and borrowings, largely through our revolving credit agreement as discussed below. Our subsidiaries outside of the United States may also maintain working capital lines with local banks, but borrowings under such local facilities tend not to be significant. Substantially all of our cash balance at March 31, 2019 was held by non-U.S. subsidiaries. Based on cash on hand and credit facilities, we anticipate that the Company has sufficient capital resources to operate for the foreseeable future. We were in compliance with all debt covenants as of March 31, 2019.</w:t>
      </w:r>
    </w:p>
    <w:p>
      <w:pPr>
        <w:spacing w:after="0" w:line="132" w:lineRule="exact"/>
        <w:rPr>
          <w:sz w:val="20"/>
          <w:szCs w:val="20"/>
          <w:color w:val="auto"/>
        </w:rPr>
      </w:pPr>
    </w:p>
    <w:p>
      <w:pPr>
        <w:ind w:right="240" w:firstLine="648"/>
        <w:spacing w:after="0" w:line="255" w:lineRule="auto"/>
        <w:rPr>
          <w:sz w:val="20"/>
          <w:szCs w:val="20"/>
          <w:color w:val="auto"/>
        </w:rPr>
      </w:pPr>
      <w:r>
        <w:rPr>
          <w:rFonts w:ascii="Arial" w:cs="Arial" w:eastAsia="Arial" w:hAnsi="Arial"/>
          <w:sz w:val="17"/>
          <w:szCs w:val="17"/>
          <w:color w:val="auto"/>
        </w:rPr>
        <w:t>On November 7, 2017, we entered into a $685 million unsecured Five-Year Revolving Credit Facility Agreement (the “Credit Agreement”) which amended and restated the prior $550 million Agreement, entered into on April 8, 2016 (the “Prior Agreement”). Under the Credit Agreement, $491 million of borrowings were outstanding as of March 31, 2019. The applicable interest rate for borrowings was LIBOR plus a spread, based on our leverage ratio at the time of borrowing. At the time of the last borrowing on March 18, 2019, the spread was</w:t>
      </w:r>
    </w:p>
    <w:p>
      <w:pPr>
        <w:spacing w:after="0" w:line="2"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1.375%. The spread was based on a pricing grid, which ranged from 1.250% to 1.750%, based on our leverage ratio. Based on our maximum leverage ratio and our Consolidated EBITDA, and without modification to any other credit agreements, as of March 31, 2019, we would have been able to borrow an additional $194 million under the Agreement.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more information, see Note 15 to the Consolidated Financial Statements in Item 1, which is incorporated herein by reference.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March 31, 2019, we have no off-balance sheet arrangements required to be disclosed pursuant to Item 303(a)(4) of Regulation 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0" w:lineRule="exact"/>
        <w:rPr>
          <w:sz w:val="20"/>
          <w:szCs w:val="20"/>
          <w:color w:val="auto"/>
        </w:rPr>
      </w:pPr>
    </w:p>
    <w:p>
      <w:pPr>
        <w:ind w:right="540" w:firstLine="648"/>
        <w:spacing w:after="0" w:line="276" w:lineRule="auto"/>
        <w:rPr>
          <w:sz w:val="20"/>
          <w:szCs w:val="20"/>
          <w:color w:val="auto"/>
        </w:rPr>
      </w:pPr>
      <w:r>
        <w:rPr>
          <w:rFonts w:ascii="Arial" w:cs="Arial" w:eastAsia="Arial" w:hAnsi="Arial"/>
          <w:sz w:val="18"/>
          <w:szCs w:val="18"/>
          <w:color w:val="auto"/>
        </w:rPr>
        <w:t>The information set forth under Note 19 contained in Item 1, “Notes to Consolidated Financial Statements”, which is incorporated herein by reference.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200" w:lineRule="exact"/>
        <w:rPr>
          <w:sz w:val="20"/>
          <w:szCs w:val="20"/>
          <w:color w:val="auto"/>
        </w:rPr>
      </w:pPr>
    </w:p>
    <w:p>
      <w:pPr>
        <w:ind w:right="220" w:firstLine="648"/>
        <w:spacing w:after="0" w:line="243" w:lineRule="auto"/>
        <w:rPr>
          <w:sz w:val="20"/>
          <w:szCs w:val="20"/>
          <w:color w:val="auto"/>
        </w:rPr>
      </w:pPr>
      <w:r>
        <w:rPr>
          <w:rFonts w:ascii="Arial" w:cs="Arial" w:eastAsia="Arial" w:hAnsi="Arial"/>
          <w:sz w:val="18"/>
          <w:szCs w:val="18"/>
          <w:color w:val="auto"/>
        </w:rPr>
        <w:t>This Form 10-Q contains certain non-GAAP measures, including: net sales, and percent change in net sales, excluding the impact of currency translation effects (for each segment and on a consolidated basis); EBITDA and Adjusted EBITDA (for each segment and on a consolidated basis represented in dollars or as a percentage of net sales); Net debt and changes in Net debt excluding reductions due to the effect of changes to the treatment of leases due to the adoption of ASC 842; and Adjusted earnings per share (or Adjusted EPS). Such items are provided because management believes that they provide additional useful information to investors regarding the Company’s operational performance.</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4" w:name="page45"/>
    <w:bookmarkEnd w:id="44"/>
    <w:p>
      <w:pPr>
        <w:ind w:firstLine="648"/>
        <w:spacing w:after="0" w:line="248" w:lineRule="auto"/>
        <w:rPr>
          <w:sz w:val="20"/>
          <w:szCs w:val="20"/>
          <w:color w:val="auto"/>
        </w:rPr>
      </w:pPr>
      <w:r>
        <w:rPr>
          <w:rFonts w:ascii="Arial" w:cs="Arial" w:eastAsia="Arial" w:hAnsi="Arial"/>
          <w:sz w:val="18"/>
          <w:szCs w:val="18"/>
          <w:color w:val="auto"/>
        </w:rPr>
        <w:t>Presenting Net sales and increases or decreases in Net sales, after currency effects are excluded, can give management and investors insight into underlying sales trends. Net sales, or percent changes in net sales, excluding currency rate effects, are calculated by converting amounts reported in local currencies into U.S. dollars at the exchange rate of a prior period. These amounts are then compared to the U.S. dollar amount as reported in the current period.</w:t>
      </w:r>
    </w:p>
    <w:p>
      <w:pPr>
        <w:spacing w:after="0" w:line="130" w:lineRule="exact"/>
        <w:rPr>
          <w:sz w:val="20"/>
          <w:szCs w:val="20"/>
          <w:color w:val="auto"/>
        </w:rPr>
      </w:pPr>
    </w:p>
    <w:p>
      <w:pPr>
        <w:ind w:firstLine="648"/>
        <w:spacing w:after="0" w:line="237" w:lineRule="auto"/>
        <w:rPr>
          <w:sz w:val="20"/>
          <w:szCs w:val="20"/>
          <w:color w:val="auto"/>
        </w:rPr>
      </w:pPr>
      <w:r>
        <w:rPr>
          <w:rFonts w:ascii="Arial" w:cs="Arial" w:eastAsia="Arial" w:hAnsi="Arial"/>
          <w:sz w:val="18"/>
          <w:szCs w:val="18"/>
          <w:color w:val="auto"/>
        </w:rPr>
        <w:t>EBITDA, Adjusted EBITDA and Adjusted EPS are performance measures that relate to the Company’s continuing operations. EBITDA, or net income with interest, taxes, depreciation, and amortization added back, is a common indicator of financial performance used, among other things, to analyze and compare core profitability between companies and industries because it eliminates effects due to differences in financing, asset bases and taxes. The Company calculates EBITDA by removing the following from Net income: Interest expense net, Income tax expense, Depreciation and amortization. Adjusted EBITDA is calculated by: adding to EBITDA costs associated with restructuring, and inventory write-offs associated with discontinued businesses; charges and credits related to pension plan settlements; adding (or subtracting) revaluation losses (or gains); subtracting (or adding) gains (or losses) from the sale of buildings or investments; subtracting insurance recovery gains in excess of previously recorded losses; and subtracting (or adding) Income (or loss) attributable to the non-controlling interest in Albany Safran Composites (ASC). Adjusted EBITDA may also be presented as a percentage of net sales by dividing it by net sales. An understanding of the impact in a particular quarter of specific restructuring costs, currency revaluation, inventory write-offs associated with discontinued businesses, or other gains and losses, on net income (absolute as well as on a per-share basis), operating income or EBITDA can give management and investors additional insight into core financial performance, especially when compared to quarters in which such items had a greater or lesser effect, or no effect. Restructuring expenses in the MC segment, while frequent in recent years, are reflective of significant reductions in manufacturing capacity and associated headcount in response to shifting markets, and not of the profitability of the business going forward as restructured. Adjusted earnings per share (Adjusted EPS) is calculated by adding to (or subtracting from) net income attributable to the Company per share, on an after-tax basis: restructuring charges; charges and credits related to pension plan settlements and curtailments; inventory write-offs associated with discontinued businesses; foreign currency revaluation losses (or gains); acquisition expenses; and losses (or gains) from the sale of investments.</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EBITDA, Adjusted EBITDA, and Adjusted EPS, as defined by the Company, may not be similar to similarly named measures of other companies. Such measures are not considered measurements under GAAP, and should be considered in addition to, but not as substitutes for, the information contained in the Company’s statements of income.</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5" w:name="page46"/>
    <w:bookmarkEnd w:id="45"/>
    <w:p>
      <w:pPr>
        <w:ind w:left="660"/>
        <w:spacing w:after="0"/>
        <w:rPr>
          <w:sz w:val="20"/>
          <w:szCs w:val="20"/>
          <w:color w:val="auto"/>
        </w:rPr>
      </w:pPr>
      <w:r>
        <w:rPr>
          <w:rFonts w:ascii="Arial" w:cs="Arial" w:eastAsia="Arial" w:hAnsi="Arial"/>
          <w:sz w:val="18"/>
          <w:szCs w:val="18"/>
          <w:color w:val="auto"/>
        </w:rPr>
        <w:t>The following tables show the calculation of EBITDA and Adjusted EBITDA: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Three months ended March 31, 2019</w:t>
            </w:r>
          </w:p>
        </w:tc>
        <w:tc>
          <w:tcPr>
            <w:tcW w:w="13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gridSpan w:val="2"/>
            <w:vMerge w:val="restart"/>
          </w:tcPr>
          <w:p>
            <w:pPr>
              <w:jc w:val="center"/>
              <w:ind w:right="50"/>
              <w:spacing w:after="0"/>
              <w:rPr>
                <w:sz w:val="20"/>
                <w:szCs w:val="20"/>
                <w:color w:val="auto"/>
              </w:rPr>
            </w:pPr>
            <w:r>
              <w:rPr>
                <w:rFonts w:ascii="Arial" w:cs="Arial" w:eastAsia="Arial" w:hAnsi="Arial"/>
                <w:sz w:val="18"/>
                <w:szCs w:val="18"/>
                <w:b w:val="1"/>
                <w:bCs w:val="1"/>
                <w:color w:val="auto"/>
                <w:w w:val="99"/>
              </w:rPr>
              <w:t>Albany</w:t>
            </w:r>
          </w:p>
        </w:tc>
        <w:tc>
          <w:tcPr>
            <w:tcW w:w="1420" w:type="dxa"/>
            <w:vAlign w:val="bottom"/>
            <w:tcBorders>
              <w:top w:val="single" w:sz="8" w:color="auto"/>
            </w:tcBorders>
            <w:vMerge w:val="restart"/>
          </w:tcPr>
          <w:p>
            <w:pPr>
              <w:jc w:val="center"/>
              <w:ind w:right="70"/>
              <w:spacing w:after="0"/>
              <w:rPr>
                <w:sz w:val="20"/>
                <w:szCs w:val="20"/>
                <w:color w:val="auto"/>
              </w:rPr>
            </w:pPr>
            <w:r>
              <w:rPr>
                <w:rFonts w:ascii="Arial" w:cs="Arial" w:eastAsia="Arial" w:hAnsi="Arial"/>
                <w:sz w:val="18"/>
                <w:szCs w:val="18"/>
                <w:b w:val="1"/>
                <w:bCs w:val="1"/>
                <w:color w:val="auto"/>
                <w:w w:val="99"/>
              </w:rPr>
              <w:t>Corporate</w:t>
            </w:r>
          </w:p>
        </w:tc>
        <w:tc>
          <w:tcPr>
            <w:tcW w:w="11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2240" w:type="dxa"/>
            <w:vAlign w:val="bottom"/>
            <w:gridSpan w:val="2"/>
          </w:tcPr>
          <w:p>
            <w:pPr>
              <w:jc w:val="right"/>
              <w:ind w:right="370"/>
              <w:spacing w:after="0" w:line="202" w:lineRule="exact"/>
              <w:rPr>
                <w:sz w:val="20"/>
                <w:szCs w:val="20"/>
                <w:color w:val="auto"/>
              </w:rPr>
            </w:pPr>
            <w:r>
              <w:rPr>
                <w:rFonts w:ascii="Arial" w:cs="Arial" w:eastAsia="Arial" w:hAnsi="Arial"/>
                <w:sz w:val="18"/>
                <w:szCs w:val="18"/>
                <w:b w:val="1"/>
                <w:bCs w:val="1"/>
                <w:color w:val="auto"/>
              </w:rPr>
              <w:t>Machine</w:t>
            </w:r>
          </w:p>
        </w:tc>
        <w:tc>
          <w:tcPr>
            <w:tcW w:w="1340" w:type="dxa"/>
            <w:vAlign w:val="bottom"/>
            <w:gridSpan w:val="2"/>
          </w:tcPr>
          <w:p>
            <w:pPr>
              <w:jc w:val="center"/>
              <w:ind w:right="30"/>
              <w:spacing w:after="0" w:line="202" w:lineRule="exact"/>
              <w:rPr>
                <w:sz w:val="20"/>
                <w:szCs w:val="20"/>
                <w:color w:val="auto"/>
              </w:rPr>
            </w:pPr>
            <w:r>
              <w:rPr>
                <w:rFonts w:ascii="Arial" w:cs="Arial" w:eastAsia="Arial" w:hAnsi="Arial"/>
                <w:sz w:val="18"/>
                <w:szCs w:val="18"/>
                <w:b w:val="1"/>
                <w:bCs w:val="1"/>
                <w:color w:val="auto"/>
                <w:w w:val="99"/>
              </w:rPr>
              <w:t>Engineered</w:t>
            </w:r>
          </w:p>
        </w:tc>
        <w:tc>
          <w:tcPr>
            <w:tcW w:w="142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rPr>
              <w:t>expenses and</w:t>
            </w:r>
          </w:p>
        </w:tc>
        <w:tc>
          <w:tcPr>
            <w:tcW w:w="114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7"/>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224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Clothing</w:t>
            </w:r>
          </w:p>
        </w:tc>
        <w:tc>
          <w:tcPr>
            <w:tcW w:w="1340" w:type="dxa"/>
            <w:vAlign w:val="bottom"/>
            <w:tcBorders>
              <w:bottom w:val="single" w:sz="8" w:color="auto"/>
            </w:tcBorders>
            <w:gridSpan w:val="2"/>
          </w:tcPr>
          <w:p>
            <w:pPr>
              <w:jc w:val="center"/>
              <w:ind w:right="50"/>
              <w:spacing w:after="0"/>
              <w:rPr>
                <w:sz w:val="20"/>
                <w:szCs w:val="20"/>
                <w:color w:val="auto"/>
              </w:rPr>
            </w:pPr>
            <w:r>
              <w:rPr>
                <w:rFonts w:ascii="Arial" w:cs="Arial" w:eastAsia="Arial" w:hAnsi="Arial"/>
                <w:sz w:val="18"/>
                <w:szCs w:val="18"/>
                <w:b w:val="1"/>
                <w:bCs w:val="1"/>
                <w:color w:val="auto"/>
              </w:rPr>
              <w:t>Composites</w:t>
            </w:r>
          </w:p>
        </w:tc>
        <w:tc>
          <w:tcPr>
            <w:tcW w:w="14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7"/>
              </w:rPr>
              <w:t>other</w:t>
            </w: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line="171" w:lineRule="exact"/>
              <w:rPr>
                <w:sz w:val="20"/>
                <w:szCs w:val="20"/>
                <w:color w:val="auto"/>
              </w:rPr>
            </w:pPr>
            <w:r>
              <w:rPr>
                <w:rFonts w:ascii="Arial" w:cs="Arial" w:eastAsia="Arial" w:hAnsi="Arial"/>
                <w:sz w:val="18"/>
                <w:szCs w:val="18"/>
                <w:b w:val="1"/>
                <w:bCs w:val="1"/>
                <w:color w:val="auto"/>
              </w:rPr>
              <w:t>Operating income/(loss) (GAAP)</w:t>
            </w:r>
          </w:p>
        </w:tc>
        <w:tc>
          <w:tcPr>
            <w:tcW w:w="1320" w:type="dxa"/>
            <w:vAlign w:val="bottom"/>
          </w:tcPr>
          <w:p>
            <w:pPr>
              <w:spacing w:after="0"/>
              <w:rPr>
                <w:sz w:val="14"/>
                <w:szCs w:val="14"/>
                <w:color w:val="auto"/>
              </w:rPr>
            </w:pPr>
          </w:p>
        </w:tc>
        <w:tc>
          <w:tcPr>
            <w:tcW w:w="92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$44,243</w:t>
            </w:r>
          </w:p>
        </w:tc>
        <w:tc>
          <w:tcPr>
            <w:tcW w:w="480" w:type="dxa"/>
            <w:vAlign w:val="bottom"/>
          </w:tcPr>
          <w:p>
            <w:pPr>
              <w:spacing w:after="0"/>
              <w:rPr>
                <w:sz w:val="14"/>
                <w:szCs w:val="14"/>
                <w:color w:val="auto"/>
              </w:rPr>
            </w:pPr>
          </w:p>
        </w:tc>
        <w:tc>
          <w:tcPr>
            <w:tcW w:w="86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$9,522</w:t>
            </w:r>
          </w:p>
        </w:tc>
        <w:tc>
          <w:tcPr>
            <w:tcW w:w="1420" w:type="dxa"/>
            <w:vAlign w:val="bottom"/>
          </w:tcPr>
          <w:p>
            <w:pPr>
              <w:jc w:val="right"/>
              <w:ind w:right="10"/>
              <w:spacing w:after="0" w:line="171" w:lineRule="exact"/>
              <w:rPr>
                <w:sz w:val="20"/>
                <w:szCs w:val="20"/>
                <w:color w:val="auto"/>
              </w:rPr>
            </w:pPr>
            <w:r>
              <w:rPr>
                <w:rFonts w:ascii="Arial" w:cs="Arial" w:eastAsia="Arial" w:hAnsi="Arial"/>
                <w:sz w:val="18"/>
                <w:szCs w:val="18"/>
                <w:b w:val="1"/>
                <w:bCs w:val="1"/>
                <w:color w:val="auto"/>
              </w:rPr>
              <w:t>($13,672)</w:t>
            </w:r>
          </w:p>
        </w:tc>
        <w:tc>
          <w:tcPr>
            <w:tcW w:w="1140" w:type="dxa"/>
            <w:vAlign w:val="bottom"/>
          </w:tcPr>
          <w:p>
            <w:pPr>
              <w:jc w:val="right"/>
              <w:spacing w:after="0" w:line="171" w:lineRule="exact"/>
              <w:rPr>
                <w:sz w:val="20"/>
                <w:szCs w:val="20"/>
                <w:color w:val="auto"/>
              </w:rPr>
            </w:pPr>
            <w:r>
              <w:rPr>
                <w:rFonts w:ascii="Arial" w:cs="Arial" w:eastAsia="Arial" w:hAnsi="Arial"/>
                <w:sz w:val="18"/>
                <w:szCs w:val="18"/>
                <w:b w:val="1"/>
                <w:bCs w:val="1"/>
                <w:color w:val="auto"/>
              </w:rPr>
              <w:t>$40,093</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Interest, taxes, other income/(expense)</w:t>
            </w:r>
          </w:p>
        </w:tc>
        <w:tc>
          <w:tcPr>
            <w:tcW w:w="1320" w:type="dxa"/>
            <w:vAlign w:val="bottom"/>
          </w:tcPr>
          <w:p>
            <w:pPr>
              <w:spacing w:after="0"/>
              <w:rPr>
                <w:sz w:val="17"/>
                <w:szCs w:val="17"/>
                <w:color w:val="auto"/>
              </w:rPr>
            </w:pPr>
          </w:p>
        </w:tc>
        <w:tc>
          <w:tcPr>
            <w:tcW w:w="920" w:type="dxa"/>
            <w:vAlign w:val="bottom"/>
          </w:tcPr>
          <w:p>
            <w:pPr>
              <w:jc w:val="right"/>
              <w:ind w:right="90"/>
              <w:spacing w:after="0" w:line="202" w:lineRule="exact"/>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7"/>
                <w:szCs w:val="17"/>
                <w:color w:val="auto"/>
              </w:rPr>
            </w:pPr>
          </w:p>
        </w:tc>
        <w:tc>
          <w:tcPr>
            <w:tcW w:w="860" w:type="dxa"/>
            <w:vAlign w:val="bottom"/>
          </w:tcPr>
          <w:p>
            <w:pPr>
              <w:jc w:val="right"/>
              <w:ind w:right="50"/>
              <w:spacing w:after="0" w:line="202" w:lineRule="exact"/>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(10,685)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(10,685)</w:t>
            </w:r>
          </w:p>
        </w:tc>
        <w:tc>
          <w:tcPr>
            <w:tcW w:w="0" w:type="dxa"/>
            <w:vAlign w:val="bottom"/>
          </w:tcPr>
          <w:p>
            <w:pPr>
              <w:spacing w:after="0"/>
              <w:rPr>
                <w:sz w:val="1"/>
                <w:szCs w:val="1"/>
                <w:color w:val="auto"/>
              </w:rPr>
            </w:pPr>
          </w:p>
        </w:tc>
      </w:tr>
      <w:tr>
        <w:trPr>
          <w:trHeight w:val="205"/>
        </w:trPr>
        <w:tc>
          <w:tcPr>
            <w:tcW w:w="52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income/(loss) (GAAP)</w:t>
            </w:r>
          </w:p>
        </w:tc>
        <w:tc>
          <w:tcPr>
            <w:tcW w:w="1320" w:type="dxa"/>
            <w:vAlign w:val="bottom"/>
          </w:tcPr>
          <w:p>
            <w:pPr>
              <w:spacing w:after="0"/>
              <w:rPr>
                <w:sz w:val="17"/>
                <w:szCs w:val="17"/>
                <w:color w:val="auto"/>
              </w:rPr>
            </w:pPr>
          </w:p>
        </w:tc>
        <w:tc>
          <w:tcPr>
            <w:tcW w:w="9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44,243</w:t>
            </w:r>
          </w:p>
        </w:tc>
        <w:tc>
          <w:tcPr>
            <w:tcW w:w="480" w:type="dxa"/>
            <w:vAlign w:val="bottom"/>
          </w:tcPr>
          <w:p>
            <w:pPr>
              <w:spacing w:after="0"/>
              <w:rPr>
                <w:sz w:val="17"/>
                <w:szCs w:val="17"/>
                <w:color w:val="auto"/>
              </w:rPr>
            </w:pPr>
          </w:p>
        </w:tc>
        <w:tc>
          <w:tcPr>
            <w:tcW w:w="86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9,522</w:t>
            </w:r>
          </w:p>
        </w:tc>
        <w:tc>
          <w:tcPr>
            <w:tcW w:w="142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(24,357)</w:t>
            </w:r>
          </w:p>
        </w:tc>
        <w:tc>
          <w:tcPr>
            <w:tcW w:w="11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29,408</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4,417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4,417</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7,476</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7,476</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5,919</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10,902</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1,135</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w:t>
            </w:r>
          </w:p>
        </w:tc>
        <w:tc>
          <w:tcPr>
            <w:tcW w:w="0" w:type="dxa"/>
            <w:vAlign w:val="bottom"/>
          </w:tcPr>
          <w:p>
            <w:pPr>
              <w:spacing w:after="0"/>
              <w:rPr>
                <w:sz w:val="1"/>
                <w:szCs w:val="1"/>
                <w:color w:val="auto"/>
              </w:rPr>
            </w:pPr>
          </w:p>
        </w:tc>
      </w:tr>
      <w:tr>
        <w:trPr>
          <w:trHeight w:val="173"/>
        </w:trPr>
        <w:tc>
          <w:tcPr>
            <w:tcW w:w="528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EBITDA (non-GAAP)</w:t>
            </w:r>
          </w:p>
        </w:tc>
        <w:tc>
          <w:tcPr>
            <w:tcW w:w="132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50,162</w:t>
            </w:r>
          </w:p>
        </w:tc>
        <w:tc>
          <w:tcPr>
            <w:tcW w:w="480" w:type="dxa"/>
            <w:vAlign w:val="bottom"/>
          </w:tcPr>
          <w:p>
            <w:pPr>
              <w:spacing w:after="0"/>
              <w:rPr>
                <w:sz w:val="15"/>
                <w:szCs w:val="15"/>
                <w:color w:val="auto"/>
              </w:rPr>
            </w:pPr>
          </w:p>
        </w:tc>
        <w:tc>
          <w:tcPr>
            <w:tcW w:w="86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20,424</w:t>
            </w:r>
          </w:p>
        </w:tc>
        <w:tc>
          <w:tcPr>
            <w:tcW w:w="14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(11,329)</w:t>
            </w:r>
          </w:p>
        </w:tc>
        <w:tc>
          <w:tcPr>
            <w:tcW w:w="11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59,257</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401</w:t>
            </w: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83</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3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w:t>
            </w:r>
          </w:p>
        </w:tc>
        <w:tc>
          <w:tcPr>
            <w:tcW w:w="4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235</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(2,036)</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the noncontrolling interest in ASC</w:t>
            </w:r>
          </w:p>
        </w:tc>
        <w:tc>
          <w:tcPr>
            <w:tcW w:w="1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1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$50,531</w:t>
            </w: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$20,452</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($13,365)</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$57,618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Three months ended March 31, 2018</w:t>
            </w:r>
          </w:p>
        </w:tc>
        <w:tc>
          <w:tcPr>
            <w:tcW w:w="13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Machine</w:t>
            </w:r>
          </w:p>
        </w:tc>
        <w:tc>
          <w:tcPr>
            <w:tcW w:w="2260" w:type="dxa"/>
            <w:vAlign w:val="bottom"/>
            <w:gridSpan w:val="3"/>
            <w:vMerge w:val="restart"/>
          </w:tcPr>
          <w:p>
            <w:pPr>
              <w:jc w:val="center"/>
              <w:ind w:right="390"/>
              <w:spacing w:after="0"/>
              <w:rPr>
                <w:sz w:val="20"/>
                <w:szCs w:val="20"/>
                <w:color w:val="auto"/>
              </w:rPr>
            </w:pPr>
            <w:r>
              <w:rPr>
                <w:rFonts w:ascii="Arial" w:cs="Arial" w:eastAsia="Arial" w:hAnsi="Arial"/>
                <w:sz w:val="18"/>
                <w:szCs w:val="18"/>
                <w:b w:val="1"/>
                <w:bCs w:val="1"/>
                <w:color w:val="auto"/>
                <w:w w:val="99"/>
              </w:rPr>
              <w:t>Albany Engineered</w:t>
            </w:r>
          </w:p>
        </w:tc>
        <w:tc>
          <w:tcPr>
            <w:tcW w:w="14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Corporate</w:t>
            </w:r>
          </w:p>
        </w:tc>
        <w:tc>
          <w:tcPr>
            <w:tcW w:w="11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26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2260" w:type="dxa"/>
            <w:vAlign w:val="bottom"/>
            <w:gridSpan w:val="3"/>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7"/>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 thousands)</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Clothing</w:t>
            </w:r>
          </w:p>
        </w:tc>
        <w:tc>
          <w:tcPr>
            <w:tcW w:w="140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b w:val="1"/>
                <w:bCs w:val="1"/>
                <w:color w:val="auto"/>
                <w:w w:val="98"/>
              </w:rPr>
              <w:t>Composites</w:t>
            </w:r>
          </w:p>
        </w:tc>
        <w:tc>
          <w:tcPr>
            <w:tcW w:w="228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expenses and other</w:t>
            </w:r>
          </w:p>
        </w:tc>
        <w:tc>
          <w:tcPr>
            <w:tcW w:w="11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Company</w:t>
            </w:r>
          </w:p>
        </w:tc>
        <w:tc>
          <w:tcPr>
            <w:tcW w:w="0" w:type="dxa"/>
            <w:vAlign w:val="bottom"/>
          </w:tcPr>
          <w:p>
            <w:pPr>
              <w:spacing w:after="0"/>
              <w:rPr>
                <w:sz w:val="1"/>
                <w:szCs w:val="1"/>
                <w:color w:val="auto"/>
              </w:rPr>
            </w:pPr>
          </w:p>
        </w:tc>
      </w:tr>
      <w:tr>
        <w:trPr>
          <w:trHeight w:val="173"/>
        </w:trPr>
        <w:tc>
          <w:tcPr>
            <w:tcW w:w="528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Operating income/(loss) (GAAP)</w:t>
            </w:r>
          </w:p>
        </w:tc>
        <w:tc>
          <w:tcPr>
            <w:tcW w:w="13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$26,942</w:t>
            </w:r>
          </w:p>
        </w:tc>
        <w:tc>
          <w:tcPr>
            <w:tcW w:w="920" w:type="dxa"/>
            <w:vAlign w:val="bottom"/>
          </w:tcPr>
          <w:p>
            <w:pPr>
              <w:spacing w:after="0"/>
              <w:rPr>
                <w:sz w:val="15"/>
                <w:szCs w:val="15"/>
                <w:color w:val="auto"/>
              </w:rPr>
            </w:pPr>
          </w:p>
        </w:tc>
        <w:tc>
          <w:tcPr>
            <w:tcW w:w="1340" w:type="dxa"/>
            <w:vAlign w:val="bottom"/>
            <w:gridSpan w:val="2"/>
          </w:tcPr>
          <w:p>
            <w:pPr>
              <w:jc w:val="right"/>
              <w:ind w:right="310"/>
              <w:spacing w:after="0" w:line="173" w:lineRule="exact"/>
              <w:rPr>
                <w:sz w:val="20"/>
                <w:szCs w:val="20"/>
                <w:color w:val="auto"/>
              </w:rPr>
            </w:pPr>
            <w:r>
              <w:rPr>
                <w:rFonts w:ascii="Arial" w:cs="Arial" w:eastAsia="Arial" w:hAnsi="Arial"/>
                <w:sz w:val="18"/>
                <w:szCs w:val="18"/>
                <w:b w:val="1"/>
                <w:bCs w:val="1"/>
                <w:color w:val="auto"/>
              </w:rPr>
              <w:t>$2,275</w:t>
            </w:r>
          </w:p>
        </w:tc>
        <w:tc>
          <w:tcPr>
            <w:tcW w:w="14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($12,213)</w:t>
            </w:r>
          </w:p>
        </w:tc>
        <w:tc>
          <w:tcPr>
            <w:tcW w:w="11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$17,004</w:t>
            </w:r>
          </w:p>
        </w:tc>
        <w:tc>
          <w:tcPr>
            <w:tcW w:w="0" w:type="dxa"/>
            <w:vAlign w:val="bottom"/>
          </w:tcPr>
          <w:p>
            <w:pPr>
              <w:spacing w:after="0"/>
              <w:rPr>
                <w:sz w:val="1"/>
                <w:szCs w:val="1"/>
                <w:color w:val="auto"/>
              </w:rPr>
            </w:pPr>
          </w:p>
        </w:tc>
      </w:tr>
      <w:tr>
        <w:trPr>
          <w:trHeight w:val="201"/>
        </w:trPr>
        <w:tc>
          <w:tcPr>
            <w:tcW w:w="5280" w:type="dxa"/>
            <w:vAlign w:val="bottom"/>
            <w:gridSpan w:val="2"/>
          </w:tcPr>
          <w:p>
            <w:pPr>
              <w:spacing w:after="0" w:line="201" w:lineRule="exact"/>
              <w:rPr>
                <w:sz w:val="20"/>
                <w:szCs w:val="20"/>
                <w:color w:val="auto"/>
              </w:rPr>
            </w:pPr>
            <w:r>
              <w:rPr>
                <w:rFonts w:ascii="Arial" w:cs="Arial" w:eastAsia="Arial" w:hAnsi="Arial"/>
                <w:sz w:val="18"/>
                <w:szCs w:val="18"/>
                <w:color w:val="auto"/>
              </w:rPr>
              <w:t>Interest, taxes, other income/(expense)</w:t>
            </w:r>
          </w:p>
        </w:tc>
        <w:tc>
          <w:tcPr>
            <w:tcW w:w="132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310"/>
              <w:spacing w:after="0" w:line="201"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1" w:lineRule="exact"/>
              <w:rPr>
                <w:sz w:val="20"/>
                <w:szCs w:val="20"/>
                <w:color w:val="auto"/>
              </w:rPr>
            </w:pPr>
            <w:r>
              <w:rPr>
                <w:rFonts w:ascii="Arial" w:cs="Arial" w:eastAsia="Arial" w:hAnsi="Arial"/>
                <w:sz w:val="18"/>
                <w:szCs w:val="18"/>
                <w:color w:val="auto"/>
              </w:rPr>
              <w:t>(9,105)</w:t>
            </w:r>
          </w:p>
        </w:tc>
        <w:tc>
          <w:tcPr>
            <w:tcW w:w="1140" w:type="dxa"/>
            <w:vAlign w:val="bottom"/>
          </w:tcPr>
          <w:p>
            <w:pPr>
              <w:jc w:val="right"/>
              <w:spacing w:after="0" w:line="201" w:lineRule="exact"/>
              <w:rPr>
                <w:sz w:val="20"/>
                <w:szCs w:val="20"/>
                <w:color w:val="auto"/>
              </w:rPr>
            </w:pPr>
            <w:r>
              <w:rPr>
                <w:rFonts w:ascii="Arial" w:cs="Arial" w:eastAsia="Arial" w:hAnsi="Arial"/>
                <w:sz w:val="18"/>
                <w:szCs w:val="18"/>
                <w:color w:val="auto"/>
              </w:rPr>
              <w:t>(9,105)</w:t>
            </w:r>
          </w:p>
        </w:tc>
        <w:tc>
          <w:tcPr>
            <w:tcW w:w="0" w:type="dxa"/>
            <w:vAlign w:val="bottom"/>
          </w:tcPr>
          <w:p>
            <w:pPr>
              <w:spacing w:after="0"/>
              <w:rPr>
                <w:sz w:val="1"/>
                <w:szCs w:val="1"/>
                <w:color w:val="auto"/>
              </w:rPr>
            </w:pPr>
          </w:p>
        </w:tc>
      </w:tr>
      <w:tr>
        <w:trPr>
          <w:trHeight w:val="205"/>
        </w:trPr>
        <w:tc>
          <w:tcPr>
            <w:tcW w:w="528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Net income/(loss) (GAAP)</w:t>
            </w:r>
          </w:p>
        </w:tc>
        <w:tc>
          <w:tcPr>
            <w:tcW w:w="132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26,942</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310"/>
              <w:spacing w:after="0" w:line="205" w:lineRule="exact"/>
              <w:rPr>
                <w:sz w:val="20"/>
                <w:szCs w:val="20"/>
                <w:color w:val="auto"/>
              </w:rPr>
            </w:pPr>
            <w:r>
              <w:rPr>
                <w:rFonts w:ascii="Arial" w:cs="Arial" w:eastAsia="Arial" w:hAnsi="Arial"/>
                <w:sz w:val="18"/>
                <w:szCs w:val="18"/>
                <w:b w:val="1"/>
                <w:bCs w:val="1"/>
                <w:color w:val="auto"/>
                <w:w w:val="97"/>
              </w:rPr>
              <w:t>2,275</w:t>
            </w:r>
          </w:p>
        </w:tc>
        <w:tc>
          <w:tcPr>
            <w:tcW w:w="1420" w:type="dxa"/>
            <w:vAlign w:val="bottom"/>
          </w:tcPr>
          <w:p>
            <w:pPr>
              <w:jc w:val="right"/>
              <w:ind w:right="10"/>
              <w:spacing w:after="0" w:line="205" w:lineRule="exact"/>
              <w:rPr>
                <w:sz w:val="20"/>
                <w:szCs w:val="20"/>
                <w:color w:val="auto"/>
              </w:rPr>
            </w:pPr>
            <w:r>
              <w:rPr>
                <w:rFonts w:ascii="Arial" w:cs="Arial" w:eastAsia="Arial" w:hAnsi="Arial"/>
                <w:sz w:val="18"/>
                <w:szCs w:val="18"/>
                <w:b w:val="1"/>
                <w:bCs w:val="1"/>
                <w:color w:val="auto"/>
              </w:rPr>
              <w:t>(21,318)</w:t>
            </w:r>
          </w:p>
        </w:tc>
        <w:tc>
          <w:tcPr>
            <w:tcW w:w="1140" w:type="dxa"/>
            <w:vAlign w:val="bottom"/>
          </w:tcPr>
          <w:p>
            <w:pPr>
              <w:jc w:val="right"/>
              <w:spacing w:after="0" w:line="205" w:lineRule="exact"/>
              <w:rPr>
                <w:sz w:val="20"/>
                <w:szCs w:val="20"/>
                <w:color w:val="auto"/>
              </w:rPr>
            </w:pPr>
            <w:r>
              <w:rPr>
                <w:rFonts w:ascii="Arial" w:cs="Arial" w:eastAsia="Arial" w:hAnsi="Arial"/>
                <w:sz w:val="18"/>
                <w:szCs w:val="18"/>
                <w:b w:val="1"/>
                <w:bCs w:val="1"/>
                <w:color w:val="auto"/>
              </w:rPr>
              <w:t>7,899</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4,288</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4,288</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3,365</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 expense</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8,362</w:t>
            </w:r>
          </w:p>
        </w:tc>
        <w:tc>
          <w:tcPr>
            <w:tcW w:w="9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11,156</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20,948</w:t>
            </w:r>
          </w:p>
        </w:tc>
        <w:tc>
          <w:tcPr>
            <w:tcW w:w="0" w:type="dxa"/>
            <w:vAlign w:val="bottom"/>
          </w:tcPr>
          <w:p>
            <w:pPr>
              <w:spacing w:after="0"/>
              <w:rPr>
                <w:sz w:val="1"/>
                <w:szCs w:val="1"/>
                <w:color w:val="auto"/>
              </w:rPr>
            </w:pPr>
          </w:p>
        </w:tc>
      </w:tr>
      <w:tr>
        <w:trPr>
          <w:trHeight w:val="173"/>
        </w:trPr>
        <w:tc>
          <w:tcPr>
            <w:tcW w:w="528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EBITDA (non-GAAP)</w:t>
            </w:r>
          </w:p>
        </w:tc>
        <w:tc>
          <w:tcPr>
            <w:tcW w:w="13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35,304</w:t>
            </w:r>
          </w:p>
        </w:tc>
        <w:tc>
          <w:tcPr>
            <w:tcW w:w="920" w:type="dxa"/>
            <w:vAlign w:val="bottom"/>
          </w:tcPr>
          <w:p>
            <w:pPr>
              <w:spacing w:after="0"/>
              <w:rPr>
                <w:sz w:val="15"/>
                <w:szCs w:val="15"/>
                <w:color w:val="auto"/>
              </w:rPr>
            </w:pPr>
          </w:p>
        </w:tc>
        <w:tc>
          <w:tcPr>
            <w:tcW w:w="1340" w:type="dxa"/>
            <w:vAlign w:val="bottom"/>
            <w:gridSpan w:val="2"/>
          </w:tcPr>
          <w:p>
            <w:pPr>
              <w:jc w:val="right"/>
              <w:ind w:right="310"/>
              <w:spacing w:after="0" w:line="173" w:lineRule="exact"/>
              <w:rPr>
                <w:sz w:val="20"/>
                <w:szCs w:val="20"/>
                <w:color w:val="auto"/>
              </w:rPr>
            </w:pPr>
            <w:r>
              <w:rPr>
                <w:rFonts w:ascii="Arial" w:cs="Arial" w:eastAsia="Arial" w:hAnsi="Arial"/>
                <w:sz w:val="18"/>
                <w:szCs w:val="18"/>
                <w:b w:val="1"/>
                <w:bCs w:val="1"/>
                <w:color w:val="auto"/>
              </w:rPr>
              <w:t>13,431</w:t>
            </w:r>
          </w:p>
        </w:tc>
        <w:tc>
          <w:tcPr>
            <w:tcW w:w="1420" w:type="dxa"/>
            <w:vAlign w:val="bottom"/>
          </w:tcPr>
          <w:p>
            <w:pPr>
              <w:jc w:val="right"/>
              <w:ind w:right="10"/>
              <w:spacing w:after="0" w:line="173" w:lineRule="exact"/>
              <w:rPr>
                <w:sz w:val="20"/>
                <w:szCs w:val="20"/>
                <w:color w:val="auto"/>
              </w:rPr>
            </w:pPr>
            <w:r>
              <w:rPr>
                <w:rFonts w:ascii="Arial" w:cs="Arial" w:eastAsia="Arial" w:hAnsi="Arial"/>
                <w:sz w:val="18"/>
                <w:szCs w:val="18"/>
                <w:b w:val="1"/>
                <w:bCs w:val="1"/>
                <w:color w:val="auto"/>
              </w:rPr>
              <w:t>(12,235)</w:t>
            </w:r>
          </w:p>
        </w:tc>
        <w:tc>
          <w:tcPr>
            <w:tcW w:w="114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36,500</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8,352</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221</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8,573</w:t>
            </w:r>
          </w:p>
        </w:tc>
        <w:tc>
          <w:tcPr>
            <w:tcW w:w="0" w:type="dxa"/>
            <w:vAlign w:val="bottom"/>
          </w:tcPr>
          <w:p>
            <w:pPr>
              <w:spacing w:after="0"/>
              <w:rPr>
                <w:sz w:val="1"/>
                <w:szCs w:val="1"/>
                <w:color w:val="auto"/>
              </w:rPr>
            </w:pPr>
          </w:p>
        </w:tc>
      </w:tr>
      <w:tr>
        <w:trPr>
          <w:trHeight w:val="203"/>
        </w:trPr>
        <w:tc>
          <w:tcPr>
            <w:tcW w:w="528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1,517</w:t>
            </w:r>
          </w:p>
        </w:tc>
        <w:tc>
          <w:tcPr>
            <w:tcW w:w="9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186</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687</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25"/>
        </w:trPr>
        <w:tc>
          <w:tcPr>
            <w:tcW w:w="5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the noncontrolling interest in ASC</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(343)</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$45,173</w:t>
            </w:r>
          </w:p>
        </w:tc>
        <w:tc>
          <w:tcPr>
            <w:tcW w:w="9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jc w:val="right"/>
              <w:ind w:right="310"/>
              <w:spacing w:after="0" w:line="196" w:lineRule="exact"/>
              <w:rPr>
                <w:sz w:val="20"/>
                <w:szCs w:val="20"/>
                <w:color w:val="auto"/>
              </w:rPr>
            </w:pPr>
            <w:r>
              <w:rPr>
                <w:rFonts w:ascii="Arial" w:cs="Arial" w:eastAsia="Arial" w:hAnsi="Arial"/>
                <w:sz w:val="18"/>
                <w:szCs w:val="18"/>
                <w:b w:val="1"/>
                <w:bCs w:val="1"/>
                <w:color w:val="auto"/>
              </w:rPr>
              <w:t>$13,495</w:t>
            </w:r>
          </w:p>
        </w:tc>
        <w:tc>
          <w:tcPr>
            <w:tcW w:w="142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b w:val="1"/>
                <w:bCs w:val="1"/>
                <w:color w:val="auto"/>
              </w:rPr>
              <w:t>($11,548)</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$47,120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60" w:firstLine="648"/>
        <w:spacing w:after="0" w:line="241" w:lineRule="auto"/>
        <w:rPr>
          <w:sz w:val="20"/>
          <w:szCs w:val="20"/>
          <w:color w:val="auto"/>
        </w:rPr>
      </w:pPr>
      <w:r>
        <w:rPr>
          <w:rFonts w:ascii="Arial" w:cs="Arial" w:eastAsia="Arial" w:hAnsi="Arial"/>
          <w:sz w:val="18"/>
          <w:szCs w:val="18"/>
          <w:color w:val="auto"/>
        </w:rPr>
        <w:t>The Company discloses certain income and expense items on a per-share basis. The Company believes that such disclosures provide important insight into underlying quarterly earnings and are financial performance metrics commonly used by investors. The Company calculates the quarterly per-share amount for items included in continuing operations by using the income tax rate based on income from continuing operations and the weighted-average number of shares outstanding for each period. Year-to-date earnings per-share effects are determined by adding the amounts calculated at each reporting period. Beginning in 2019, the Company no longer includes discrete tax adjustments or the effect of changes in income tax rates in its calculation of Adjusted EPS. Prior year results have been revised to conform to this calculation.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show the earnings per share effect of certain income and expense items: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0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Three months ended March 31, 2019</w:t>
            </w:r>
          </w:p>
        </w:tc>
        <w:tc>
          <w:tcPr>
            <w:tcW w:w="2860" w:type="dxa"/>
            <w:vAlign w:val="bottom"/>
            <w:tcBorders>
              <w:top w:val="single" w:sz="8" w:color="auto"/>
            </w:tcBorders>
          </w:tcPr>
          <w:p>
            <w:pPr>
              <w:jc w:val="right"/>
              <w:ind w:right="610"/>
              <w:spacing w:after="0" w:line="191" w:lineRule="exact"/>
              <w:rPr>
                <w:sz w:val="20"/>
                <w:szCs w:val="20"/>
                <w:color w:val="auto"/>
              </w:rPr>
            </w:pPr>
            <w:r>
              <w:rPr>
                <w:rFonts w:ascii="Arial" w:cs="Arial" w:eastAsia="Arial" w:hAnsi="Arial"/>
                <w:sz w:val="18"/>
                <w:szCs w:val="18"/>
                <w:b w:val="1"/>
                <w:bCs w:val="1"/>
                <w:color w:val="auto"/>
              </w:rPr>
              <w:t>Pre tax</w:t>
            </w:r>
          </w:p>
        </w:tc>
        <w:tc>
          <w:tcPr>
            <w:tcW w:w="1360" w:type="dxa"/>
            <w:vAlign w:val="bottom"/>
            <w:tcBorders>
              <w:top w:val="single" w:sz="8" w:color="auto"/>
            </w:tcBorders>
          </w:tcPr>
          <w:p>
            <w:pPr>
              <w:jc w:val="right"/>
              <w:ind w:right="630"/>
              <w:spacing w:after="0" w:line="191" w:lineRule="exact"/>
              <w:rPr>
                <w:sz w:val="20"/>
                <w:szCs w:val="20"/>
                <w:color w:val="auto"/>
              </w:rPr>
            </w:pPr>
            <w:r>
              <w:rPr>
                <w:rFonts w:ascii="Arial" w:cs="Arial" w:eastAsia="Arial" w:hAnsi="Arial"/>
                <w:sz w:val="18"/>
                <w:szCs w:val="18"/>
                <w:b w:val="1"/>
                <w:bCs w:val="1"/>
                <w:color w:val="auto"/>
              </w:rPr>
              <w:t>Tax</w:t>
            </w:r>
          </w:p>
        </w:tc>
        <w:tc>
          <w:tcPr>
            <w:tcW w:w="1300" w:type="dxa"/>
            <w:vAlign w:val="bottom"/>
            <w:tcBorders>
              <w:top w:val="single" w:sz="8" w:color="auto"/>
            </w:tcBorders>
          </w:tcPr>
          <w:p>
            <w:pPr>
              <w:jc w:val="right"/>
              <w:ind w:right="350"/>
              <w:spacing w:after="0" w:line="191" w:lineRule="exact"/>
              <w:rPr>
                <w:sz w:val="20"/>
                <w:szCs w:val="20"/>
                <w:color w:val="auto"/>
              </w:rPr>
            </w:pPr>
            <w:r>
              <w:rPr>
                <w:rFonts w:ascii="Arial" w:cs="Arial" w:eastAsia="Arial" w:hAnsi="Arial"/>
                <w:sz w:val="18"/>
                <w:szCs w:val="18"/>
                <w:b w:val="1"/>
                <w:bCs w:val="1"/>
                <w:color w:val="auto"/>
              </w:rPr>
              <w:t>After tax</w:t>
            </w:r>
          </w:p>
        </w:tc>
        <w:tc>
          <w:tcPr>
            <w:tcW w:w="1300" w:type="dxa"/>
            <w:vAlign w:val="bottom"/>
            <w:tcBorders>
              <w:top w:val="single" w:sz="8" w:color="auto"/>
            </w:tcBorders>
          </w:tcPr>
          <w:p>
            <w:pPr>
              <w:jc w:val="right"/>
              <w:ind w:right="230"/>
              <w:spacing w:after="0" w:line="191" w:lineRule="exact"/>
              <w:rPr>
                <w:sz w:val="20"/>
                <w:szCs w:val="20"/>
                <w:color w:val="auto"/>
              </w:rPr>
            </w:pPr>
            <w:r>
              <w:rPr>
                <w:rFonts w:ascii="Arial" w:cs="Arial" w:eastAsia="Arial" w:hAnsi="Arial"/>
                <w:sz w:val="18"/>
                <w:szCs w:val="18"/>
                <w:b w:val="1"/>
                <w:bCs w:val="1"/>
                <w:color w:val="auto"/>
              </w:rPr>
              <w:t>Per share</w:t>
            </w:r>
          </w:p>
        </w:tc>
        <w:tc>
          <w:tcPr>
            <w:tcW w:w="20" w:type="dxa"/>
            <w:vAlign w:val="bottom"/>
          </w:tcPr>
          <w:p>
            <w:pPr>
              <w:spacing w:after="0"/>
              <w:rPr>
                <w:sz w:val="16"/>
                <w:szCs w:val="16"/>
                <w:color w:val="auto"/>
              </w:rPr>
            </w:pPr>
          </w:p>
        </w:tc>
      </w:tr>
      <w:tr>
        <w:trPr>
          <w:trHeight w:val="227"/>
        </w:trPr>
        <w:tc>
          <w:tcPr>
            <w:tcW w:w="460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2860" w:type="dxa"/>
            <w:vAlign w:val="bottom"/>
          </w:tcPr>
          <w:p>
            <w:pPr>
              <w:jc w:val="right"/>
              <w:ind w:right="510"/>
              <w:spacing w:after="0"/>
              <w:rPr>
                <w:sz w:val="20"/>
                <w:szCs w:val="20"/>
                <w:color w:val="auto"/>
              </w:rPr>
            </w:pPr>
            <w:r>
              <w:rPr>
                <w:rFonts w:ascii="Arial" w:cs="Arial" w:eastAsia="Arial" w:hAnsi="Arial"/>
                <w:sz w:val="18"/>
                <w:szCs w:val="18"/>
                <w:b w:val="1"/>
                <w:bCs w:val="1"/>
                <w:color w:val="auto"/>
              </w:rPr>
              <w:t>Amounts</w:t>
            </w: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Effect</w:t>
            </w: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Effect</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Effect</w:t>
            </w:r>
          </w:p>
        </w:tc>
      </w:tr>
      <w:tr>
        <w:trPr>
          <w:trHeight w:val="173"/>
        </w:trPr>
        <w:tc>
          <w:tcPr>
            <w:tcW w:w="460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Restructuring expenses, net</w:t>
            </w:r>
          </w:p>
        </w:tc>
        <w:tc>
          <w:tcPr>
            <w:tcW w:w="2860" w:type="dxa"/>
            <w:vAlign w:val="bottom"/>
            <w:tcBorders>
              <w:top w:val="single" w:sz="8" w:color="auto"/>
            </w:tcBorders>
          </w:tcPr>
          <w:p>
            <w:pPr>
              <w:jc w:val="right"/>
              <w:ind w:right="170"/>
              <w:spacing w:after="0" w:line="173" w:lineRule="exact"/>
              <w:rPr>
                <w:sz w:val="20"/>
                <w:szCs w:val="20"/>
                <w:color w:val="auto"/>
              </w:rPr>
            </w:pPr>
            <w:r>
              <w:rPr>
                <w:rFonts w:ascii="Arial" w:cs="Arial" w:eastAsia="Arial" w:hAnsi="Arial"/>
                <w:sz w:val="18"/>
                <w:szCs w:val="18"/>
                <w:color w:val="auto"/>
              </w:rPr>
              <w:t>$484</w:t>
            </w:r>
          </w:p>
        </w:tc>
        <w:tc>
          <w:tcPr>
            <w:tcW w:w="1360" w:type="dxa"/>
            <w:vAlign w:val="bottom"/>
            <w:tcBorders>
              <w:top w:val="single" w:sz="8" w:color="auto"/>
            </w:tcBorders>
          </w:tcPr>
          <w:p>
            <w:pPr>
              <w:jc w:val="right"/>
              <w:ind w:right="30"/>
              <w:spacing w:after="0" w:line="173" w:lineRule="exact"/>
              <w:rPr>
                <w:sz w:val="20"/>
                <w:szCs w:val="20"/>
                <w:color w:val="auto"/>
              </w:rPr>
            </w:pPr>
            <w:r>
              <w:rPr>
                <w:rFonts w:ascii="Arial" w:cs="Arial" w:eastAsia="Arial" w:hAnsi="Arial"/>
                <w:sz w:val="18"/>
                <w:szCs w:val="18"/>
                <w:color w:val="auto"/>
              </w:rPr>
              <w:t>$142</w:t>
            </w:r>
          </w:p>
        </w:tc>
        <w:tc>
          <w:tcPr>
            <w:tcW w:w="1300" w:type="dxa"/>
            <w:vAlign w:val="bottom"/>
            <w:tcBorders>
              <w:top w:val="single" w:sz="8" w:color="auto"/>
            </w:tcBorders>
          </w:tcPr>
          <w:p>
            <w:pPr>
              <w:jc w:val="right"/>
              <w:ind w:right="90"/>
              <w:spacing w:after="0" w:line="173" w:lineRule="exact"/>
              <w:rPr>
                <w:sz w:val="20"/>
                <w:szCs w:val="20"/>
                <w:color w:val="auto"/>
              </w:rPr>
            </w:pPr>
            <w:r>
              <w:rPr>
                <w:rFonts w:ascii="Arial" w:cs="Arial" w:eastAsia="Arial" w:hAnsi="Arial"/>
                <w:sz w:val="18"/>
                <w:szCs w:val="18"/>
                <w:color w:val="auto"/>
              </w:rPr>
              <w:t>$342</w:t>
            </w:r>
          </w:p>
        </w:tc>
        <w:tc>
          <w:tcPr>
            <w:tcW w:w="130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$0.01</w:t>
            </w:r>
          </w:p>
        </w:tc>
        <w:tc>
          <w:tcPr>
            <w:tcW w:w="20" w:type="dxa"/>
            <w:vAlign w:val="bottom"/>
          </w:tcPr>
          <w:p>
            <w:pPr>
              <w:spacing w:after="0"/>
              <w:rPr>
                <w:sz w:val="15"/>
                <w:szCs w:val="15"/>
                <w:color w:val="auto"/>
              </w:rPr>
            </w:pPr>
          </w:p>
        </w:tc>
      </w:tr>
      <w:tr>
        <w:trPr>
          <w:trHeight w:val="225"/>
        </w:trPr>
        <w:tc>
          <w:tcPr>
            <w:tcW w:w="4600" w:type="dxa"/>
            <w:vAlign w:val="bottom"/>
          </w:tcPr>
          <w:p>
            <w:pPr>
              <w:spacing w:after="0"/>
              <w:rPr>
                <w:sz w:val="20"/>
                <w:szCs w:val="20"/>
                <w:color w:val="auto"/>
              </w:rPr>
            </w:pPr>
            <w:r>
              <w:rPr>
                <w:rFonts w:ascii="Arial" w:cs="Arial" w:eastAsia="Arial" w:hAnsi="Arial"/>
                <w:sz w:val="18"/>
                <w:szCs w:val="18"/>
                <w:color w:val="auto"/>
              </w:rPr>
              <w:t>Foreign currency revaluation (gains)/losses</w:t>
            </w:r>
          </w:p>
        </w:tc>
        <w:tc>
          <w:tcPr>
            <w:tcW w:w="2860" w:type="dxa"/>
            <w:vAlign w:val="bottom"/>
          </w:tcPr>
          <w:p>
            <w:pPr>
              <w:jc w:val="right"/>
              <w:ind w:right="170"/>
              <w:spacing w:after="0"/>
              <w:rPr>
                <w:sz w:val="20"/>
                <w:szCs w:val="20"/>
                <w:color w:val="auto"/>
              </w:rPr>
            </w:pPr>
            <w:r>
              <w:rPr>
                <w:rFonts w:ascii="Arial" w:cs="Arial" w:eastAsia="Arial" w:hAnsi="Arial"/>
                <w:sz w:val="18"/>
                <w:szCs w:val="18"/>
                <w:color w:val="auto"/>
              </w:rPr>
              <w:t>(1,833)</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(539)</w:t>
            </w:r>
          </w:p>
        </w:tc>
        <w:tc>
          <w:tcPr>
            <w:tcW w:w="1300" w:type="dxa"/>
            <w:vAlign w:val="bottom"/>
          </w:tcPr>
          <w:p>
            <w:pPr>
              <w:jc w:val="right"/>
              <w:ind w:right="90"/>
              <w:spacing w:after="0"/>
              <w:rPr>
                <w:sz w:val="20"/>
                <w:szCs w:val="20"/>
                <w:color w:val="auto"/>
              </w:rPr>
            </w:pPr>
            <w:r>
              <w:rPr>
                <w:rFonts w:ascii="Arial" w:cs="Arial" w:eastAsia="Arial" w:hAnsi="Arial"/>
                <w:sz w:val="18"/>
                <w:szCs w:val="18"/>
                <w:color w:val="auto"/>
              </w:rPr>
              <w:t>(1,294)</w:t>
            </w: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r>
      <w:tr>
        <w:trPr>
          <w:trHeight w:val="318"/>
        </w:trPr>
        <w:tc>
          <w:tcPr>
            <w:tcW w:w="4600" w:type="dxa"/>
            <w:vAlign w:val="bottom"/>
            <w:tcBorders>
              <w:top w:val="single" w:sz="8" w:color="auto"/>
            </w:tcBorders>
          </w:tcPr>
          <w:p>
            <w:pPr>
              <w:spacing w:after="0"/>
              <w:rPr>
                <w:sz w:val="24"/>
                <w:szCs w:val="24"/>
                <w:color w:val="auto"/>
              </w:rPr>
            </w:pPr>
          </w:p>
        </w:tc>
        <w:tc>
          <w:tcPr>
            <w:tcW w:w="2860" w:type="dxa"/>
            <w:vAlign w:val="bottom"/>
            <w:tcBorders>
              <w:top w:val="single" w:sz="8" w:color="auto"/>
            </w:tcBorders>
          </w:tcPr>
          <w:p>
            <w:pPr>
              <w:jc w:val="right"/>
              <w:ind w:right="1570"/>
              <w:spacing w:after="0"/>
              <w:rPr>
                <w:sz w:val="20"/>
                <w:szCs w:val="20"/>
                <w:color w:val="auto"/>
              </w:rPr>
            </w:pPr>
            <w:r>
              <w:rPr>
                <w:rFonts w:ascii="Times New Roman" w:cs="Times New Roman" w:eastAsia="Times New Roman" w:hAnsi="Times New Roman"/>
                <w:sz w:val="18"/>
                <w:szCs w:val="18"/>
                <w:color w:val="auto"/>
              </w:rPr>
              <w:t>46</w:t>
            </w:r>
          </w:p>
        </w:tc>
        <w:tc>
          <w:tcPr>
            <w:tcW w:w="13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60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ectPr>
          <w:pgSz w:w="11900" w:h="16838" w:orient="portrait"/>
          <w:cols w:equalWidth="0" w:num="1">
            <w:col w:w="11420"/>
          </w:cols>
          <w:pgMar w:left="240" w:top="468" w:right="239" w:bottom="1440" w:gutter="0" w:footer="0" w:header="0"/>
        </w:sectPr>
      </w:pPr>
    </w:p>
    <w:bookmarkStart w:id="46" w:name="page47"/>
    <w:bookmarkEnd w:id="4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98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b w:val="1"/>
                <w:bCs w:val="1"/>
                <w:color w:val="auto"/>
              </w:rPr>
              <w:t>Three months ended March 31, 2018</w:t>
            </w:r>
          </w:p>
        </w:tc>
        <w:tc>
          <w:tcPr>
            <w:tcW w:w="1800" w:type="dxa"/>
            <w:vAlign w:val="bottom"/>
            <w:tcBorders>
              <w:top w:val="single" w:sz="8" w:color="auto"/>
            </w:tcBorders>
          </w:tcPr>
          <w:p>
            <w:pPr>
              <w:jc w:val="right"/>
              <w:ind w:right="530"/>
              <w:spacing w:after="0" w:line="191" w:lineRule="exact"/>
              <w:rPr>
                <w:sz w:val="20"/>
                <w:szCs w:val="20"/>
                <w:color w:val="auto"/>
              </w:rPr>
            </w:pPr>
            <w:r>
              <w:rPr>
                <w:rFonts w:ascii="Arial" w:cs="Arial" w:eastAsia="Arial" w:hAnsi="Arial"/>
                <w:sz w:val="18"/>
                <w:szCs w:val="18"/>
                <w:b w:val="1"/>
                <w:bCs w:val="1"/>
                <w:color w:val="auto"/>
              </w:rPr>
              <w:t>Pre tax</w:t>
            </w:r>
          </w:p>
        </w:tc>
        <w:tc>
          <w:tcPr>
            <w:tcW w:w="1240" w:type="dxa"/>
            <w:vAlign w:val="bottom"/>
            <w:tcBorders>
              <w:top w:val="single" w:sz="8" w:color="auto"/>
            </w:tcBorders>
          </w:tcPr>
          <w:p>
            <w:pPr>
              <w:jc w:val="right"/>
              <w:ind w:right="550"/>
              <w:spacing w:after="0" w:line="191" w:lineRule="exact"/>
              <w:rPr>
                <w:sz w:val="20"/>
                <w:szCs w:val="20"/>
                <w:color w:val="auto"/>
              </w:rPr>
            </w:pPr>
            <w:r>
              <w:rPr>
                <w:rFonts w:ascii="Arial" w:cs="Arial" w:eastAsia="Arial" w:hAnsi="Arial"/>
                <w:sz w:val="18"/>
                <w:szCs w:val="18"/>
                <w:b w:val="1"/>
                <w:bCs w:val="1"/>
                <w:color w:val="auto"/>
              </w:rPr>
              <w:t>Tax</w:t>
            </w:r>
          </w:p>
        </w:tc>
        <w:tc>
          <w:tcPr>
            <w:tcW w:w="1260" w:type="dxa"/>
            <w:vAlign w:val="bottom"/>
            <w:tcBorders>
              <w:top w:val="single" w:sz="8" w:color="auto"/>
            </w:tcBorders>
          </w:tcPr>
          <w:p>
            <w:pPr>
              <w:jc w:val="right"/>
              <w:ind w:right="330"/>
              <w:spacing w:after="0" w:line="191" w:lineRule="exact"/>
              <w:rPr>
                <w:sz w:val="20"/>
                <w:szCs w:val="20"/>
                <w:color w:val="auto"/>
              </w:rPr>
            </w:pPr>
            <w:r>
              <w:rPr>
                <w:rFonts w:ascii="Arial" w:cs="Arial" w:eastAsia="Arial" w:hAnsi="Arial"/>
                <w:sz w:val="18"/>
                <w:szCs w:val="18"/>
                <w:b w:val="1"/>
                <w:bCs w:val="1"/>
                <w:color w:val="auto"/>
              </w:rPr>
              <w:t>After tax</w:t>
            </w:r>
          </w:p>
        </w:tc>
        <w:tc>
          <w:tcPr>
            <w:tcW w:w="1140" w:type="dxa"/>
            <w:vAlign w:val="bottom"/>
            <w:tcBorders>
              <w:top w:val="single" w:sz="8" w:color="auto"/>
            </w:tcBorders>
          </w:tcPr>
          <w:p>
            <w:pPr>
              <w:jc w:val="center"/>
              <w:ind w:right="150"/>
              <w:spacing w:after="0" w:line="191" w:lineRule="exact"/>
              <w:rPr>
                <w:sz w:val="20"/>
                <w:szCs w:val="20"/>
                <w:color w:val="auto"/>
              </w:rPr>
            </w:pPr>
            <w:r>
              <w:rPr>
                <w:rFonts w:ascii="Arial" w:cs="Arial" w:eastAsia="Arial" w:hAnsi="Arial"/>
                <w:sz w:val="18"/>
                <w:szCs w:val="18"/>
                <w:b w:val="1"/>
                <w:bCs w:val="1"/>
                <w:color w:val="auto"/>
                <w:w w:val="99"/>
              </w:rPr>
              <w:t>Per share</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980" w:type="dxa"/>
            <w:vAlign w:val="bottom"/>
          </w:tcPr>
          <w:p>
            <w:pPr>
              <w:spacing w:after="0"/>
              <w:rPr>
                <w:sz w:val="20"/>
                <w:szCs w:val="20"/>
                <w:color w:val="auto"/>
              </w:rPr>
            </w:pPr>
            <w:r>
              <w:rPr>
                <w:rFonts w:ascii="Arial" w:cs="Arial" w:eastAsia="Arial" w:hAnsi="Arial"/>
                <w:sz w:val="18"/>
                <w:szCs w:val="18"/>
                <w:b w:val="1"/>
                <w:bCs w:val="1"/>
                <w:color w:val="auto"/>
              </w:rPr>
              <w:t>(in thousands, except per share amounts)</w:t>
            </w:r>
          </w:p>
        </w:tc>
        <w:tc>
          <w:tcPr>
            <w:tcW w:w="1800" w:type="dxa"/>
            <w:vAlign w:val="bottom"/>
          </w:tcPr>
          <w:p>
            <w:pPr>
              <w:jc w:val="right"/>
              <w:ind w:right="430"/>
              <w:spacing w:after="0"/>
              <w:rPr>
                <w:sz w:val="20"/>
                <w:szCs w:val="20"/>
                <w:color w:val="auto"/>
              </w:rPr>
            </w:pPr>
            <w:r>
              <w:rPr>
                <w:rFonts w:ascii="Arial" w:cs="Arial" w:eastAsia="Arial" w:hAnsi="Arial"/>
                <w:sz w:val="18"/>
                <w:szCs w:val="18"/>
                <w:b w:val="1"/>
                <w:bCs w:val="1"/>
                <w:color w:val="auto"/>
              </w:rPr>
              <w:t>Amounts</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Effect</w:t>
            </w: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Effect</w:t>
            </w: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Effect</w:t>
            </w:r>
          </w:p>
        </w:tc>
        <w:tc>
          <w:tcPr>
            <w:tcW w:w="0" w:type="dxa"/>
            <w:vAlign w:val="bottom"/>
          </w:tcPr>
          <w:p>
            <w:pPr>
              <w:spacing w:after="0"/>
              <w:rPr>
                <w:sz w:val="1"/>
                <w:szCs w:val="1"/>
                <w:color w:val="auto"/>
              </w:rPr>
            </w:pPr>
          </w:p>
        </w:tc>
      </w:tr>
      <w:tr>
        <w:trPr>
          <w:trHeight w:val="173"/>
        </w:trPr>
        <w:tc>
          <w:tcPr>
            <w:tcW w:w="5980" w:type="dxa"/>
            <w:vAlign w:val="bottom"/>
            <w:tcBorders>
              <w:top w:val="single" w:sz="8" w:color="auto"/>
            </w:tcBorders>
          </w:tcPr>
          <w:p>
            <w:pPr>
              <w:spacing w:after="0" w:line="173" w:lineRule="exact"/>
              <w:rPr>
                <w:sz w:val="20"/>
                <w:szCs w:val="20"/>
                <w:color w:val="auto"/>
              </w:rPr>
            </w:pPr>
            <w:r>
              <w:rPr>
                <w:rFonts w:ascii="Arial" w:cs="Arial" w:eastAsia="Arial" w:hAnsi="Arial"/>
                <w:sz w:val="18"/>
                <w:szCs w:val="18"/>
                <w:color w:val="auto"/>
              </w:rPr>
              <w:t>Restructuring expenses, net</w:t>
            </w:r>
          </w:p>
        </w:tc>
        <w:tc>
          <w:tcPr>
            <w:tcW w:w="180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color w:val="auto"/>
              </w:rPr>
              <w:t>$8,573</w:t>
            </w:r>
          </w:p>
        </w:tc>
        <w:tc>
          <w:tcPr>
            <w:tcW w:w="1240" w:type="dxa"/>
            <w:vAlign w:val="bottom"/>
            <w:tcBorders>
              <w:top w:val="single" w:sz="8" w:color="auto"/>
            </w:tcBorders>
          </w:tcPr>
          <w:p>
            <w:pPr>
              <w:jc w:val="right"/>
              <w:ind w:right="10"/>
              <w:spacing w:after="0" w:line="173" w:lineRule="exact"/>
              <w:rPr>
                <w:sz w:val="20"/>
                <w:szCs w:val="20"/>
                <w:color w:val="auto"/>
              </w:rPr>
            </w:pPr>
            <w:r>
              <w:rPr>
                <w:rFonts w:ascii="Arial" w:cs="Arial" w:eastAsia="Arial" w:hAnsi="Arial"/>
                <w:sz w:val="18"/>
                <w:szCs w:val="18"/>
                <w:color w:val="auto"/>
              </w:rPr>
              <w:t>$2,786</w:t>
            </w:r>
          </w:p>
        </w:tc>
        <w:tc>
          <w:tcPr>
            <w:tcW w:w="1260" w:type="dxa"/>
            <w:vAlign w:val="bottom"/>
            <w:tcBorders>
              <w:top w:val="single" w:sz="8" w:color="auto"/>
            </w:tcBorders>
          </w:tcPr>
          <w:p>
            <w:pPr>
              <w:jc w:val="right"/>
              <w:ind w:right="130"/>
              <w:spacing w:after="0" w:line="173" w:lineRule="exact"/>
              <w:rPr>
                <w:sz w:val="20"/>
                <w:szCs w:val="20"/>
                <w:color w:val="auto"/>
              </w:rPr>
            </w:pPr>
            <w:r>
              <w:rPr>
                <w:rFonts w:ascii="Arial" w:cs="Arial" w:eastAsia="Arial" w:hAnsi="Arial"/>
                <w:sz w:val="18"/>
                <w:szCs w:val="18"/>
                <w:color w:val="auto"/>
              </w:rPr>
              <w:t>$5,787</w:t>
            </w:r>
          </w:p>
        </w:tc>
        <w:tc>
          <w:tcPr>
            <w:tcW w:w="114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$0.18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980" w:type="dxa"/>
            <w:vAlign w:val="bottom"/>
          </w:tcPr>
          <w:p>
            <w:pPr>
              <w:spacing w:after="0"/>
              <w:rPr>
                <w:sz w:val="20"/>
                <w:szCs w:val="20"/>
                <w:color w:val="auto"/>
              </w:rPr>
            </w:pPr>
            <w:r>
              <w:rPr>
                <w:rFonts w:ascii="Arial" w:cs="Arial" w:eastAsia="Arial" w:hAnsi="Arial"/>
                <w:sz w:val="18"/>
                <w:szCs w:val="18"/>
                <w:color w:val="auto"/>
              </w:rPr>
              <w:t>Foreign currency revaluation (gains)/losses</w:t>
            </w:r>
          </w:p>
        </w:tc>
        <w:tc>
          <w:tcPr>
            <w:tcW w:w="1800" w:type="dxa"/>
            <w:vAlign w:val="bottom"/>
          </w:tcPr>
          <w:p>
            <w:pPr>
              <w:jc w:val="right"/>
              <w:ind w:right="130"/>
              <w:spacing w:after="0"/>
              <w:rPr>
                <w:sz w:val="20"/>
                <w:szCs w:val="20"/>
                <w:color w:val="auto"/>
              </w:rPr>
            </w:pPr>
            <w:r>
              <w:rPr>
                <w:rFonts w:ascii="Arial" w:cs="Arial" w:eastAsia="Arial" w:hAnsi="Arial"/>
                <w:sz w:val="18"/>
                <w:szCs w:val="18"/>
                <w:color w:val="auto"/>
              </w:rPr>
              <w:t>2,390</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777</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1,613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399"/>
        </w:trPr>
        <w:tc>
          <w:tcPr>
            <w:tcW w:w="598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rPr>
              <w:t>The following table contains the calculation of Adjusted EPS:</w:t>
            </w:r>
          </w:p>
        </w:tc>
        <w:tc>
          <w:tcPr>
            <w:tcW w:w="1800" w:type="dxa"/>
            <w:vAlign w:val="bottom"/>
            <w:tcBorders>
              <w:top w:val="single" w:sz="8" w:color="auto"/>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40" w:type="dxa"/>
            <w:vAlign w:val="bottom"/>
            <w:gridSpan w:val="3"/>
          </w:tcPr>
          <w:p>
            <w:pPr>
              <w:jc w:val="right"/>
              <w:ind w:right="10"/>
              <w:spacing w:after="0" w:line="171" w:lineRule="exact"/>
              <w:rPr>
                <w:sz w:val="20"/>
                <w:szCs w:val="20"/>
                <w:color w:val="auto"/>
              </w:rPr>
            </w:pPr>
            <w:r>
              <w:rPr>
                <w:rFonts w:ascii="Arial" w:cs="Arial" w:eastAsia="Arial" w:hAnsi="Arial"/>
                <w:sz w:val="18"/>
                <w:szCs w:val="18"/>
                <w:b w:val="1"/>
                <w:bCs w:val="1"/>
                <w:color w:val="auto"/>
              </w:rPr>
              <w:t>Three months ended March</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31,</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 share amounts (Basic)</w:t>
            </w:r>
          </w:p>
        </w:tc>
        <w:tc>
          <w:tcPr>
            <w:tcW w:w="1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2019</w:t>
            </w: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line="173" w:lineRule="exact"/>
              <w:rPr>
                <w:sz w:val="20"/>
                <w:szCs w:val="20"/>
                <w:color w:val="auto"/>
              </w:rPr>
            </w:pPr>
            <w:r>
              <w:rPr>
                <w:rFonts w:ascii="Arial" w:cs="Arial" w:eastAsia="Arial" w:hAnsi="Arial"/>
                <w:sz w:val="18"/>
                <w:szCs w:val="18"/>
                <w:color w:val="auto"/>
              </w:rPr>
              <w:t>Earnings per share (GAAP)</w:t>
            </w:r>
          </w:p>
        </w:tc>
        <w:tc>
          <w:tcPr>
            <w:tcW w:w="1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60" w:type="dxa"/>
            <w:vAlign w:val="bottom"/>
          </w:tcPr>
          <w:p>
            <w:pPr>
              <w:jc w:val="right"/>
              <w:ind w:right="130"/>
              <w:spacing w:after="0" w:line="173" w:lineRule="exact"/>
              <w:rPr>
                <w:sz w:val="20"/>
                <w:szCs w:val="20"/>
                <w:color w:val="auto"/>
              </w:rPr>
            </w:pPr>
            <w:r>
              <w:rPr>
                <w:rFonts w:ascii="Arial" w:cs="Arial" w:eastAsia="Arial" w:hAnsi="Arial"/>
                <w:sz w:val="18"/>
                <w:szCs w:val="18"/>
                <w:b w:val="1"/>
                <w:bCs w:val="1"/>
                <w:color w:val="auto"/>
              </w:rPr>
              <w:t>$0.90</w:t>
            </w:r>
          </w:p>
        </w:tc>
        <w:tc>
          <w:tcPr>
            <w:tcW w:w="1140" w:type="dxa"/>
            <w:vAlign w:val="bottom"/>
          </w:tcPr>
          <w:p>
            <w:pPr>
              <w:jc w:val="right"/>
              <w:spacing w:after="0" w:line="173" w:lineRule="exact"/>
              <w:rPr>
                <w:sz w:val="20"/>
                <w:szCs w:val="20"/>
                <w:color w:val="auto"/>
              </w:rPr>
            </w:pPr>
            <w:r>
              <w:rPr>
                <w:rFonts w:ascii="Arial" w:cs="Arial" w:eastAsia="Arial" w:hAnsi="Arial"/>
                <w:sz w:val="18"/>
                <w:szCs w:val="18"/>
                <w:color w:val="auto"/>
              </w:rPr>
              <w:t>$0.24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line="202" w:lineRule="exact"/>
              <w:rPr>
                <w:sz w:val="20"/>
                <w:szCs w:val="20"/>
                <w:color w:val="auto"/>
              </w:rPr>
            </w:pPr>
            <w:r>
              <w:rPr>
                <w:rFonts w:ascii="Arial" w:cs="Arial" w:eastAsia="Arial" w:hAnsi="Arial"/>
                <w:sz w:val="18"/>
                <w:szCs w:val="18"/>
                <w:color w:val="auto"/>
              </w:rPr>
              <w:t>Adjustments:</w:t>
            </w: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0.01</w:t>
            </w: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80" w:type="dxa"/>
            <w:vAlign w:val="bottom"/>
          </w:tcPr>
          <w:p>
            <w:pPr>
              <w:spacing w:after="0" w:line="201" w:lineRule="exact"/>
              <w:rPr>
                <w:sz w:val="20"/>
                <w:szCs w:val="20"/>
                <w:color w:val="auto"/>
              </w:rPr>
            </w:pPr>
            <w:r>
              <w:rPr>
                <w:rFonts w:ascii="Arial" w:cs="Arial" w:eastAsia="Arial" w:hAnsi="Arial"/>
                <w:sz w:val="18"/>
                <w:szCs w:val="18"/>
                <w:color w:val="auto"/>
              </w:rPr>
              <w:t>Restructuring expenses, net (after-tax)</w:t>
            </w:r>
          </w:p>
        </w:tc>
        <w:tc>
          <w:tcPr>
            <w:tcW w:w="18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11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7"/>
        </w:trPr>
        <w:tc>
          <w:tcPr>
            <w:tcW w:w="5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Foreign currency revaluation (gains)/losses (after-tax)</w:t>
            </w:r>
          </w:p>
        </w:tc>
        <w:tc>
          <w:tcPr>
            <w:tcW w:w="18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(0.04)</w:t>
            </w: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196"/>
        </w:trPr>
        <w:tc>
          <w:tcPr>
            <w:tcW w:w="59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Earnings per share</w:t>
            </w:r>
          </w:p>
        </w:tc>
        <w:tc>
          <w:tcPr>
            <w:tcW w:w="18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$0.87</w:t>
            </w:r>
          </w:p>
        </w:tc>
        <w:tc>
          <w:tcPr>
            <w:tcW w:w="11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Net debt is, in the opinion of the Company, helpful to investors wishing to understand what the Company’s debt position would be if all available cash were applied to pay down indebtedness. The Company calculates Net debt by subtracting Cash and cash equivalents from Total debt. Total debt is calculated by adding Long-term debt, Current maturities of long-term debt, and Notes and loans payable, if any.</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contains the calculation of net debt: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64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140"/>
              <w:spacing w:after="0" w:line="191" w:lineRule="exact"/>
              <w:rPr>
                <w:sz w:val="20"/>
                <w:szCs w:val="20"/>
                <w:color w:val="auto"/>
              </w:rPr>
            </w:pPr>
            <w:r>
              <w:rPr>
                <w:rFonts w:ascii="Arial" w:cs="Arial" w:eastAsia="Arial" w:hAnsi="Arial"/>
                <w:sz w:val="18"/>
                <w:szCs w:val="18"/>
                <w:b w:val="1"/>
                <w:bCs w:val="1"/>
                <w:color w:val="auto"/>
              </w:rPr>
              <w:t>December 31,</w:t>
            </w:r>
          </w:p>
        </w:tc>
      </w:tr>
      <w:tr>
        <w:trPr>
          <w:trHeight w:val="227"/>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 thousands)</w:t>
            </w:r>
          </w:p>
        </w:tc>
        <w:tc>
          <w:tcPr>
            <w:tcW w:w="38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March 31, 2019 December 31, 2018</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March 31, 2018</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r>
      <w:tr>
        <w:trPr>
          <w:trHeight w:val="173"/>
        </w:trPr>
        <w:tc>
          <w:tcPr>
            <w:tcW w:w="4640" w:type="dxa"/>
            <w:vAlign w:val="bottom"/>
          </w:tcPr>
          <w:p>
            <w:pPr>
              <w:spacing w:after="0" w:line="173" w:lineRule="exact"/>
              <w:rPr>
                <w:sz w:val="20"/>
                <w:szCs w:val="20"/>
                <w:color w:val="auto"/>
              </w:rPr>
            </w:pPr>
            <w:r>
              <w:rPr>
                <w:rFonts w:ascii="Arial" w:cs="Arial" w:eastAsia="Arial" w:hAnsi="Arial"/>
                <w:sz w:val="18"/>
                <w:szCs w:val="18"/>
                <w:color w:val="auto"/>
              </w:rPr>
              <w:t>Notes and loans payable</w:t>
            </w:r>
          </w:p>
        </w:tc>
        <w:tc>
          <w:tcPr>
            <w:tcW w:w="2480" w:type="dxa"/>
            <w:vAlign w:val="bottom"/>
          </w:tcPr>
          <w:p>
            <w:pPr>
              <w:jc w:val="right"/>
              <w:ind w:right="390"/>
              <w:spacing w:after="0" w:line="173" w:lineRule="exact"/>
              <w:rPr>
                <w:sz w:val="20"/>
                <w:szCs w:val="20"/>
                <w:color w:val="auto"/>
              </w:rPr>
            </w:pPr>
            <w:r>
              <w:rPr>
                <w:rFonts w:ascii="Arial" w:cs="Arial" w:eastAsia="Arial" w:hAnsi="Arial"/>
                <w:sz w:val="18"/>
                <w:szCs w:val="18"/>
                <w:color w:val="auto"/>
              </w:rPr>
              <w:t>$ -</w:t>
            </w:r>
          </w:p>
        </w:tc>
        <w:tc>
          <w:tcPr>
            <w:tcW w:w="1360" w:type="dxa"/>
            <w:vAlign w:val="bottom"/>
          </w:tcPr>
          <w:p>
            <w:pPr>
              <w:jc w:val="right"/>
              <w:ind w:right="30"/>
              <w:spacing w:after="0" w:line="173" w:lineRule="exact"/>
              <w:rPr>
                <w:sz w:val="20"/>
                <w:szCs w:val="20"/>
                <w:color w:val="auto"/>
              </w:rPr>
            </w:pPr>
            <w:r>
              <w:rPr>
                <w:rFonts w:ascii="Arial" w:cs="Arial" w:eastAsia="Arial" w:hAnsi="Arial"/>
                <w:sz w:val="18"/>
                <w:szCs w:val="18"/>
                <w:color w:val="auto"/>
              </w:rPr>
              <w:t>$ -</w:t>
            </w:r>
          </w:p>
        </w:tc>
        <w:tc>
          <w:tcPr>
            <w:tcW w:w="1620" w:type="dxa"/>
            <w:vAlign w:val="bottom"/>
          </w:tcPr>
          <w:p>
            <w:pPr>
              <w:jc w:val="right"/>
              <w:ind w:right="70"/>
              <w:spacing w:after="0" w:line="173" w:lineRule="exact"/>
              <w:rPr>
                <w:sz w:val="20"/>
                <w:szCs w:val="20"/>
                <w:color w:val="auto"/>
              </w:rPr>
            </w:pPr>
            <w:r>
              <w:rPr>
                <w:rFonts w:ascii="Arial" w:cs="Arial" w:eastAsia="Arial" w:hAnsi="Arial"/>
                <w:sz w:val="18"/>
                <w:szCs w:val="18"/>
                <w:color w:val="auto"/>
              </w:rPr>
              <w:t>$226</w:t>
            </w:r>
          </w:p>
        </w:tc>
        <w:tc>
          <w:tcPr>
            <w:tcW w:w="1320" w:type="dxa"/>
            <w:vAlign w:val="bottom"/>
          </w:tcPr>
          <w:p>
            <w:pPr>
              <w:jc w:val="right"/>
              <w:spacing w:after="0" w:line="173" w:lineRule="exact"/>
              <w:rPr>
                <w:sz w:val="20"/>
                <w:szCs w:val="20"/>
                <w:color w:val="auto"/>
              </w:rPr>
            </w:pPr>
            <w:r>
              <w:rPr>
                <w:rFonts w:ascii="Arial" w:cs="Arial" w:eastAsia="Arial" w:hAnsi="Arial"/>
                <w:sz w:val="18"/>
                <w:szCs w:val="18"/>
                <w:color w:val="auto"/>
              </w:rPr>
              <w:t>$262</w:t>
            </w:r>
          </w:p>
        </w:tc>
        <w:tc>
          <w:tcPr>
            <w:tcW w:w="20" w:type="dxa"/>
            <w:vAlign w:val="bottom"/>
          </w:tcPr>
          <w:p>
            <w:pPr>
              <w:spacing w:after="0"/>
              <w:rPr>
                <w:sz w:val="15"/>
                <w:szCs w:val="15"/>
                <w:color w:val="auto"/>
              </w:rPr>
            </w:pPr>
          </w:p>
        </w:tc>
      </w:tr>
      <w:tr>
        <w:trPr>
          <w:trHeight w:val="203"/>
        </w:trPr>
        <w:tc>
          <w:tcPr>
            <w:tcW w:w="4640" w:type="dxa"/>
            <w:vAlign w:val="bottom"/>
          </w:tcPr>
          <w:p>
            <w:pPr>
              <w:spacing w:after="0" w:line="202" w:lineRule="exact"/>
              <w:rPr>
                <w:sz w:val="20"/>
                <w:szCs w:val="20"/>
                <w:color w:val="auto"/>
              </w:rPr>
            </w:pPr>
            <w:r>
              <w:rPr>
                <w:rFonts w:ascii="Arial" w:cs="Arial" w:eastAsia="Arial" w:hAnsi="Arial"/>
                <w:sz w:val="18"/>
                <w:szCs w:val="18"/>
                <w:color w:val="auto"/>
              </w:rPr>
              <w:t>Current maturities of long-term debt</w:t>
            </w:r>
          </w:p>
        </w:tc>
        <w:tc>
          <w:tcPr>
            <w:tcW w:w="24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19</w:t>
            </w:r>
          </w:p>
        </w:tc>
        <w:tc>
          <w:tcPr>
            <w:tcW w:w="1360" w:type="dxa"/>
            <w:vAlign w:val="bottom"/>
          </w:tcPr>
          <w:p>
            <w:pPr>
              <w:jc w:val="right"/>
              <w:ind w:right="30"/>
              <w:spacing w:after="0" w:line="202" w:lineRule="exact"/>
              <w:rPr>
                <w:sz w:val="20"/>
                <w:szCs w:val="20"/>
                <w:color w:val="auto"/>
              </w:rPr>
            </w:pPr>
            <w:r>
              <w:rPr>
                <w:rFonts w:ascii="Arial" w:cs="Arial" w:eastAsia="Arial" w:hAnsi="Arial"/>
                <w:sz w:val="18"/>
                <w:szCs w:val="18"/>
                <w:color w:val="auto"/>
              </w:rPr>
              <w:t>1,224</w:t>
            </w:r>
          </w:p>
        </w:tc>
        <w:tc>
          <w:tcPr>
            <w:tcW w:w="16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1,821</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1,799</w:t>
            </w:r>
          </w:p>
        </w:tc>
        <w:tc>
          <w:tcPr>
            <w:tcW w:w="20" w:type="dxa"/>
            <w:vAlign w:val="bottom"/>
          </w:tcPr>
          <w:p>
            <w:pPr>
              <w:spacing w:after="0"/>
              <w:rPr>
                <w:sz w:val="17"/>
                <w:szCs w:val="17"/>
                <w:color w:val="auto"/>
              </w:rPr>
            </w:pPr>
          </w:p>
        </w:tc>
      </w:tr>
      <w:tr>
        <w:trPr>
          <w:trHeight w:val="225"/>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debt</w:t>
            </w:r>
          </w:p>
        </w:tc>
        <w:tc>
          <w:tcPr>
            <w:tcW w:w="2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491,022</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523,707</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518,656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514,120</w:t>
            </w:r>
          </w:p>
        </w:tc>
        <w:tc>
          <w:tcPr>
            <w:tcW w:w="20" w:type="dxa"/>
            <w:vAlign w:val="bottom"/>
          </w:tcPr>
          <w:p>
            <w:pPr>
              <w:spacing w:after="0"/>
              <w:rPr>
                <w:sz w:val="19"/>
                <w:szCs w:val="19"/>
                <w:color w:val="auto"/>
              </w:rPr>
            </w:pPr>
          </w:p>
        </w:tc>
      </w:tr>
      <w:tr>
        <w:trPr>
          <w:trHeight w:val="196"/>
        </w:trPr>
        <w:tc>
          <w:tcPr>
            <w:tcW w:w="4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Total debt</w:t>
            </w:r>
          </w:p>
        </w:tc>
        <w:tc>
          <w:tcPr>
            <w:tcW w:w="24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491,041</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524,931</w:t>
            </w:r>
          </w:p>
        </w:tc>
        <w:tc>
          <w:tcPr>
            <w:tcW w:w="16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520,703</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516,181</w:t>
            </w:r>
          </w:p>
        </w:tc>
        <w:tc>
          <w:tcPr>
            <w:tcW w:w="20" w:type="dxa"/>
            <w:vAlign w:val="bottom"/>
          </w:tcPr>
          <w:p>
            <w:pPr>
              <w:spacing w:after="0"/>
              <w:rPr>
                <w:sz w:val="17"/>
                <w:szCs w:val="17"/>
                <w:color w:val="auto"/>
              </w:rPr>
            </w:pPr>
          </w:p>
        </w:tc>
      </w:tr>
      <w:tr>
        <w:trPr>
          <w:trHeight w:val="196"/>
        </w:trPr>
        <w:tc>
          <w:tcPr>
            <w:tcW w:w="4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Cash and cash equivalents</w:t>
            </w:r>
          </w:p>
        </w:tc>
        <w:tc>
          <w:tcPr>
            <w:tcW w:w="24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187,385</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197,755</w:t>
            </w:r>
          </w:p>
        </w:tc>
        <w:tc>
          <w:tcPr>
            <w:tcW w:w="16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151,426</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183,727</w:t>
            </w:r>
          </w:p>
        </w:tc>
        <w:tc>
          <w:tcPr>
            <w:tcW w:w="20" w:type="dxa"/>
            <w:vAlign w:val="bottom"/>
          </w:tcPr>
          <w:p>
            <w:pPr>
              <w:spacing w:after="0"/>
              <w:rPr>
                <w:sz w:val="17"/>
                <w:szCs w:val="17"/>
                <w:color w:val="auto"/>
              </w:rPr>
            </w:pPr>
          </w:p>
        </w:tc>
      </w:tr>
      <w:tr>
        <w:trPr>
          <w:trHeight w:val="196"/>
        </w:trPr>
        <w:tc>
          <w:tcPr>
            <w:tcW w:w="4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Net debt</w:t>
            </w:r>
          </w:p>
        </w:tc>
        <w:tc>
          <w:tcPr>
            <w:tcW w:w="24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$303,656</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$327,176</w:t>
            </w:r>
          </w:p>
        </w:tc>
        <w:tc>
          <w:tcPr>
            <w:tcW w:w="16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$369,277</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$332,454</w:t>
            </w:r>
          </w:p>
        </w:tc>
        <w:tc>
          <w:tcPr>
            <w:tcW w:w="20" w:type="dxa"/>
            <w:vAlign w:val="bottom"/>
          </w:tcPr>
          <w:p>
            <w:pPr>
              <w:spacing w:after="0"/>
              <w:rPr>
                <w:sz w:val="17"/>
                <w:szCs w:val="17"/>
                <w:color w:val="auto"/>
              </w:rPr>
            </w:pPr>
          </w:p>
        </w:tc>
      </w:tr>
      <w:tr>
        <w:trPr>
          <w:trHeight w:val="173"/>
        </w:trPr>
        <w:tc>
          <w:tcPr>
            <w:tcW w:w="4640" w:type="dxa"/>
            <w:vAlign w:val="bottom"/>
          </w:tcPr>
          <w:p>
            <w:pPr>
              <w:spacing w:after="0" w:line="173" w:lineRule="exact"/>
              <w:rPr>
                <w:sz w:val="20"/>
                <w:szCs w:val="20"/>
                <w:color w:val="auto"/>
              </w:rPr>
            </w:pPr>
            <w:r>
              <w:rPr>
                <w:rFonts w:ascii="Arial" w:cs="Arial" w:eastAsia="Arial" w:hAnsi="Arial"/>
                <w:sz w:val="18"/>
                <w:szCs w:val="18"/>
                <w:color w:val="auto"/>
              </w:rPr>
              <w:t>First-quarter increase/(decrease)</w:t>
            </w:r>
          </w:p>
        </w:tc>
        <w:tc>
          <w:tcPr>
            <w:tcW w:w="2480" w:type="dxa"/>
            <w:vAlign w:val="bottom"/>
          </w:tcPr>
          <w:p>
            <w:pPr>
              <w:jc w:val="right"/>
              <w:ind w:right="390"/>
              <w:spacing w:after="0" w:line="173" w:lineRule="exact"/>
              <w:rPr>
                <w:sz w:val="20"/>
                <w:szCs w:val="20"/>
                <w:color w:val="auto"/>
              </w:rPr>
            </w:pPr>
            <w:r>
              <w:rPr>
                <w:rFonts w:ascii="Arial" w:cs="Arial" w:eastAsia="Arial" w:hAnsi="Arial"/>
                <w:sz w:val="18"/>
                <w:szCs w:val="18"/>
                <w:b w:val="1"/>
                <w:bCs w:val="1"/>
                <w:color w:val="auto"/>
              </w:rPr>
              <w:t>(23,520)</w:t>
            </w:r>
          </w:p>
        </w:tc>
        <w:tc>
          <w:tcPr>
            <w:tcW w:w="1360" w:type="dxa"/>
            <w:vAlign w:val="bottom"/>
          </w:tcPr>
          <w:p>
            <w:pPr>
              <w:jc w:val="right"/>
              <w:ind w:right="30"/>
              <w:spacing w:after="0" w:line="173" w:lineRule="exact"/>
              <w:rPr>
                <w:sz w:val="20"/>
                <w:szCs w:val="20"/>
                <w:color w:val="auto"/>
              </w:rPr>
            </w:pPr>
            <w:r>
              <w:rPr>
                <w:rFonts w:ascii="Arial" w:cs="Arial" w:eastAsia="Arial" w:hAnsi="Arial"/>
                <w:sz w:val="18"/>
                <w:szCs w:val="18"/>
                <w:b w:val="1"/>
                <w:bCs w:val="1"/>
                <w:color w:val="auto"/>
              </w:rPr>
              <w:t>-</w:t>
            </w:r>
          </w:p>
        </w:tc>
        <w:tc>
          <w:tcPr>
            <w:tcW w:w="1620" w:type="dxa"/>
            <w:vAlign w:val="bottom"/>
          </w:tcPr>
          <w:p>
            <w:pPr>
              <w:jc w:val="right"/>
              <w:ind w:right="70"/>
              <w:spacing w:after="0" w:line="173" w:lineRule="exact"/>
              <w:rPr>
                <w:sz w:val="20"/>
                <w:szCs w:val="20"/>
                <w:color w:val="auto"/>
              </w:rPr>
            </w:pPr>
            <w:r>
              <w:rPr>
                <w:rFonts w:ascii="Arial" w:cs="Arial" w:eastAsia="Arial" w:hAnsi="Arial"/>
                <w:sz w:val="18"/>
                <w:szCs w:val="18"/>
                <w:b w:val="1"/>
                <w:bCs w:val="1"/>
                <w:color w:val="auto"/>
              </w:rPr>
              <w:t>36,823</w:t>
            </w:r>
          </w:p>
        </w:tc>
        <w:tc>
          <w:tcPr>
            <w:tcW w:w="1320" w:type="dxa"/>
            <w:vAlign w:val="bottom"/>
          </w:tcPr>
          <w:p>
            <w:pPr>
              <w:jc w:val="right"/>
              <w:spacing w:after="0" w:line="173"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r>
      <w:tr>
        <w:trPr>
          <w:trHeight w:val="225"/>
        </w:trPr>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Effect of ASC 842 adoption</w:t>
            </w:r>
          </w:p>
        </w:tc>
        <w:tc>
          <w:tcPr>
            <w:tcW w:w="24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(25,886)</w:t>
            </w:r>
          </w:p>
        </w:tc>
        <w:tc>
          <w:tcPr>
            <w:tcW w:w="1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196"/>
        </w:trPr>
        <w:tc>
          <w:tcPr>
            <w:tcW w:w="4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Increase excluding effect of ASC 842 adoption</w:t>
            </w:r>
          </w:p>
        </w:tc>
        <w:tc>
          <w:tcPr>
            <w:tcW w:w="248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b w:val="1"/>
                <w:bCs w:val="1"/>
                <w:color w:val="auto"/>
              </w:rPr>
              <w:t>$2,366</w:t>
            </w:r>
          </w:p>
        </w:tc>
        <w:tc>
          <w:tcPr>
            <w:tcW w:w="136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b w:val="1"/>
                <w:bCs w:val="1"/>
                <w:color w:val="auto"/>
              </w:rPr>
              <w:t>$ -</w:t>
            </w:r>
          </w:p>
        </w:tc>
        <w:tc>
          <w:tcPr>
            <w:tcW w:w="16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b w:val="1"/>
                <w:bCs w:val="1"/>
                <w:color w:val="auto"/>
              </w:rPr>
              <w:t>$36,823</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 -</w:t>
            </w:r>
          </w:p>
        </w:tc>
        <w:tc>
          <w:tcPr>
            <w:tcW w:w="20" w:type="dxa"/>
            <w:vAlign w:val="bottom"/>
          </w:tcPr>
          <w:p>
            <w:pPr>
              <w:spacing w:after="0"/>
              <w:rPr>
                <w:sz w:val="17"/>
                <w:szCs w:val="17"/>
                <w:color w:val="auto"/>
              </w:rPr>
            </w:pPr>
          </w:p>
        </w:tc>
      </w:tr>
      <w:tr>
        <w:trPr>
          <w:trHeight w:val="318"/>
        </w:trPr>
        <w:tc>
          <w:tcPr>
            <w:tcW w:w="4640" w:type="dxa"/>
            <w:vAlign w:val="bottom"/>
          </w:tcPr>
          <w:p>
            <w:pPr>
              <w:spacing w:after="0"/>
              <w:rPr>
                <w:sz w:val="24"/>
                <w:szCs w:val="24"/>
                <w:color w:val="auto"/>
              </w:rPr>
            </w:pPr>
          </w:p>
        </w:tc>
        <w:tc>
          <w:tcPr>
            <w:tcW w:w="2480" w:type="dxa"/>
            <w:vAlign w:val="bottom"/>
          </w:tcPr>
          <w:p>
            <w:pPr>
              <w:jc w:val="right"/>
              <w:ind w:right="1230"/>
              <w:spacing w:after="0"/>
              <w:rPr>
                <w:sz w:val="20"/>
                <w:szCs w:val="20"/>
                <w:color w:val="auto"/>
              </w:rPr>
            </w:pPr>
            <w:r>
              <w:rPr>
                <w:rFonts w:ascii="Times New Roman" w:cs="Times New Roman" w:eastAsia="Times New Roman" w:hAnsi="Times New Roman"/>
                <w:sz w:val="18"/>
                <w:szCs w:val="18"/>
                <w:color w:val="auto"/>
              </w:rPr>
              <w:t>47</w:t>
            </w:r>
          </w:p>
        </w:tc>
        <w:tc>
          <w:tcPr>
            <w:tcW w:w="1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2"/>
        </w:trPr>
        <w:tc>
          <w:tcPr>
            <w:tcW w:w="4640" w:type="dxa"/>
            <w:vAlign w:val="bottom"/>
            <w:tcBorders>
              <w:bottom w:val="single" w:sz="8" w:color="auto"/>
            </w:tcBorders>
          </w:tcPr>
          <w:p>
            <w:pPr>
              <w:spacing w:after="0"/>
              <w:rPr>
                <w:sz w:val="12"/>
                <w:szCs w:val="12"/>
                <w:color w:val="auto"/>
              </w:rPr>
            </w:pPr>
          </w:p>
        </w:tc>
        <w:tc>
          <w:tcPr>
            <w:tcW w:w="24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r>
    </w:tbl>
    <w:p>
      <w:pPr>
        <w:sectPr>
          <w:pgSz w:w="11900" w:h="16838" w:orient="portrait"/>
          <w:cols w:equalWidth="0" w:num="1">
            <w:col w:w="11420"/>
          </w:cols>
          <w:pgMar w:left="240" w:top="471"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The following table contains the reconciliation of forecasted full-year 2019 Adjusted EBITDA and Adjusted EPS (non-GAAP measures)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to comparable GAAP measures: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55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60" w:type="dxa"/>
            <w:vAlign w:val="bottom"/>
            <w:tcBorders>
              <w:top w:val="single" w:sz="8" w:color="auto"/>
            </w:tcBorders>
            <w:gridSpan w:val="4"/>
          </w:tcPr>
          <w:p>
            <w:pPr>
              <w:jc w:val="right"/>
              <w:ind w:right="1060"/>
              <w:spacing w:after="0" w:line="189" w:lineRule="exact"/>
              <w:rPr>
                <w:sz w:val="20"/>
                <w:szCs w:val="20"/>
                <w:color w:val="auto"/>
              </w:rPr>
            </w:pPr>
            <w:r>
              <w:rPr>
                <w:rFonts w:ascii="Arial" w:cs="Arial" w:eastAsia="Arial" w:hAnsi="Arial"/>
                <w:sz w:val="18"/>
                <w:szCs w:val="18"/>
                <w:color w:val="auto"/>
                <w:w w:val="96"/>
              </w:rPr>
              <w:t>Total Company</w:t>
            </w:r>
          </w:p>
        </w:tc>
        <w:tc>
          <w:tcPr>
            <w:tcW w:w="56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3"/>
          </w:tcPr>
          <w:p>
            <w:pPr>
              <w:jc w:val="right"/>
              <w:ind w:right="810"/>
              <w:spacing w:after="0" w:line="189" w:lineRule="exact"/>
              <w:rPr>
                <w:sz w:val="20"/>
                <w:szCs w:val="20"/>
                <w:color w:val="auto"/>
              </w:rPr>
            </w:pPr>
            <w:r>
              <w:rPr>
                <w:rFonts w:ascii="Arial" w:cs="Arial" w:eastAsia="Arial" w:hAnsi="Arial"/>
                <w:sz w:val="18"/>
                <w:szCs w:val="18"/>
                <w:color w:val="auto"/>
                <w:w w:val="97"/>
              </w:rPr>
              <w:t>Machine Clothing</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vMerge w:val="restart"/>
          </w:tcPr>
          <w:p>
            <w:pPr>
              <w:ind w:left="20"/>
              <w:spacing w:after="0" w:line="205" w:lineRule="exact"/>
              <w:rPr>
                <w:sz w:val="20"/>
                <w:szCs w:val="20"/>
                <w:color w:val="auto"/>
              </w:rPr>
            </w:pPr>
            <w:r>
              <w:rPr>
                <w:rFonts w:ascii="Arial" w:cs="Arial" w:eastAsia="Arial" w:hAnsi="Arial"/>
                <w:sz w:val="18"/>
                <w:szCs w:val="18"/>
                <w:b w:val="1"/>
                <w:bCs w:val="1"/>
                <w:color w:val="auto"/>
              </w:rPr>
              <w:t>Forecast of full year 2019 Adjusted EBITDA</w:t>
            </w: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20" w:type="dxa"/>
            <w:vAlign w:val="bottom"/>
            <w:gridSpan w:val="2"/>
            <w:vMerge w:val="restart"/>
          </w:tcPr>
          <w:p>
            <w:pPr>
              <w:jc w:val="right"/>
              <w:ind w:right="560"/>
              <w:spacing w:after="0" w:line="205" w:lineRule="exact"/>
              <w:rPr>
                <w:sz w:val="20"/>
                <w:szCs w:val="20"/>
                <w:color w:val="auto"/>
              </w:rPr>
            </w:pPr>
            <w:r>
              <w:rPr>
                <w:rFonts w:ascii="Arial" w:cs="Arial" w:eastAsia="Arial" w:hAnsi="Arial"/>
                <w:sz w:val="18"/>
                <w:szCs w:val="18"/>
                <w:b w:val="1"/>
                <w:bCs w:val="1"/>
                <w:color w:val="auto"/>
                <w:w w:val="84"/>
              </w:rPr>
              <w:t>High</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1640" w:type="dxa"/>
            <w:vAlign w:val="bottom"/>
            <w:gridSpan w:val="2"/>
          </w:tcPr>
          <w:p>
            <w:pPr>
              <w:jc w:val="right"/>
              <w:ind w:right="630"/>
              <w:spacing w:after="0" w:line="185" w:lineRule="exact"/>
              <w:rPr>
                <w:sz w:val="20"/>
                <w:szCs w:val="20"/>
                <w:color w:val="auto"/>
              </w:rPr>
            </w:pPr>
            <w:r>
              <w:rPr>
                <w:rFonts w:ascii="Arial" w:cs="Arial" w:eastAsia="Arial" w:hAnsi="Arial"/>
                <w:sz w:val="18"/>
                <w:szCs w:val="18"/>
                <w:b w:val="1"/>
                <w:bCs w:val="1"/>
                <w:color w:val="auto"/>
              </w:rPr>
              <w:t>Low</w:t>
            </w:r>
          </w:p>
        </w:tc>
        <w:tc>
          <w:tcPr>
            <w:tcW w:w="1380" w:type="dxa"/>
            <w:vAlign w:val="bottom"/>
            <w:gridSpan w:val="3"/>
          </w:tcPr>
          <w:p>
            <w:pPr>
              <w:jc w:val="right"/>
              <w:ind w:right="760"/>
              <w:spacing w:after="0" w:line="185" w:lineRule="exact"/>
              <w:rPr>
                <w:sz w:val="20"/>
                <w:szCs w:val="20"/>
                <w:color w:val="auto"/>
              </w:rPr>
            </w:pPr>
            <w:r>
              <w:rPr>
                <w:rFonts w:ascii="Arial" w:cs="Arial" w:eastAsia="Arial" w:hAnsi="Arial"/>
                <w:sz w:val="18"/>
                <w:szCs w:val="18"/>
                <w:b w:val="1"/>
                <w:bCs w:val="1"/>
                <w:color w:val="auto"/>
              </w:rPr>
              <w:t>High</w:t>
            </w:r>
          </w:p>
        </w:tc>
        <w:tc>
          <w:tcPr>
            <w:tcW w:w="1640" w:type="dxa"/>
            <w:vAlign w:val="bottom"/>
            <w:gridSpan w:val="2"/>
          </w:tcPr>
          <w:p>
            <w:pPr>
              <w:jc w:val="right"/>
              <w:ind w:right="850"/>
              <w:spacing w:after="0" w:line="185" w:lineRule="exact"/>
              <w:rPr>
                <w:sz w:val="20"/>
                <w:szCs w:val="20"/>
                <w:color w:val="auto"/>
              </w:rPr>
            </w:pPr>
            <w:r>
              <w:rPr>
                <w:rFonts w:ascii="Arial" w:cs="Arial" w:eastAsia="Arial" w:hAnsi="Arial"/>
                <w:sz w:val="18"/>
                <w:szCs w:val="18"/>
                <w:b w:val="1"/>
                <w:bCs w:val="1"/>
                <w:color w:val="auto"/>
              </w:rPr>
              <w:t>Low</w:t>
            </w:r>
          </w:p>
        </w:tc>
        <w:tc>
          <w:tcPr>
            <w:tcW w:w="3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 millions)</w:t>
            </w:r>
          </w:p>
        </w:tc>
        <w:tc>
          <w:tcPr>
            <w:tcW w:w="7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40" w:type="dxa"/>
            <w:vAlign w:val="bottom"/>
          </w:tcPr>
          <w:p>
            <w:pPr>
              <w:spacing w:after="0" w:line="173" w:lineRule="exact"/>
              <w:rPr>
                <w:sz w:val="20"/>
                <w:szCs w:val="20"/>
                <w:color w:val="auto"/>
              </w:rPr>
            </w:pPr>
            <w:r>
              <w:rPr>
                <w:rFonts w:ascii="Arial" w:cs="Arial" w:eastAsia="Arial" w:hAnsi="Arial"/>
                <w:sz w:val="18"/>
                <w:szCs w:val="18"/>
                <w:b w:val="1"/>
                <w:bCs w:val="1"/>
                <w:color w:val="auto"/>
              </w:rPr>
              <w:t>Net income attributable to the Company (GAAP)</w:t>
            </w:r>
          </w:p>
        </w:tc>
        <w:tc>
          <w:tcPr>
            <w:tcW w:w="1640" w:type="dxa"/>
            <w:vAlign w:val="bottom"/>
            <w:gridSpan w:val="2"/>
          </w:tcPr>
          <w:p>
            <w:pPr>
              <w:jc w:val="right"/>
              <w:ind w:right="110"/>
              <w:spacing w:after="0" w:line="173" w:lineRule="exact"/>
              <w:rPr>
                <w:sz w:val="20"/>
                <w:szCs w:val="20"/>
                <w:color w:val="auto"/>
              </w:rPr>
            </w:pPr>
            <w:r>
              <w:rPr>
                <w:rFonts w:ascii="Arial" w:cs="Arial" w:eastAsia="Arial" w:hAnsi="Arial"/>
                <w:sz w:val="18"/>
                <w:szCs w:val="18"/>
                <w:color w:val="auto"/>
              </w:rPr>
              <w:t>$99</w:t>
            </w:r>
          </w:p>
        </w:tc>
        <w:tc>
          <w:tcPr>
            <w:tcW w:w="1380" w:type="dxa"/>
            <w:vAlign w:val="bottom"/>
            <w:gridSpan w:val="3"/>
          </w:tcPr>
          <w:p>
            <w:pPr>
              <w:jc w:val="right"/>
              <w:ind w:right="340"/>
              <w:spacing w:after="0" w:line="173" w:lineRule="exact"/>
              <w:rPr>
                <w:sz w:val="20"/>
                <w:szCs w:val="20"/>
                <w:color w:val="auto"/>
              </w:rPr>
            </w:pPr>
            <w:r>
              <w:rPr>
                <w:rFonts w:ascii="Arial" w:cs="Arial" w:eastAsia="Arial" w:hAnsi="Arial"/>
                <w:sz w:val="18"/>
                <w:szCs w:val="18"/>
                <w:color w:val="auto"/>
              </w:rPr>
              <w:t>$109</w:t>
            </w:r>
          </w:p>
        </w:tc>
        <w:tc>
          <w:tcPr>
            <w:tcW w:w="1640" w:type="dxa"/>
            <w:vAlign w:val="bottom"/>
            <w:gridSpan w:val="2"/>
          </w:tcPr>
          <w:p>
            <w:pPr>
              <w:jc w:val="right"/>
              <w:ind w:right="190"/>
              <w:spacing w:after="0" w:line="173" w:lineRule="exact"/>
              <w:rPr>
                <w:sz w:val="20"/>
                <w:szCs w:val="20"/>
                <w:color w:val="auto"/>
              </w:rPr>
            </w:pPr>
            <w:r>
              <w:rPr>
                <w:rFonts w:ascii="Arial" w:cs="Arial" w:eastAsia="Arial" w:hAnsi="Arial"/>
                <w:sz w:val="18"/>
                <w:szCs w:val="18"/>
                <w:color w:val="auto"/>
              </w:rPr>
              <w:t>$173</w:t>
            </w:r>
          </w:p>
        </w:tc>
        <w:tc>
          <w:tcPr>
            <w:tcW w:w="120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$181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Interest expense, net</w:t>
            </w:r>
          </w:p>
        </w:tc>
        <w:tc>
          <w:tcPr>
            <w:tcW w:w="16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17</w:t>
            </w:r>
          </w:p>
        </w:tc>
        <w:tc>
          <w:tcPr>
            <w:tcW w:w="13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16</w:t>
            </w:r>
          </w:p>
        </w:tc>
        <w:tc>
          <w:tcPr>
            <w:tcW w:w="16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Income tax expense</w:t>
            </w:r>
          </w:p>
        </w:tc>
        <w:tc>
          <w:tcPr>
            <w:tcW w:w="16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40</w:t>
            </w:r>
          </w:p>
        </w:tc>
        <w:tc>
          <w:tcPr>
            <w:tcW w:w="13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41</w:t>
            </w:r>
          </w:p>
        </w:tc>
        <w:tc>
          <w:tcPr>
            <w:tcW w:w="16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Depreciation and amortization</w:t>
            </w:r>
          </w:p>
        </w:tc>
        <w:tc>
          <w:tcPr>
            <w:tcW w:w="1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70</w:t>
            </w:r>
          </w:p>
        </w:tc>
        <w:tc>
          <w:tcPr>
            <w:tcW w:w="138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8"/>
                <w:szCs w:val="18"/>
                <w:color w:val="auto"/>
              </w:rPr>
              <w:t>75</w:t>
            </w:r>
          </w:p>
        </w:tc>
        <w:tc>
          <w:tcPr>
            <w:tcW w:w="16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22</w:t>
            </w: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73"/>
        </w:trPr>
        <w:tc>
          <w:tcPr>
            <w:tcW w:w="5560" w:type="dxa"/>
            <w:vAlign w:val="bottom"/>
            <w:gridSpan w:val="2"/>
          </w:tcPr>
          <w:p>
            <w:pPr>
              <w:spacing w:after="0" w:line="173" w:lineRule="exact"/>
              <w:rPr>
                <w:sz w:val="20"/>
                <w:szCs w:val="20"/>
                <w:color w:val="auto"/>
              </w:rPr>
            </w:pPr>
            <w:r>
              <w:rPr>
                <w:rFonts w:ascii="Arial" w:cs="Arial" w:eastAsia="Arial" w:hAnsi="Arial"/>
                <w:sz w:val="18"/>
                <w:szCs w:val="18"/>
                <w:b w:val="1"/>
                <w:bCs w:val="1"/>
                <w:color w:val="auto"/>
              </w:rPr>
              <w:t>EBITDA (non-GAAP)</w:t>
            </w:r>
          </w:p>
        </w:tc>
        <w:tc>
          <w:tcPr>
            <w:tcW w:w="1640" w:type="dxa"/>
            <w:vAlign w:val="bottom"/>
            <w:gridSpan w:val="2"/>
          </w:tcPr>
          <w:p>
            <w:pPr>
              <w:jc w:val="right"/>
              <w:ind w:right="110"/>
              <w:spacing w:after="0" w:line="173" w:lineRule="exact"/>
              <w:rPr>
                <w:sz w:val="20"/>
                <w:szCs w:val="20"/>
                <w:color w:val="auto"/>
              </w:rPr>
            </w:pPr>
            <w:r>
              <w:rPr>
                <w:rFonts w:ascii="Arial" w:cs="Arial" w:eastAsia="Arial" w:hAnsi="Arial"/>
                <w:sz w:val="18"/>
                <w:szCs w:val="18"/>
                <w:color w:val="auto"/>
              </w:rPr>
              <w:t>226</w:t>
            </w:r>
          </w:p>
        </w:tc>
        <w:tc>
          <w:tcPr>
            <w:tcW w:w="104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241</w:t>
            </w:r>
          </w:p>
        </w:tc>
        <w:tc>
          <w:tcPr>
            <w:tcW w:w="340" w:type="dxa"/>
            <w:vAlign w:val="bottom"/>
          </w:tcPr>
          <w:p>
            <w:pPr>
              <w:spacing w:after="0"/>
              <w:rPr>
                <w:sz w:val="15"/>
                <w:szCs w:val="15"/>
                <w:color w:val="auto"/>
              </w:rPr>
            </w:pPr>
          </w:p>
        </w:tc>
        <w:tc>
          <w:tcPr>
            <w:tcW w:w="1640" w:type="dxa"/>
            <w:vAlign w:val="bottom"/>
            <w:gridSpan w:val="2"/>
          </w:tcPr>
          <w:p>
            <w:pPr>
              <w:jc w:val="right"/>
              <w:ind w:right="190"/>
              <w:spacing w:after="0" w:line="173" w:lineRule="exact"/>
              <w:rPr>
                <w:sz w:val="20"/>
                <w:szCs w:val="20"/>
                <w:color w:val="auto"/>
              </w:rPr>
            </w:pPr>
            <w:r>
              <w:rPr>
                <w:rFonts w:ascii="Arial" w:cs="Arial" w:eastAsia="Arial" w:hAnsi="Arial"/>
                <w:sz w:val="18"/>
                <w:szCs w:val="18"/>
                <w:color w:val="auto"/>
              </w:rPr>
              <w:t>195</w:t>
            </w:r>
          </w:p>
        </w:tc>
        <w:tc>
          <w:tcPr>
            <w:tcW w:w="1200" w:type="dxa"/>
            <w:vAlign w:val="bottom"/>
            <w:gridSpan w:val="2"/>
          </w:tcPr>
          <w:p>
            <w:pPr>
              <w:jc w:val="right"/>
              <w:spacing w:after="0" w:line="173" w:lineRule="exact"/>
              <w:rPr>
                <w:sz w:val="20"/>
                <w:szCs w:val="20"/>
                <w:color w:val="auto"/>
              </w:rPr>
            </w:pPr>
            <w:r>
              <w:rPr>
                <w:rFonts w:ascii="Arial" w:cs="Arial" w:eastAsia="Arial" w:hAnsi="Arial"/>
                <w:sz w:val="18"/>
                <w:szCs w:val="18"/>
                <w:color w:val="auto"/>
              </w:rPr>
              <w:t>205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(a)</w:t>
            </w:r>
          </w:p>
        </w:tc>
        <w:tc>
          <w:tcPr>
            <w:tcW w:w="16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1</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w:t>
            </w:r>
          </w:p>
        </w:tc>
        <w:tc>
          <w:tcPr>
            <w:tcW w:w="340" w:type="dxa"/>
            <w:vAlign w:val="bottom"/>
          </w:tcPr>
          <w:p>
            <w:pPr>
              <w:spacing w:after="0"/>
              <w:rPr>
                <w:sz w:val="17"/>
                <w:szCs w:val="17"/>
                <w:color w:val="auto"/>
              </w:rPr>
            </w:pPr>
          </w:p>
        </w:tc>
        <w:tc>
          <w:tcPr>
            <w:tcW w:w="16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Foreign currency revaluation gains/(losses) (a)</w:t>
            </w:r>
          </w:p>
        </w:tc>
        <w:tc>
          <w:tcPr>
            <w:tcW w:w="16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w:t>
            </w:r>
          </w:p>
        </w:tc>
        <w:tc>
          <w:tcPr>
            <w:tcW w:w="13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16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Pretax income attributable to the noncontrolling interest</w:t>
            </w:r>
          </w:p>
        </w:tc>
        <w:tc>
          <w:tcPr>
            <w:tcW w:w="1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5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Adjusted EBITDA (non-GAAP)</w:t>
            </w:r>
          </w:p>
        </w:tc>
        <w:tc>
          <w:tcPr>
            <w:tcW w:w="1640" w:type="dxa"/>
            <w:vAlign w:val="bottom"/>
            <w:gridSpan w:val="2"/>
          </w:tcPr>
          <w:p>
            <w:pPr>
              <w:jc w:val="right"/>
              <w:ind w:right="110"/>
              <w:spacing w:after="0" w:line="196" w:lineRule="exact"/>
              <w:rPr>
                <w:sz w:val="20"/>
                <w:szCs w:val="20"/>
                <w:color w:val="auto"/>
              </w:rPr>
            </w:pPr>
            <w:r>
              <w:rPr>
                <w:rFonts w:ascii="Arial" w:cs="Arial" w:eastAsia="Arial" w:hAnsi="Arial"/>
                <w:sz w:val="18"/>
                <w:szCs w:val="18"/>
                <w:b w:val="1"/>
                <w:bCs w:val="1"/>
                <w:color w:val="auto"/>
              </w:rPr>
              <w:t>$225</w:t>
            </w:r>
          </w:p>
        </w:tc>
        <w:tc>
          <w:tcPr>
            <w:tcW w:w="1380" w:type="dxa"/>
            <w:vAlign w:val="bottom"/>
            <w:gridSpan w:val="3"/>
          </w:tcPr>
          <w:p>
            <w:pPr>
              <w:jc w:val="right"/>
              <w:ind w:right="340"/>
              <w:spacing w:after="0" w:line="196" w:lineRule="exact"/>
              <w:rPr>
                <w:sz w:val="20"/>
                <w:szCs w:val="20"/>
                <w:color w:val="auto"/>
              </w:rPr>
            </w:pPr>
            <w:r>
              <w:rPr>
                <w:rFonts w:ascii="Arial" w:cs="Arial" w:eastAsia="Arial" w:hAnsi="Arial"/>
                <w:sz w:val="18"/>
                <w:szCs w:val="18"/>
                <w:b w:val="1"/>
                <w:bCs w:val="1"/>
                <w:color w:val="auto"/>
              </w:rPr>
              <w:t>$240</w:t>
            </w:r>
          </w:p>
        </w:tc>
        <w:tc>
          <w:tcPr>
            <w:tcW w:w="1640" w:type="dxa"/>
            <w:vAlign w:val="bottom"/>
            <w:gridSpan w:val="2"/>
          </w:tcPr>
          <w:p>
            <w:pPr>
              <w:jc w:val="right"/>
              <w:ind w:right="190"/>
              <w:spacing w:after="0" w:line="196" w:lineRule="exact"/>
              <w:rPr>
                <w:sz w:val="20"/>
                <w:szCs w:val="20"/>
                <w:color w:val="auto"/>
              </w:rPr>
            </w:pPr>
            <w:r>
              <w:rPr>
                <w:rFonts w:ascii="Arial" w:cs="Arial" w:eastAsia="Arial" w:hAnsi="Arial"/>
                <w:sz w:val="18"/>
                <w:szCs w:val="18"/>
                <w:b w:val="1"/>
                <w:bCs w:val="1"/>
                <w:color w:val="auto"/>
              </w:rPr>
              <w:t>$195</w:t>
            </w:r>
          </w:p>
        </w:tc>
        <w:tc>
          <w:tcPr>
            <w:tcW w:w="120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rPr>
              <w:t>$205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5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gridSpan w:val="2"/>
          </w:tcPr>
          <w:p>
            <w:pPr>
              <w:spacing w:after="0"/>
              <w:rPr>
                <w:sz w:val="20"/>
                <w:szCs w:val="20"/>
                <w:color w:val="auto"/>
              </w:rPr>
            </w:pPr>
          </w:p>
        </w:tc>
        <w:tc>
          <w:tcPr>
            <w:tcW w:w="7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vMerge w:val="restart"/>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5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Forecast of full year 2019 Adjusted Earnings Per Share (b)</w:t>
            </w:r>
          </w:p>
        </w:tc>
        <w:tc>
          <w:tcPr>
            <w:tcW w:w="760" w:type="dxa"/>
            <w:vAlign w:val="bottom"/>
          </w:tcPr>
          <w:p>
            <w:pPr>
              <w:spacing w:after="0"/>
              <w:rPr>
                <w:sz w:val="14"/>
                <w:szCs w:val="14"/>
                <w:color w:val="auto"/>
              </w:rPr>
            </w:pPr>
          </w:p>
        </w:tc>
        <w:tc>
          <w:tcPr>
            <w:tcW w:w="1920" w:type="dxa"/>
            <w:vAlign w:val="bottom"/>
            <w:gridSpan w:val="3"/>
          </w:tcPr>
          <w:p>
            <w:pPr>
              <w:jc w:val="right"/>
              <w:ind w:right="720"/>
              <w:spacing w:after="0" w:line="170" w:lineRule="exact"/>
              <w:rPr>
                <w:sz w:val="20"/>
                <w:szCs w:val="20"/>
                <w:color w:val="auto"/>
              </w:rPr>
            </w:pPr>
            <w:r>
              <w:rPr>
                <w:rFonts w:ascii="Arial" w:cs="Arial" w:eastAsia="Arial" w:hAnsi="Arial"/>
                <w:sz w:val="18"/>
                <w:szCs w:val="18"/>
                <w:color w:val="auto"/>
                <w:w w:val="96"/>
              </w:rPr>
              <w:t>Total Company</w:t>
            </w:r>
          </w:p>
        </w:tc>
        <w:tc>
          <w:tcPr>
            <w:tcW w:w="3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56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 Basic (b)</w:t>
            </w:r>
          </w:p>
        </w:tc>
        <w:tc>
          <w:tcPr>
            <w:tcW w:w="1640" w:type="dxa"/>
            <w:vAlign w:val="bottom"/>
            <w:gridSpan w:val="2"/>
          </w:tcPr>
          <w:p>
            <w:pPr>
              <w:jc w:val="right"/>
              <w:ind w:right="630"/>
              <w:spacing w:after="0"/>
              <w:rPr>
                <w:sz w:val="20"/>
                <w:szCs w:val="20"/>
                <w:color w:val="auto"/>
              </w:rPr>
            </w:pPr>
            <w:r>
              <w:rPr>
                <w:rFonts w:ascii="Arial" w:cs="Arial" w:eastAsia="Arial" w:hAnsi="Arial"/>
                <w:sz w:val="18"/>
                <w:szCs w:val="18"/>
                <w:b w:val="1"/>
                <w:bCs w:val="1"/>
                <w:color w:val="auto"/>
              </w:rPr>
              <w:t>Low</w:t>
            </w:r>
          </w:p>
        </w:tc>
        <w:tc>
          <w:tcPr>
            <w:tcW w:w="13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High</w:t>
            </w: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5560" w:type="dxa"/>
            <w:vAlign w:val="bottom"/>
            <w:tcBorders>
              <w:top w:val="single" w:sz="8" w:color="auto"/>
            </w:tcBorders>
            <w:gridSpan w:val="2"/>
          </w:tcPr>
          <w:p>
            <w:pPr>
              <w:spacing w:after="0" w:line="173" w:lineRule="exact"/>
              <w:rPr>
                <w:sz w:val="20"/>
                <w:szCs w:val="20"/>
                <w:color w:val="auto"/>
              </w:rPr>
            </w:pPr>
            <w:r>
              <w:rPr>
                <w:rFonts w:ascii="Arial" w:cs="Arial" w:eastAsia="Arial" w:hAnsi="Arial"/>
                <w:sz w:val="18"/>
                <w:szCs w:val="18"/>
                <w:color w:val="auto"/>
              </w:rPr>
              <w:t>Earnings per share (GAAP)</w:t>
            </w:r>
          </w:p>
        </w:tc>
        <w:tc>
          <w:tcPr>
            <w:tcW w:w="1640" w:type="dxa"/>
            <w:vAlign w:val="bottom"/>
            <w:tcBorders>
              <w:top w:val="single" w:sz="8" w:color="auto"/>
            </w:tcBorders>
            <w:gridSpan w:val="2"/>
          </w:tcPr>
          <w:p>
            <w:pPr>
              <w:jc w:val="right"/>
              <w:ind w:right="110"/>
              <w:spacing w:after="0" w:line="173" w:lineRule="exact"/>
              <w:rPr>
                <w:sz w:val="20"/>
                <w:szCs w:val="20"/>
                <w:color w:val="auto"/>
              </w:rPr>
            </w:pPr>
            <w:r>
              <w:rPr>
                <w:rFonts w:ascii="Arial" w:cs="Arial" w:eastAsia="Arial" w:hAnsi="Arial"/>
                <w:sz w:val="18"/>
                <w:szCs w:val="18"/>
                <w:color w:val="auto"/>
              </w:rPr>
              <w:t>$3.08</w:t>
            </w:r>
          </w:p>
        </w:tc>
        <w:tc>
          <w:tcPr>
            <w:tcW w:w="1040" w:type="dxa"/>
            <w:vAlign w:val="bottom"/>
            <w:tcBorders>
              <w:top w:val="single" w:sz="8" w:color="auto"/>
            </w:tcBorders>
            <w:gridSpan w:val="2"/>
          </w:tcPr>
          <w:p>
            <w:pPr>
              <w:jc w:val="right"/>
              <w:spacing w:after="0" w:line="173" w:lineRule="exact"/>
              <w:rPr>
                <w:sz w:val="20"/>
                <w:szCs w:val="20"/>
                <w:color w:val="auto"/>
              </w:rPr>
            </w:pPr>
            <w:r>
              <w:rPr>
                <w:rFonts w:ascii="Arial" w:cs="Arial" w:eastAsia="Arial" w:hAnsi="Arial"/>
                <w:sz w:val="18"/>
                <w:szCs w:val="18"/>
                <w:color w:val="auto"/>
              </w:rPr>
              <w:t>$3.38</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60" w:type="dxa"/>
            <w:vAlign w:val="bottom"/>
            <w:gridSpan w:val="2"/>
          </w:tcPr>
          <w:p>
            <w:pPr>
              <w:spacing w:after="0" w:line="202" w:lineRule="exact"/>
              <w:rPr>
                <w:sz w:val="20"/>
                <w:szCs w:val="20"/>
                <w:color w:val="auto"/>
              </w:rPr>
            </w:pPr>
            <w:r>
              <w:rPr>
                <w:rFonts w:ascii="Arial" w:cs="Arial" w:eastAsia="Arial" w:hAnsi="Arial"/>
                <w:sz w:val="18"/>
                <w:szCs w:val="18"/>
                <w:color w:val="auto"/>
              </w:rPr>
              <w:t>Restructuring expenses, net (a)</w:t>
            </w:r>
          </w:p>
        </w:tc>
        <w:tc>
          <w:tcPr>
            <w:tcW w:w="16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0.01</w:t>
            </w: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0.01</w:t>
            </w: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Foreign currency revaluation gains/(losses) (a)</w:t>
            </w:r>
          </w:p>
        </w:tc>
        <w:tc>
          <w:tcPr>
            <w:tcW w:w="16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(0.04)</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Adjusted Earnings per share (non-GAAP)</w:t>
            </w:r>
          </w:p>
        </w:tc>
        <w:tc>
          <w:tcPr>
            <w:tcW w:w="1640" w:type="dxa"/>
            <w:vAlign w:val="bottom"/>
            <w:gridSpan w:val="2"/>
          </w:tcPr>
          <w:p>
            <w:pPr>
              <w:jc w:val="right"/>
              <w:ind w:right="110"/>
              <w:spacing w:after="0"/>
              <w:rPr>
                <w:sz w:val="20"/>
                <w:szCs w:val="20"/>
                <w:color w:val="auto"/>
              </w:rPr>
            </w:pPr>
            <w:r>
              <w:rPr>
                <w:rFonts w:ascii="Arial" w:cs="Arial" w:eastAsia="Arial" w:hAnsi="Arial"/>
                <w:sz w:val="18"/>
                <w:szCs w:val="18"/>
                <w:color w:val="auto"/>
              </w:rPr>
              <w:t>$3.05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4"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For discussion of our exposure to market risk, refer to “Quantitative and Qualitative Disclosures about Market Risk”, which is included as an exhibit to this Form 10-Q.</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ind w:left="660" w:hanging="652"/>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Disclosure controls and procedures.</w:t>
      </w:r>
    </w:p>
    <w:p>
      <w:pPr>
        <w:spacing w:after="0" w:line="198" w:lineRule="exact"/>
        <w:rPr>
          <w:sz w:val="20"/>
          <w:szCs w:val="20"/>
          <w:color w:val="auto"/>
        </w:rPr>
      </w:pPr>
    </w:p>
    <w:p>
      <w:pPr>
        <w:ind w:right="100" w:firstLine="648"/>
        <w:spacing w:after="0"/>
        <w:rPr>
          <w:sz w:val="20"/>
          <w:szCs w:val="20"/>
          <w:color w:val="auto"/>
        </w:rPr>
      </w:pPr>
      <w:r>
        <w:rPr>
          <w:rFonts w:ascii="Arial" w:cs="Arial" w:eastAsia="Arial" w:hAnsi="Arial"/>
          <w:sz w:val="18"/>
          <w:szCs w:val="18"/>
          <w:color w:val="auto"/>
        </w:rPr>
        <w:t>The principal executive officer and principal financial officer, based on their evaluation of disclosure controls and procedures (as defined in Exchange Act Rules 13a-15(e) and 15d -15(e)) as of the end of the period covered by this Quarterly Report on Form 10-Q, have concluded that the Company’s disclosure controls and procedures are effective for ensuring that information required to be disclosed in the reports that it files or submits under the Securities Exchange Act of 1934 is recorded, processed, summarized and reported within the time periods specified in the Commission’s rules and forms. Disclosure controls and procedures include, without limitation, controls and procedures designed to ensure that information required to be disclosed in filed or submitted reports is accumulated and communicated to the Company’s management, including its principal executive officer and principal financial officer as appropriate, to allow timely decisions regarding required disclosure.</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Remediation Plans for Material Weaknesses in Internal Control over Financial Reporting</w:t>
      </w:r>
    </w:p>
    <w:p>
      <w:pPr>
        <w:spacing w:after="0" w:line="187" w:lineRule="exact"/>
        <w:rPr>
          <w:sz w:val="20"/>
          <w:szCs w:val="20"/>
          <w:color w:val="auto"/>
        </w:rPr>
      </w:pPr>
    </w:p>
    <w:p>
      <w:pPr>
        <w:ind w:right="260" w:firstLine="648"/>
        <w:spacing w:after="0" w:line="276" w:lineRule="auto"/>
        <w:rPr>
          <w:sz w:val="20"/>
          <w:szCs w:val="20"/>
          <w:color w:val="auto"/>
        </w:rPr>
      </w:pPr>
      <w:r>
        <w:rPr>
          <w:rFonts w:ascii="Arial" w:cs="Arial" w:eastAsia="Arial" w:hAnsi="Arial"/>
          <w:sz w:val="18"/>
          <w:szCs w:val="18"/>
          <w:color w:val="auto"/>
        </w:rPr>
        <w:t>In the fourth quarter of 2018, and as previously reported in our Annual Report on Form 10-K for the year ended December 31, 2018, we identified a material weakness in our internal control over financial reporting as described below:</w:t>
      </w:r>
    </w:p>
    <w:p>
      <w:pPr>
        <w:spacing w:after="0" w:line="105" w:lineRule="exact"/>
        <w:rPr>
          <w:sz w:val="20"/>
          <w:szCs w:val="20"/>
          <w:color w:val="auto"/>
        </w:rPr>
      </w:pPr>
    </w:p>
    <w:p>
      <w:pPr>
        <w:ind w:right="60" w:firstLine="648"/>
        <w:spacing w:after="0" w:line="245" w:lineRule="auto"/>
        <w:rPr>
          <w:sz w:val="20"/>
          <w:szCs w:val="20"/>
          <w:color w:val="auto"/>
        </w:rPr>
      </w:pPr>
      <w:r>
        <w:rPr>
          <w:rFonts w:ascii="Arial" w:cs="Arial" w:eastAsia="Arial" w:hAnsi="Arial"/>
          <w:sz w:val="18"/>
          <w:szCs w:val="18"/>
          <w:color w:val="auto"/>
        </w:rPr>
        <w:t xml:space="preserve">The Company did not conduct an effective risk assessment process over the design and implementation of the systems development plan affecting the financial reporting process and process level controls impacted by the adoption of ASC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for certain revenue transactions in the Company’s Machine Clothing business that are recognized at a point-in-time. In addition,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did not have effective reconciliation controls over the unbilled accounts receivable and inventory accounts related to those point-in-time transactions.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During the fourth quarter of 2018, we commenced active steps towards remediating the material weakness. These efforts include:</w:t>
      </w:r>
    </w:p>
    <w:p>
      <w:pPr>
        <w:spacing w:after="0" w:line="164" w:lineRule="exact"/>
        <w:rPr>
          <w:sz w:val="20"/>
          <w:szCs w:val="20"/>
          <w:color w:val="auto"/>
        </w:rPr>
      </w:pPr>
    </w:p>
    <w:p>
      <w:pPr>
        <w:ind w:left="1300" w:right="280"/>
        <w:spacing w:after="0" w:line="246" w:lineRule="auto"/>
        <w:rPr>
          <w:sz w:val="20"/>
          <w:szCs w:val="20"/>
          <w:color w:val="auto"/>
        </w:rPr>
      </w:pPr>
      <w:r>
        <w:rPr>
          <w:rFonts w:ascii="Arial" w:cs="Arial" w:eastAsia="Arial" w:hAnsi="Arial"/>
          <w:sz w:val="20"/>
          <w:szCs w:val="20"/>
          <w:color w:val="auto"/>
        </w:rPr>
        <w:t>(a</w:t>
      </w:r>
      <w:r>
        <w:rPr>
          <w:rFonts w:ascii="Arial" w:cs="Arial" w:eastAsia="Arial" w:hAnsi="Arial"/>
          <w:sz w:val="18"/>
          <w:szCs w:val="18"/>
          <w:color w:val="auto"/>
        </w:rPr>
        <w:t>) Improving our risk assessment process related to pre-production and post-implementation testing and documentation of</w:t>
      </w:r>
      <w:r>
        <w:rPr>
          <w:rFonts w:ascii="Arial" w:cs="Arial" w:eastAsia="Arial" w:hAnsi="Arial"/>
          <w:sz w:val="20"/>
          <w:szCs w:val="20"/>
          <w:color w:val="auto"/>
        </w:rPr>
        <w:t xml:space="preserve"> </w:t>
      </w:r>
      <w:r>
        <w:rPr>
          <w:rFonts w:ascii="Arial" w:cs="Arial" w:eastAsia="Arial" w:hAnsi="Arial"/>
          <w:sz w:val="18"/>
          <w:szCs w:val="18"/>
          <w:color w:val="auto"/>
        </w:rPr>
        <w:t>conclusions for significant systems development changes affecting financial reporting and internal controls; and,</w:t>
      </w:r>
    </w:p>
    <w:p>
      <w:pPr>
        <w:spacing w:after="0" w:line="157" w:lineRule="exact"/>
        <w:rPr>
          <w:sz w:val="20"/>
          <w:szCs w:val="20"/>
          <w:color w:val="auto"/>
        </w:rPr>
      </w:pPr>
    </w:p>
    <w:p>
      <w:pPr>
        <w:ind w:left="1300" w:right="340" w:firstLine="5"/>
        <w:spacing w:after="0" w:line="249" w:lineRule="auto"/>
        <w:tabs>
          <w:tab w:leader="none" w:pos="1597" w:val="left"/>
        </w:tabs>
        <w:numPr>
          <w:ilvl w:val="0"/>
          <w:numId w:val="24"/>
        </w:numPr>
        <w:rPr>
          <w:rFonts w:ascii="Arial" w:cs="Arial" w:eastAsia="Arial" w:hAnsi="Arial"/>
          <w:sz w:val="20"/>
          <w:szCs w:val="20"/>
          <w:color w:val="auto"/>
        </w:rPr>
      </w:pPr>
      <w:r>
        <w:rPr>
          <w:rFonts w:ascii="Arial" w:cs="Arial" w:eastAsia="Arial" w:hAnsi="Arial"/>
          <w:sz w:val="18"/>
          <w:szCs w:val="18"/>
          <w:color w:val="auto"/>
        </w:rPr>
        <w:t>Revising our financial reporting processes and related reconciliation controls over the unbilled accounts receivable and inventory accounts related to those point-in-time transactions.</w:t>
      </w:r>
    </w:p>
    <w:p>
      <w:pPr>
        <w:spacing w:after="0" w:line="127" w:lineRule="exact"/>
        <w:rPr>
          <w:sz w:val="20"/>
          <w:szCs w:val="20"/>
          <w:color w:val="auto"/>
        </w:rPr>
      </w:pPr>
    </w:p>
    <w:p>
      <w:pPr>
        <w:ind w:right="180" w:firstLine="648"/>
        <w:spacing w:after="0" w:line="248" w:lineRule="auto"/>
        <w:rPr>
          <w:sz w:val="20"/>
          <w:szCs w:val="20"/>
          <w:color w:val="auto"/>
        </w:rPr>
      </w:pPr>
      <w:r>
        <w:rPr>
          <w:rFonts w:ascii="Arial" w:cs="Arial" w:eastAsia="Arial" w:hAnsi="Arial"/>
          <w:sz w:val="18"/>
          <w:szCs w:val="18"/>
          <w:color w:val="auto"/>
        </w:rPr>
        <w:t>We are working to remediate the material weakness as quickly and efficiently as possible and believe that such efforts will effectively remediate the reported material weakness by the end of 2019. However, the material weakness will not be considered remediated until the remediated controls operate for a sufficient period of time and management has concluded, through testing, that these controls are operating effectively.</w:t>
      </w:r>
    </w:p>
    <w:p>
      <w:pPr>
        <w:spacing w:after="0" w:line="130" w:lineRule="exact"/>
        <w:rPr>
          <w:sz w:val="20"/>
          <w:szCs w:val="20"/>
          <w:color w:val="auto"/>
        </w:rPr>
      </w:pPr>
    </w:p>
    <w:p>
      <w:pPr>
        <w:ind w:right="400" w:firstLine="648"/>
        <w:spacing w:after="0" w:line="255" w:lineRule="auto"/>
        <w:rPr>
          <w:sz w:val="20"/>
          <w:szCs w:val="20"/>
          <w:color w:val="auto"/>
        </w:rPr>
      </w:pPr>
      <w:r>
        <w:rPr>
          <w:rFonts w:ascii="Arial" w:cs="Arial" w:eastAsia="Arial" w:hAnsi="Arial"/>
          <w:sz w:val="18"/>
          <w:szCs w:val="18"/>
          <w:color w:val="auto"/>
        </w:rPr>
        <w:t>Notwithstanding the material weakness described above,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3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39" w:lineRule="exact"/>
        <w:rPr>
          <w:sz w:val="20"/>
          <w:szCs w:val="20"/>
          <w:color w:val="auto"/>
        </w:rPr>
      </w:pPr>
    </w:p>
    <w:p>
      <w:pPr>
        <w:ind w:right="20" w:firstLine="648"/>
        <w:spacing w:after="0" w:line="276" w:lineRule="auto"/>
        <w:rPr>
          <w:sz w:val="20"/>
          <w:szCs w:val="20"/>
          <w:color w:val="auto"/>
        </w:rPr>
      </w:pPr>
      <w:r>
        <w:rPr>
          <w:rFonts w:ascii="Arial" w:cs="Arial" w:eastAsia="Arial" w:hAnsi="Arial"/>
          <w:sz w:val="18"/>
          <w:szCs w:val="18"/>
          <w:color w:val="auto"/>
        </w:rPr>
        <w:t xml:space="preserve">In the first quarter of 2019, the Company implemented additional controls related to accounting for leases and the Company’s adoption of ASC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0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Other than the items noted above, no changes occurred in the Company’s internal control over financial reporting (as defined in Rule 13a-15(f) and 15d-15(f) under the Securities Exchange Act of 1934, as amended) during the last fiscal quarter that has materially affected, or is reasonably likely to materially affect, the Company’s internal control over financial reporting.</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4" w:lineRule="exact"/>
        <w:rPr>
          <w:sz w:val="20"/>
          <w:szCs w:val="20"/>
          <w:color w:val="auto"/>
        </w:rPr>
      </w:pPr>
    </w:p>
    <w:p>
      <w:pPr>
        <w:ind w:right="560" w:firstLine="648"/>
        <w:spacing w:after="0" w:line="276" w:lineRule="auto"/>
        <w:rPr>
          <w:sz w:val="20"/>
          <w:szCs w:val="20"/>
          <w:color w:val="auto"/>
        </w:rPr>
      </w:pPr>
      <w:r>
        <w:rPr>
          <w:rFonts w:ascii="Arial" w:cs="Arial" w:eastAsia="Arial" w:hAnsi="Arial"/>
          <w:sz w:val="18"/>
          <w:szCs w:val="18"/>
          <w:color w:val="auto"/>
        </w:rPr>
        <w:t>The information set forth above under Note 17 in Item 1, “Notes to Consolidated Financial Statements” is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4" w:lineRule="exact"/>
        <w:rPr>
          <w:sz w:val="20"/>
          <w:szCs w:val="20"/>
          <w:color w:val="auto"/>
        </w:rPr>
      </w:pPr>
    </w:p>
    <w:p>
      <w:pPr>
        <w:ind w:right="140" w:firstLine="648"/>
        <w:spacing w:after="0" w:line="276" w:lineRule="auto"/>
        <w:rPr>
          <w:sz w:val="20"/>
          <w:szCs w:val="20"/>
          <w:color w:val="auto"/>
        </w:rPr>
      </w:pPr>
      <w:r>
        <w:rPr>
          <w:rFonts w:ascii="Arial" w:cs="Arial" w:eastAsia="Arial" w:hAnsi="Arial"/>
          <w:sz w:val="18"/>
          <w:szCs w:val="18"/>
          <w:color w:val="auto"/>
        </w:rPr>
        <w:t>There have been no material changes in risks since December 31, 2018. For discussion of risk factors, refer to Item 1A of our Annual Report on Form 10-K for the year ended December 31,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4" w:lineRule="exact"/>
        <w:rPr>
          <w:sz w:val="20"/>
          <w:szCs w:val="20"/>
          <w:color w:val="auto"/>
        </w:rPr>
      </w:pPr>
    </w:p>
    <w:p>
      <w:pPr>
        <w:ind w:right="380" w:firstLine="648"/>
        <w:spacing w:after="0" w:line="276" w:lineRule="auto"/>
        <w:rPr>
          <w:sz w:val="20"/>
          <w:szCs w:val="20"/>
          <w:color w:val="auto"/>
        </w:rPr>
      </w:pPr>
      <w:r>
        <w:rPr>
          <w:rFonts w:ascii="Arial" w:cs="Arial" w:eastAsia="Arial" w:hAnsi="Arial"/>
          <w:sz w:val="18"/>
          <w:szCs w:val="18"/>
          <w:color w:val="auto"/>
        </w:rPr>
        <w:t>We made no share purchases during the first quarter of 2019. We remain authorized by the Board of Directors to purchase up to 2 million shares of our Class A Common Stock.</w:t>
      </w:r>
    </w:p>
    <w:p>
      <w:pPr>
        <w:spacing w:after="0" w:line="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468" w:right="27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100" w:type="dxa"/>
            <w:vAlign w:val="bottom"/>
            <w:gridSpan w:val="6"/>
          </w:tcPr>
          <w:p>
            <w:pPr>
              <w:spacing w:after="0"/>
              <w:rPr>
                <w:sz w:val="20"/>
                <w:szCs w:val="20"/>
                <w:color w:val="auto"/>
              </w:rPr>
            </w:pPr>
            <w:r>
              <w:rPr>
                <w:rFonts w:ascii="Arial" w:cs="Arial" w:eastAsia="Arial" w:hAnsi="Arial"/>
                <w:sz w:val="18"/>
                <w:szCs w:val="18"/>
                <w:color w:val="auto"/>
              </w:rPr>
              <w:t>Exhibit No.</w:t>
            </w:r>
          </w:p>
        </w:tc>
        <w:tc>
          <w:tcPr>
            <w:tcW w:w="10220" w:type="dxa"/>
            <w:vAlign w:val="bottom"/>
          </w:tcPr>
          <w:p>
            <w:pPr>
              <w:ind w:left="200"/>
              <w:spacing w:after="0"/>
              <w:rPr>
                <w:sz w:val="20"/>
                <w:szCs w:val="20"/>
                <w:color w:val="auto"/>
              </w:rPr>
            </w:pPr>
            <w:r>
              <w:rPr>
                <w:rFonts w:ascii="Arial" w:cs="Arial" w:eastAsia="Arial" w:hAnsi="Arial"/>
                <w:sz w:val="18"/>
                <w:szCs w:val="18"/>
                <w:color w:val="auto"/>
              </w:rPr>
              <w:t>Description</w:t>
            </w:r>
          </w:p>
        </w:tc>
      </w:tr>
      <w:tr>
        <w:trPr>
          <w:trHeight w:val="401"/>
        </w:trPr>
        <w:tc>
          <w:tcPr>
            <w:tcW w:w="240" w:type="dxa"/>
            <w:vAlign w:val="bottom"/>
            <w:tcBorders>
              <w:bottom w:val="single" w:sz="8" w:color="0000EE"/>
            </w:tcBorders>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10</w:t>
              </w:r>
            </w:hyperlink>
          </w:p>
        </w:tc>
        <w:tc>
          <w:tcPr>
            <w:tcW w:w="440" w:type="dxa"/>
            <w:vAlign w:val="bottom"/>
            <w:tcBorders>
              <w:bottom w:val="single" w:sz="8" w:color="0000EE"/>
            </w:tcBorders>
            <w:gridSpan w:val="2"/>
          </w:tcPr>
          <w:p>
            <w:pPr>
              <w:ind w:left="20"/>
              <w:spacing w:after="0"/>
              <w:rPr>
                <w:rFonts w:ascii="Arial" w:cs="Arial" w:eastAsia="Arial" w:hAnsi="Arial"/>
                <w:sz w:val="18"/>
                <w:szCs w:val="18"/>
                <w:color w:val="0000EE"/>
                <w:w w:val="95"/>
              </w:rPr>
            </w:pPr>
            <w:hyperlink w:anchor="page55">
              <w:r>
                <w:rPr>
                  <w:rFonts w:ascii="Arial" w:cs="Arial" w:eastAsia="Arial" w:hAnsi="Arial"/>
                  <w:sz w:val="18"/>
                  <w:szCs w:val="18"/>
                  <w:color w:val="0000EE"/>
                  <w:w w:val="95"/>
                </w:rPr>
                <w:t>(u)(ii)</w:t>
              </w:r>
            </w:hyperlink>
          </w:p>
        </w:tc>
        <w:tc>
          <w:tcPr>
            <w:tcW w:w="420" w:type="dxa"/>
            <w:vAlign w:val="bottom"/>
            <w:gridSpan w:val="3"/>
          </w:tcPr>
          <w:p>
            <w:pPr>
              <w:spacing w:after="0"/>
              <w:rPr>
                <w:sz w:val="24"/>
                <w:szCs w:val="24"/>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w w:val="99"/>
              </w:rPr>
              <w:t>Second amendment, dated March 15, 2019, to amend the employment agreement between the Company and Olivier Jarrault.</w:t>
            </w:r>
          </w:p>
        </w:tc>
      </w:tr>
      <w:tr>
        <w:trPr>
          <w:trHeight w:val="385"/>
        </w:trPr>
        <w:tc>
          <w:tcPr>
            <w:tcW w:w="240" w:type="dxa"/>
            <w:vAlign w:val="bottom"/>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10</w:t>
              </w:r>
            </w:hyperlink>
          </w:p>
        </w:tc>
        <w:tc>
          <w:tcPr>
            <w:tcW w:w="860" w:type="dxa"/>
            <w:vAlign w:val="bottom"/>
            <w:gridSpan w:val="5"/>
          </w:tcPr>
          <w:p>
            <w:pPr>
              <w:ind w:left="20"/>
              <w:spacing w:after="0"/>
              <w:rPr>
                <w:rFonts w:ascii="Arial" w:cs="Arial" w:eastAsia="Arial" w:hAnsi="Arial"/>
                <w:sz w:val="18"/>
                <w:szCs w:val="18"/>
                <w:color w:val="0000EE"/>
              </w:rPr>
            </w:pPr>
            <w:hyperlink w:anchor="page57">
              <w:r>
                <w:rPr>
                  <w:rFonts w:ascii="Arial" w:cs="Arial" w:eastAsia="Arial" w:hAnsi="Arial"/>
                  <w:sz w:val="18"/>
                  <w:szCs w:val="18"/>
                  <w:color w:val="0000EE"/>
                </w:rPr>
                <w:t>(l)(xii)</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rPr>
              <w:t>Form of Restricted Stock Unit Award for units granted on April 1, 2019.</w:t>
            </w:r>
          </w:p>
        </w:tc>
      </w:tr>
      <w:tr>
        <w:trPr>
          <w:trHeight w:val="20"/>
        </w:trPr>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20" w:type="dxa"/>
            <w:vAlign w:val="bottom"/>
          </w:tcPr>
          <w:p>
            <w:pPr>
              <w:spacing w:after="0" w:line="20" w:lineRule="exact"/>
              <w:rPr>
                <w:sz w:val="1"/>
                <w:szCs w:val="1"/>
                <w:color w:val="auto"/>
              </w:rPr>
            </w:pPr>
          </w:p>
        </w:tc>
      </w:tr>
      <w:tr>
        <w:trPr>
          <w:trHeight w:val="385"/>
        </w:trPr>
        <w:tc>
          <w:tcPr>
            <w:tcW w:w="240" w:type="dxa"/>
            <w:vAlign w:val="bottom"/>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10</w:t>
              </w:r>
            </w:hyperlink>
          </w:p>
        </w:tc>
        <w:tc>
          <w:tcPr>
            <w:tcW w:w="860" w:type="dxa"/>
            <w:vAlign w:val="bottom"/>
            <w:gridSpan w:val="5"/>
          </w:tcPr>
          <w:p>
            <w:pPr>
              <w:ind w:left="20"/>
              <w:spacing w:after="0"/>
              <w:rPr>
                <w:rFonts w:ascii="Arial" w:cs="Arial" w:eastAsia="Arial" w:hAnsi="Arial"/>
                <w:sz w:val="18"/>
                <w:szCs w:val="18"/>
                <w:color w:val="0000EE"/>
              </w:rPr>
            </w:pPr>
            <w:hyperlink w:anchor="page61">
              <w:r>
                <w:rPr>
                  <w:rFonts w:ascii="Arial" w:cs="Arial" w:eastAsia="Arial" w:hAnsi="Arial"/>
                  <w:sz w:val="18"/>
                  <w:szCs w:val="18"/>
                  <w:color w:val="0000EE"/>
                </w:rPr>
                <w:t>(n)(iii)</w:t>
              </w:r>
            </w:hyperlink>
          </w:p>
        </w:tc>
        <w:tc>
          <w:tcPr>
            <w:tcW w:w="10220" w:type="dxa"/>
            <w:vAlign w:val="bottom"/>
          </w:tcPr>
          <w:p>
            <w:pPr>
              <w:ind w:left="200"/>
              <w:spacing w:after="0"/>
              <w:rPr>
                <w:sz w:val="20"/>
                <w:szCs w:val="20"/>
                <w:color w:val="auto"/>
              </w:rPr>
            </w:pPr>
            <w:r>
              <w:rPr>
                <w:rFonts w:ascii="Arial" w:cs="Arial" w:eastAsia="Arial" w:hAnsi="Arial"/>
                <w:sz w:val="18"/>
                <w:szCs w:val="18"/>
                <w:color w:val="auto"/>
              </w:rPr>
              <w:t>Form of Incentive Award granted April 1, 2019.</w:t>
            </w:r>
          </w:p>
        </w:tc>
      </w:tr>
      <w:tr>
        <w:trPr>
          <w:trHeight w:val="426"/>
        </w:trPr>
        <w:tc>
          <w:tcPr>
            <w:tcW w:w="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6"/>
              </w:rPr>
            </w:pPr>
            <w:hyperlink w:anchor="page67">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1</w:t>
              </w:r>
            </w:hyperlink>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Certification of the Chief Executive Officer pursuant to Rule 13a-14(a)/15d-14(a) of the Exchange Act.</w:t>
            </w:r>
          </w:p>
        </w:tc>
      </w:tr>
      <w:tr>
        <w:trPr>
          <w:trHeight w:val="426"/>
        </w:trPr>
        <w:tc>
          <w:tcPr>
            <w:tcW w:w="3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68">
              <w:r>
                <w:rPr>
                  <w:rFonts w:ascii="Arial" w:cs="Arial" w:eastAsia="Arial" w:hAnsi="Arial"/>
                  <w:sz w:val="18"/>
                  <w:szCs w:val="18"/>
                  <w:color w:val="0000EE"/>
                  <w:w w:val="96"/>
                </w:rPr>
                <w:t>31.</w:t>
              </w:r>
              <w:r>
                <w:rPr>
                  <w:rFonts w:ascii="Arial" w:cs="Arial" w:eastAsia="Arial" w:hAnsi="Arial"/>
                  <w:sz w:val="18"/>
                  <w:szCs w:val="18"/>
                  <w:u w:val="single" w:color="auto"/>
                  <w:color w:val="0000EE"/>
                  <w:w w:val="96"/>
                </w:rPr>
                <w:t>2</w:t>
              </w:r>
            </w:hyperlink>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Certification of the Chief Financial Officer pursuant to Rule 13a-14(a)/15d-14(a) of the Exchange Act.</w:t>
            </w:r>
          </w:p>
        </w:tc>
      </w:tr>
      <w:tr>
        <w:trPr>
          <w:trHeight w:val="426"/>
        </w:trPr>
        <w:tc>
          <w:tcPr>
            <w:tcW w:w="3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69">
              <w:r>
                <w:rPr>
                  <w:rFonts w:ascii="Arial" w:cs="Arial" w:eastAsia="Arial" w:hAnsi="Arial"/>
                  <w:sz w:val="18"/>
                  <w:szCs w:val="18"/>
                  <w:color w:val="0000EE"/>
                  <w:w w:val="96"/>
                </w:rPr>
                <w:t>32.</w:t>
              </w:r>
              <w:r>
                <w:rPr>
                  <w:rFonts w:ascii="Arial" w:cs="Arial" w:eastAsia="Arial" w:hAnsi="Arial"/>
                  <w:sz w:val="18"/>
                  <w:szCs w:val="18"/>
                  <w:u w:val="single" w:color="auto"/>
                  <w:color w:val="0000EE"/>
                  <w:w w:val="96"/>
                </w:rPr>
                <w:t>1</w:t>
              </w:r>
            </w:hyperlink>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Certification pursuant to Section 906 of the Sarbanes-Oxley Act of 2002 (Subsections (a) and (b) of Section 1350, Chapter 63</w:t>
            </w:r>
          </w:p>
        </w:tc>
      </w:tr>
      <w:tr>
        <w:trPr>
          <w:trHeight w:val="227"/>
        </w:trPr>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of Title 18, United States Code).</w:t>
            </w:r>
          </w:p>
        </w:tc>
      </w:tr>
      <w:tr>
        <w:trPr>
          <w:trHeight w:val="401"/>
        </w:trPr>
        <w:tc>
          <w:tcPr>
            <w:tcW w:w="360" w:type="dxa"/>
            <w:vAlign w:val="bottom"/>
            <w:tcBorders>
              <w:bottom w:val="single" w:sz="8" w:color="0000EE"/>
            </w:tcBorders>
            <w:gridSpan w:val="2"/>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99.</w:t>
              </w:r>
              <w:r>
                <w:rPr>
                  <w:rFonts w:ascii="Arial" w:cs="Arial" w:eastAsia="Arial" w:hAnsi="Arial"/>
                  <w:sz w:val="18"/>
                  <w:szCs w:val="18"/>
                  <w:u w:val="single" w:color="auto"/>
                  <w:color w:val="0000EE"/>
                  <w:w w:val="96"/>
                </w:rPr>
                <w:t>1</w:t>
              </w:r>
            </w:hyperlink>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20" w:type="dxa"/>
            <w:vAlign w:val="bottom"/>
          </w:tcPr>
          <w:p>
            <w:pPr>
              <w:ind w:left="200"/>
              <w:spacing w:after="0"/>
              <w:rPr>
                <w:sz w:val="20"/>
                <w:szCs w:val="20"/>
                <w:color w:val="auto"/>
              </w:rPr>
            </w:pPr>
            <w:r>
              <w:rPr>
                <w:rFonts w:ascii="Arial" w:cs="Arial" w:eastAsia="Arial" w:hAnsi="Arial"/>
                <w:sz w:val="18"/>
                <w:szCs w:val="18"/>
                <w:color w:val="auto"/>
              </w:rPr>
              <w:t>Quantitative and qualitative disclosures about market risks as reported at March 31, 2019.</w:t>
            </w:r>
          </w:p>
        </w:tc>
      </w:tr>
    </w:tbl>
    <w:p>
      <w:pPr>
        <w:spacing w:after="0" w:line="234" w:lineRule="exact"/>
        <w:rPr>
          <w:sz w:val="20"/>
          <w:szCs w:val="20"/>
          <w:color w:val="auto"/>
        </w:rPr>
      </w:pPr>
    </w:p>
    <w:p>
      <w:pPr>
        <w:ind w:left="1300" w:hanging="1292"/>
        <w:spacing w:after="0" w:line="276"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financial information from the Registrant’s Quarterly Report on Form 10-Q for the quarter ended March 31, 2019, formatted in extensible Business Reporting Language (XBRL), filed herewith:</w:t>
      </w:r>
    </w:p>
    <w:p>
      <w:pPr>
        <w:spacing w:after="0" w:line="172" w:lineRule="exact"/>
        <w:rPr>
          <w:rFonts w:ascii="Arial" w:cs="Arial" w:eastAsia="Arial" w:hAnsi="Arial"/>
          <w:sz w:val="18"/>
          <w:szCs w:val="18"/>
          <w:color w:val="auto"/>
        </w:rPr>
      </w:pPr>
    </w:p>
    <w:p>
      <w:pPr>
        <w:ind w:left="1620" w:hanging="315"/>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0000EE"/>
        </w:rPr>
        <w:t>Consolidated Statements of Income for the three months ended March 31, 2019 and 2018.</w:t>
      </w:r>
    </w:p>
    <w:p>
      <w:pPr>
        <w:spacing w:after="0" w:line="373" w:lineRule="exact"/>
        <w:rPr>
          <w:rFonts w:ascii="Arial" w:cs="Arial" w:eastAsia="Arial" w:hAnsi="Arial"/>
          <w:sz w:val="18"/>
          <w:szCs w:val="18"/>
          <w:color w:val="auto"/>
        </w:rPr>
      </w:pPr>
    </w:p>
    <w:p>
      <w:pPr>
        <w:ind w:left="1620" w:hanging="315"/>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0000EE"/>
        </w:rPr>
        <w:t>Consolidated Statements of Comprehensive Income/(Loss) for the three months ended March 31, 2019 and 2018.</w:t>
      </w:r>
    </w:p>
    <w:p>
      <w:pPr>
        <w:spacing w:after="0" w:line="387" w:lineRule="exact"/>
        <w:rPr>
          <w:rFonts w:ascii="Arial" w:cs="Arial" w:eastAsia="Arial" w:hAnsi="Arial"/>
          <w:sz w:val="18"/>
          <w:szCs w:val="18"/>
          <w:color w:val="auto"/>
        </w:rPr>
      </w:pPr>
    </w:p>
    <w:p>
      <w:pPr>
        <w:ind w:left="1620" w:hanging="315"/>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0000EE"/>
        </w:rPr>
        <w:t>Consolidated Balance Sheets as of March 31, 2019 and December 31, 2018.</w:t>
      </w:r>
    </w:p>
    <w:p>
      <w:pPr>
        <w:spacing w:after="0" w:line="387" w:lineRule="exact"/>
        <w:rPr>
          <w:rFonts w:ascii="Arial" w:cs="Arial" w:eastAsia="Arial" w:hAnsi="Arial"/>
          <w:sz w:val="18"/>
          <w:szCs w:val="18"/>
          <w:color w:val="auto"/>
        </w:rPr>
      </w:pPr>
    </w:p>
    <w:p>
      <w:pPr>
        <w:ind w:left="1620" w:hanging="315"/>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0000EE"/>
        </w:rPr>
        <w:t>Consolidated Statements of Cash Flows for the three months ended March 31, 2019 and 2018.</w:t>
      </w:r>
    </w:p>
    <w:p>
      <w:pPr>
        <w:spacing w:after="0" w:line="387" w:lineRule="exact"/>
        <w:rPr>
          <w:rFonts w:ascii="Arial" w:cs="Arial" w:eastAsia="Arial" w:hAnsi="Arial"/>
          <w:sz w:val="18"/>
          <w:szCs w:val="18"/>
          <w:color w:val="auto"/>
        </w:rPr>
      </w:pPr>
    </w:p>
    <w:p>
      <w:pPr>
        <w:ind w:left="1620" w:hanging="315"/>
        <w:spacing w:after="0"/>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0000EE"/>
        </w:rPr>
        <w:t>Notes to Consolidated Financial Statements.</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466" w:right="299" w:bottom="1440" w:gutter="0" w:footer="0" w:header="0"/>
        </w:sectPr>
      </w:pPr>
    </w:p>
    <w:bookmarkStart w:id="50" w:name="page51"/>
    <w:bookmarkEnd w:id="50"/>
    <w:p>
      <w:pPr>
        <w:ind w:right="500" w:firstLine="648"/>
        <w:spacing w:after="0" w:line="276" w:lineRule="auto"/>
        <w:rPr>
          <w:sz w:val="20"/>
          <w:szCs w:val="20"/>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14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exhibit list was included in the Company’s Annual Report on Form 10-K for the year ended December 31, 2018. However, certain hyperlinks in that filing were nonfunctioning. Accordingly, in accordance with Instruction 2 to Rule 105(d) of Regulation S-T, we have included below that exhibit list the appropriate [corrected] hyperlinks.</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468" w:right="239" w:bottom="1440" w:gutter="0" w:footer="0" w:header="0"/>
        </w:sectPr>
      </w:pPr>
    </w:p>
    <w:bookmarkStart w:id="51" w:name="page52"/>
    <w:bookmarkEnd w:id="51"/>
    <w:tbl>
      <w:tblPr>
        <w:tblLayout w:type="fixed"/>
        <w:tblInd w:w="10" w:type="dxa"/>
        <w:tblCellMar>
          <w:top w:w="0" w:type="dxa"/>
          <w:left w:w="0" w:type="dxa"/>
          <w:bottom w:w="0" w:type="dxa"/>
          <w:right w:w="0" w:type="dxa"/>
        </w:tblCellMar>
      </w:tblPr>
      <w:tr>
        <w:trPr>
          <w:trHeight w:val="227"/>
        </w:trPr>
        <w:tc>
          <w:tcPr>
            <w:tcW w:w="128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Exhibit</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2960" w:type="dxa"/>
            <w:vAlign w:val="bottom"/>
            <w:gridSpan w:val="3"/>
          </w:tcPr>
          <w:p>
            <w:pPr>
              <w:ind w:left="3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1"/>
        </w:trPr>
        <w:tc>
          <w:tcPr>
            <w:tcW w:w="1280" w:type="dxa"/>
            <w:vAlign w:val="bottom"/>
            <w:gridSpan w:val="10"/>
            <w:vMerge w:val="continue"/>
          </w:tcPr>
          <w:p>
            <w:pPr>
              <w:spacing w:after="0"/>
              <w:rPr>
                <w:sz w:val="14"/>
                <w:szCs w:val="14"/>
                <w:color w:val="auto"/>
              </w:rPr>
            </w:pP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ind w:left="160"/>
              <w:spacing w:after="0" w:line="171" w:lineRule="exact"/>
              <w:rPr>
                <w:sz w:val="20"/>
                <w:szCs w:val="20"/>
                <w:color w:val="auto"/>
              </w:rPr>
            </w:pPr>
            <w:r>
              <w:rPr>
                <w:rFonts w:ascii="Arial" w:cs="Arial" w:eastAsia="Arial" w:hAnsi="Arial"/>
                <w:sz w:val="18"/>
                <w:szCs w:val="18"/>
                <w:b w:val="1"/>
                <w:bCs w:val="1"/>
                <w:color w:val="auto"/>
              </w:rPr>
              <w:t>Period</w:t>
            </w:r>
          </w:p>
        </w:tc>
        <w:tc>
          <w:tcPr>
            <w:tcW w:w="84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7"/>
        </w:trPr>
        <w:tc>
          <w:tcPr>
            <w:tcW w:w="1280" w:type="dxa"/>
            <w:vAlign w:val="bottom"/>
            <w:tcBorders>
              <w:bottom w:val="single" w:sz="8" w:color="auto"/>
            </w:tcBorders>
            <w:gridSpan w:val="10"/>
          </w:tcPr>
          <w:p>
            <w:pPr>
              <w:spacing w:after="0"/>
              <w:rPr>
                <w:sz w:val="20"/>
                <w:szCs w:val="20"/>
                <w:color w:val="auto"/>
              </w:rPr>
            </w:pPr>
            <w:r>
              <w:rPr>
                <w:rFonts w:ascii="Arial" w:cs="Arial" w:eastAsia="Arial" w:hAnsi="Arial"/>
                <w:sz w:val="18"/>
                <w:szCs w:val="18"/>
                <w:b w:val="1"/>
                <w:bCs w:val="1"/>
                <w:color w:val="auto"/>
              </w:rPr>
              <w:t>Number</w:t>
            </w:r>
          </w:p>
        </w:tc>
        <w:tc>
          <w:tcPr>
            <w:tcW w:w="6320" w:type="dxa"/>
            <w:vAlign w:val="bottom"/>
            <w:tcBorders>
              <w:bottom w:val="single" w:sz="8" w:color="auto"/>
            </w:tcBorders>
            <w:gridSpan w:val="28"/>
          </w:tcPr>
          <w:p>
            <w:pPr>
              <w:spacing w:after="0"/>
              <w:rPr>
                <w:sz w:val="20"/>
                <w:szCs w:val="20"/>
                <w:color w:val="auto"/>
              </w:rPr>
            </w:pPr>
            <w:r>
              <w:rPr>
                <w:rFonts w:ascii="Arial" w:cs="Arial" w:eastAsia="Arial" w:hAnsi="Arial"/>
                <w:sz w:val="18"/>
                <w:szCs w:val="18"/>
                <w:b w:val="1"/>
                <w:bCs w:val="1"/>
                <w:color w:val="auto"/>
              </w:rPr>
              <w:t>Exhibit Description</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12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7"/>
              </w:rPr>
              <w:t>Form</w:t>
            </w: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Ending</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169"/>
        </w:trPr>
        <w:tc>
          <w:tcPr>
            <w:tcW w:w="400" w:type="dxa"/>
            <w:vAlign w:val="bottom"/>
            <w:tcBorders>
              <w:left w:val="single" w:sz="8" w:color="auto"/>
            </w:tcBorders>
          </w:tcPr>
          <w:p>
            <w:pPr>
              <w:ind w:left="20"/>
              <w:spacing w:after="0" w:line="170" w:lineRule="exact"/>
              <w:rPr>
                <w:rFonts w:ascii="Arial" w:cs="Arial" w:eastAsia="Arial" w:hAnsi="Arial"/>
                <w:sz w:val="18"/>
                <w:szCs w:val="18"/>
                <w:color w:val="0000EE"/>
                <w:w w:val="97"/>
              </w:rPr>
            </w:pPr>
            <w:hyperlink r:id="rId49">
              <w:r>
                <w:rPr>
                  <w:rFonts w:ascii="Arial" w:cs="Arial" w:eastAsia="Arial" w:hAnsi="Arial"/>
                  <w:sz w:val="18"/>
                  <w:szCs w:val="18"/>
                  <w:color w:val="0000EE"/>
                  <w:w w:val="97"/>
                </w:rPr>
                <w:t>3 (a)</w:t>
              </w:r>
            </w:hyperlink>
          </w:p>
        </w:tc>
        <w:tc>
          <w:tcPr>
            <w:tcW w:w="880" w:type="dxa"/>
            <w:vAlign w:val="bottom"/>
            <w:gridSpan w:val="9"/>
          </w:tcPr>
          <w:p>
            <w:pPr>
              <w:spacing w:after="0"/>
              <w:rPr>
                <w:sz w:val="14"/>
                <w:szCs w:val="14"/>
                <w:color w:val="auto"/>
              </w:rPr>
            </w:pPr>
          </w:p>
        </w:tc>
        <w:tc>
          <w:tcPr>
            <w:tcW w:w="6320" w:type="dxa"/>
            <w:vAlign w:val="bottom"/>
            <w:gridSpan w:val="28"/>
          </w:tcPr>
          <w:p>
            <w:pPr>
              <w:spacing w:after="0" w:line="170" w:lineRule="exact"/>
              <w:rPr>
                <w:rFonts w:ascii="Arial" w:cs="Arial" w:eastAsia="Arial" w:hAnsi="Arial"/>
                <w:sz w:val="18"/>
                <w:szCs w:val="18"/>
                <w:color w:val="0000EE"/>
              </w:rPr>
            </w:pPr>
            <w:hyperlink r:id="rId49">
              <w:r>
                <w:rPr>
                  <w:rFonts w:ascii="Arial" w:cs="Arial" w:eastAsia="Arial" w:hAnsi="Arial"/>
                  <w:sz w:val="18"/>
                  <w:szCs w:val="18"/>
                  <w:color w:val="0000EE"/>
                </w:rPr>
                <w:t>Amended and Restated Certificate of Incorporation of Company</w:t>
              </w:r>
            </w:hyperlink>
          </w:p>
        </w:tc>
        <w:tc>
          <w:tcPr>
            <w:tcW w:w="900" w:type="dxa"/>
            <w:vAlign w:val="bottom"/>
          </w:tcPr>
          <w:p>
            <w:pPr>
              <w:spacing w:after="0"/>
              <w:rPr>
                <w:sz w:val="14"/>
                <w:szCs w:val="14"/>
                <w:color w:val="auto"/>
              </w:rPr>
            </w:pPr>
          </w:p>
        </w:tc>
        <w:tc>
          <w:tcPr>
            <w:tcW w:w="1220" w:type="dxa"/>
            <w:vAlign w:val="bottom"/>
          </w:tcPr>
          <w:p>
            <w:pPr>
              <w:jc w:val="center"/>
              <w:ind w:left="10"/>
              <w:spacing w:after="0" w:line="170"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4"/>
                <w:szCs w:val="14"/>
                <w:color w:val="auto"/>
              </w:rPr>
            </w:pPr>
          </w:p>
        </w:tc>
        <w:tc>
          <w:tcPr>
            <w:tcW w:w="8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6/2/15</w:t>
            </w:r>
          </w:p>
        </w:tc>
        <w:tc>
          <w:tcPr>
            <w:tcW w:w="0" w:type="dxa"/>
            <w:vAlign w:val="bottom"/>
          </w:tcPr>
          <w:p>
            <w:pPr>
              <w:spacing w:after="0"/>
              <w:rPr>
                <w:sz w:val="1"/>
                <w:szCs w:val="1"/>
                <w:color w:val="auto"/>
              </w:rPr>
            </w:pPr>
          </w:p>
        </w:tc>
      </w:tr>
      <w:tr>
        <w:trPr>
          <w:trHeight w:val="358"/>
        </w:trPr>
        <w:tc>
          <w:tcPr>
            <w:tcW w:w="400" w:type="dxa"/>
            <w:vAlign w:val="bottom"/>
            <w:tcBorders>
              <w:top w:val="single" w:sz="8" w:color="0000EE"/>
              <w:left w:val="single" w:sz="8" w:color="auto"/>
            </w:tcBorders>
          </w:tcPr>
          <w:p>
            <w:pPr>
              <w:ind w:left="20"/>
              <w:spacing w:after="0"/>
              <w:rPr>
                <w:rFonts w:ascii="Arial" w:cs="Arial" w:eastAsia="Arial" w:hAnsi="Arial"/>
                <w:sz w:val="18"/>
                <w:szCs w:val="18"/>
                <w:color w:val="0000EE"/>
                <w:w w:val="97"/>
              </w:rPr>
            </w:pPr>
            <w:hyperlink r:id="rId50">
              <w:r>
                <w:rPr>
                  <w:rFonts w:ascii="Arial" w:cs="Arial" w:eastAsia="Arial" w:hAnsi="Arial"/>
                  <w:sz w:val="18"/>
                  <w:szCs w:val="18"/>
                  <w:color w:val="0000EE"/>
                  <w:w w:val="97"/>
                </w:rPr>
                <w:t>3 (b)</w:t>
              </w:r>
            </w:hyperlink>
          </w:p>
        </w:tc>
        <w:tc>
          <w:tcPr>
            <w:tcW w:w="880" w:type="dxa"/>
            <w:vAlign w:val="bottom"/>
            <w:gridSpan w:val="9"/>
          </w:tcPr>
          <w:p>
            <w:pPr>
              <w:spacing w:after="0"/>
              <w:rPr>
                <w:sz w:val="24"/>
                <w:szCs w:val="24"/>
                <w:color w:val="auto"/>
              </w:rPr>
            </w:pPr>
          </w:p>
        </w:tc>
        <w:tc>
          <w:tcPr>
            <w:tcW w:w="5040" w:type="dxa"/>
            <w:vAlign w:val="bottom"/>
            <w:tcBorders>
              <w:top w:val="single" w:sz="8" w:color="0000EE"/>
            </w:tcBorders>
            <w:gridSpan w:val="14"/>
          </w:tcPr>
          <w:p>
            <w:pPr>
              <w:spacing w:after="0"/>
              <w:rPr>
                <w:rFonts w:ascii="Arial" w:cs="Arial" w:eastAsia="Arial" w:hAnsi="Arial"/>
                <w:sz w:val="18"/>
                <w:szCs w:val="18"/>
                <w:color w:val="0000EE"/>
              </w:rPr>
            </w:pPr>
            <w:hyperlink r:id="rId50">
              <w:r>
                <w:rPr>
                  <w:rFonts w:ascii="Arial" w:cs="Arial" w:eastAsia="Arial" w:hAnsi="Arial"/>
                  <w:sz w:val="18"/>
                  <w:szCs w:val="18"/>
                  <w:color w:val="0000EE"/>
                </w:rPr>
                <w:t>Bylaws of Company</w:t>
              </w:r>
            </w:hyperlink>
          </w:p>
        </w:tc>
        <w:tc>
          <w:tcPr>
            <w:tcW w:w="1280" w:type="dxa"/>
            <w:vAlign w:val="bottom"/>
            <w:gridSpan w:val="14"/>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2/23/11</w:t>
            </w: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0" w:type="dxa"/>
            <w:vAlign w:val="bottom"/>
            <w:tcBorders>
              <w:left w:val="single" w:sz="8" w:color="auto"/>
              <w:bottom w:val="single" w:sz="8" w:color="0000EE"/>
            </w:tcBorders>
          </w:tcPr>
          <w:p>
            <w:pPr>
              <w:ind w:left="20"/>
              <w:spacing w:after="0"/>
              <w:rPr>
                <w:rFonts w:ascii="Arial" w:cs="Arial" w:eastAsia="Arial" w:hAnsi="Arial"/>
                <w:sz w:val="18"/>
                <w:szCs w:val="18"/>
                <w:color w:val="0000EE"/>
                <w:w w:val="97"/>
              </w:rPr>
            </w:pPr>
            <w:hyperlink r:id="rId49">
              <w:r>
                <w:rPr>
                  <w:rFonts w:ascii="Arial" w:cs="Arial" w:eastAsia="Arial" w:hAnsi="Arial"/>
                  <w:sz w:val="18"/>
                  <w:szCs w:val="18"/>
                  <w:color w:val="0000EE"/>
                  <w:w w:val="97"/>
                </w:rPr>
                <w:t>4 (a)</w:t>
              </w:r>
            </w:hyperlink>
          </w:p>
        </w:tc>
        <w:tc>
          <w:tcPr>
            <w:tcW w:w="880" w:type="dxa"/>
            <w:vAlign w:val="bottom"/>
            <w:gridSpan w:val="9"/>
          </w:tcPr>
          <w:p>
            <w:pPr>
              <w:spacing w:after="0"/>
              <w:rPr>
                <w:sz w:val="24"/>
                <w:szCs w:val="24"/>
                <w:color w:val="auto"/>
              </w:rPr>
            </w:pPr>
          </w:p>
        </w:tc>
        <w:tc>
          <w:tcPr>
            <w:tcW w:w="4080" w:type="dxa"/>
            <w:vAlign w:val="bottom"/>
            <w:tcBorders>
              <w:bottom w:val="single" w:sz="8" w:color="0000EE"/>
            </w:tcBorders>
            <w:gridSpan w:val="11"/>
          </w:tcPr>
          <w:p>
            <w:pPr>
              <w:spacing w:after="0"/>
              <w:rPr>
                <w:rFonts w:ascii="Arial" w:cs="Arial" w:eastAsia="Arial" w:hAnsi="Arial"/>
                <w:sz w:val="18"/>
                <w:szCs w:val="18"/>
                <w:color w:val="0000EE"/>
                <w:w w:val="98"/>
              </w:rPr>
            </w:pPr>
            <w:hyperlink r:id="rId49">
              <w:r>
                <w:rPr>
                  <w:rFonts w:ascii="Arial" w:cs="Arial" w:eastAsia="Arial" w:hAnsi="Arial"/>
                  <w:sz w:val="18"/>
                  <w:szCs w:val="18"/>
                  <w:color w:val="0000EE"/>
                  <w:w w:val="98"/>
                </w:rPr>
                <w:t>Article IV of Certificate of Incorporation of Company</w:t>
              </w:r>
            </w:hyperlink>
          </w:p>
        </w:tc>
        <w:tc>
          <w:tcPr>
            <w:tcW w:w="2240" w:type="dxa"/>
            <w:vAlign w:val="bottom"/>
            <w:gridSpan w:val="17"/>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6/2/15</w:t>
            </w:r>
          </w:p>
        </w:tc>
        <w:tc>
          <w:tcPr>
            <w:tcW w:w="0" w:type="dxa"/>
            <w:vAlign w:val="bottom"/>
          </w:tcPr>
          <w:p>
            <w:pPr>
              <w:spacing w:after="0"/>
              <w:rPr>
                <w:sz w:val="1"/>
                <w:szCs w:val="1"/>
                <w:color w:val="auto"/>
              </w:rPr>
            </w:pPr>
          </w:p>
        </w:tc>
      </w:tr>
      <w:tr>
        <w:trPr>
          <w:trHeight w:val="362"/>
        </w:trPr>
        <w:tc>
          <w:tcPr>
            <w:tcW w:w="1280" w:type="dxa"/>
            <w:vAlign w:val="bottom"/>
            <w:tcBorders>
              <w:left w:val="single" w:sz="8" w:color="auto"/>
            </w:tcBorders>
            <w:gridSpan w:val="10"/>
          </w:tcPr>
          <w:p>
            <w:pPr>
              <w:ind w:left="20"/>
              <w:spacing w:after="0"/>
              <w:rPr>
                <w:sz w:val="20"/>
                <w:szCs w:val="20"/>
                <w:color w:val="auto"/>
              </w:rPr>
            </w:pPr>
            <w:r>
              <w:rPr>
                <w:rFonts w:ascii="Arial" w:cs="Arial" w:eastAsia="Arial" w:hAnsi="Arial"/>
                <w:sz w:val="18"/>
                <w:szCs w:val="18"/>
                <w:color w:val="auto"/>
              </w:rPr>
              <w:t>4 (b)</w:t>
            </w:r>
          </w:p>
        </w:tc>
        <w:tc>
          <w:tcPr>
            <w:tcW w:w="6320" w:type="dxa"/>
            <w:vAlign w:val="bottom"/>
            <w:gridSpan w:val="28"/>
          </w:tcPr>
          <w:p>
            <w:pPr>
              <w:spacing w:after="0"/>
              <w:rPr>
                <w:sz w:val="20"/>
                <w:szCs w:val="20"/>
                <w:color w:val="auto"/>
              </w:rPr>
            </w:pPr>
            <w:r>
              <w:rPr>
                <w:rFonts w:ascii="Arial" w:cs="Arial" w:eastAsia="Arial" w:hAnsi="Arial"/>
                <w:sz w:val="18"/>
                <w:szCs w:val="18"/>
                <w:color w:val="auto"/>
              </w:rPr>
              <w:t>Specimen Stock Certificate for Class A Common Stock</w:t>
            </w:r>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8"/>
              </w:rPr>
              <w:t>S-1, No. 33-</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9/30/87</w:t>
            </w:r>
          </w:p>
        </w:tc>
        <w:tc>
          <w:tcPr>
            <w:tcW w:w="0" w:type="dxa"/>
            <w:vAlign w:val="bottom"/>
          </w:tcPr>
          <w:p>
            <w:pPr>
              <w:spacing w:after="0"/>
              <w:rPr>
                <w:sz w:val="1"/>
                <w:szCs w:val="1"/>
                <w:color w:val="auto"/>
              </w:rPr>
            </w:pPr>
          </w:p>
        </w:tc>
      </w:tr>
      <w:tr>
        <w:trPr>
          <w:trHeight w:val="243"/>
        </w:trPr>
        <w:tc>
          <w:tcPr>
            <w:tcW w:w="400" w:type="dxa"/>
            <w:vAlign w:val="bottom"/>
            <w:tcBorders>
              <w:left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16254</w:t>
            </w:r>
          </w:p>
        </w:tc>
        <w:tc>
          <w:tcPr>
            <w:tcW w:w="9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400" w:type="dxa"/>
            <w:vAlign w:val="bottom"/>
            <w:tcBorders>
              <w:left w:val="single" w:sz="8" w:color="auto"/>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8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7600" w:type="dxa"/>
            <w:vAlign w:val="bottom"/>
            <w:tcBorders>
              <w:left w:val="single" w:sz="8" w:color="auto"/>
            </w:tcBorders>
            <w:gridSpan w:val="38"/>
          </w:tcPr>
          <w:p>
            <w:pPr>
              <w:ind w:left="20"/>
              <w:spacing w:after="0"/>
              <w:rPr>
                <w:sz w:val="20"/>
                <w:szCs w:val="20"/>
                <w:color w:val="auto"/>
              </w:rPr>
            </w:pPr>
            <w:r>
              <w:rPr>
                <w:rFonts w:ascii="Arial" w:cs="Arial" w:eastAsia="Arial" w:hAnsi="Arial"/>
                <w:sz w:val="18"/>
                <w:szCs w:val="18"/>
                <w:b w:val="1"/>
                <w:bCs w:val="1"/>
                <w:color w:val="auto"/>
              </w:rPr>
              <w:t>Credit Agreement</w:t>
            </w: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400" w:type="dxa"/>
            <w:vAlign w:val="bottom"/>
            <w:tcBorders>
              <w:left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tcBorders>
            <w:gridSpan w:val="10"/>
          </w:tcPr>
          <w:p>
            <w:pPr>
              <w:ind w:left="20"/>
              <w:spacing w:after="0" w:line="170" w:lineRule="exact"/>
              <w:rPr>
                <w:rFonts w:ascii="Arial" w:cs="Arial" w:eastAsia="Arial" w:hAnsi="Arial"/>
                <w:sz w:val="18"/>
                <w:szCs w:val="18"/>
                <w:color w:val="0000EE"/>
              </w:rPr>
            </w:pPr>
            <w:hyperlink r:id="rId51">
              <w:r>
                <w:rPr>
                  <w:rFonts w:ascii="Arial" w:cs="Arial" w:eastAsia="Arial" w:hAnsi="Arial"/>
                  <w:sz w:val="18"/>
                  <w:szCs w:val="18"/>
                  <w:color w:val="0000EE"/>
                </w:rPr>
                <w:t>10(k)(xix)</w:t>
              </w:r>
            </w:hyperlink>
          </w:p>
        </w:tc>
        <w:tc>
          <w:tcPr>
            <w:tcW w:w="6320" w:type="dxa"/>
            <w:vAlign w:val="bottom"/>
            <w:gridSpan w:val="28"/>
          </w:tcPr>
          <w:p>
            <w:pPr>
              <w:spacing w:after="0" w:line="170" w:lineRule="exact"/>
              <w:rPr>
                <w:rFonts w:ascii="Arial" w:cs="Arial" w:eastAsia="Arial" w:hAnsi="Arial"/>
                <w:sz w:val="18"/>
                <w:szCs w:val="18"/>
                <w:color w:val="0000EE"/>
              </w:rPr>
            </w:pPr>
            <w:hyperlink r:id="rId51">
              <w:r>
                <w:rPr>
                  <w:rFonts w:ascii="Arial" w:cs="Arial" w:eastAsia="Arial" w:hAnsi="Arial"/>
                  <w:sz w:val="18"/>
                  <w:szCs w:val="18"/>
                  <w:u w:val="single" w:color="auto"/>
                  <w:color w:val="0000EE"/>
                </w:rPr>
                <w:t>$</w:t>
              </w:r>
              <w:r>
                <w:rPr>
                  <w:rFonts w:ascii="Arial" w:cs="Arial" w:eastAsia="Arial" w:hAnsi="Arial"/>
                  <w:sz w:val="18"/>
                  <w:szCs w:val="18"/>
                  <w:color w:val="0000EE"/>
                </w:rPr>
                <w:t>685 Million Five-Year Revolving Credit Facility Agreement among Albany</w:t>
              </w:r>
            </w:hyperlink>
          </w:p>
        </w:tc>
        <w:tc>
          <w:tcPr>
            <w:tcW w:w="900" w:type="dxa"/>
            <w:vAlign w:val="bottom"/>
          </w:tcPr>
          <w:p>
            <w:pPr>
              <w:spacing w:after="0"/>
              <w:rPr>
                <w:sz w:val="14"/>
                <w:szCs w:val="14"/>
                <w:color w:val="auto"/>
              </w:rPr>
            </w:pPr>
          </w:p>
        </w:tc>
        <w:tc>
          <w:tcPr>
            <w:tcW w:w="1220" w:type="dxa"/>
            <w:vAlign w:val="bottom"/>
          </w:tcPr>
          <w:p>
            <w:pPr>
              <w:jc w:val="center"/>
              <w:ind w:left="10"/>
              <w:spacing w:after="0" w:line="170"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4"/>
                <w:szCs w:val="14"/>
                <w:color w:val="auto"/>
              </w:rPr>
            </w:pPr>
          </w:p>
        </w:tc>
        <w:tc>
          <w:tcPr>
            <w:tcW w:w="8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11/7/17</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5880" w:type="dxa"/>
            <w:vAlign w:val="bottom"/>
            <w:tcBorders>
              <w:top w:val="single" w:sz="8" w:color="0000EE"/>
              <w:bottom w:val="single" w:sz="8" w:color="0000EE"/>
            </w:tcBorders>
            <w:gridSpan w:val="22"/>
          </w:tcPr>
          <w:p>
            <w:pPr>
              <w:spacing w:after="0" w:line="182" w:lineRule="exact"/>
              <w:rPr>
                <w:rFonts w:ascii="Arial" w:cs="Arial" w:eastAsia="Arial" w:hAnsi="Arial"/>
                <w:sz w:val="18"/>
                <w:szCs w:val="18"/>
                <w:color w:val="0000EE"/>
                <w:w w:val="99"/>
              </w:rPr>
            </w:pPr>
            <w:hyperlink r:id="rId51">
              <w:r>
                <w:rPr>
                  <w:rFonts w:ascii="Arial" w:cs="Arial" w:eastAsia="Arial" w:hAnsi="Arial"/>
                  <w:sz w:val="18"/>
                  <w:szCs w:val="18"/>
                  <w:color w:val="0000EE"/>
                  <w:w w:val="99"/>
                </w:rPr>
                <w:t>International Corp., the other Borrowers named therein, the Lenders Party</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320" w:type="dxa"/>
            <w:vAlign w:val="bottom"/>
            <w:gridSpan w:val="28"/>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thereto, JPMorgan Chase Bank, N.A., as Administrative Agent, dated as of</w:t>
              </w:r>
            </w:hyperlink>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94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November 7, 2017</w:t>
              </w:r>
            </w:hyperlink>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top w:val="single" w:sz="8" w:color="0000EE"/>
              <w:bottom w:val="single" w:sz="8" w:color="auto"/>
            </w:tcBorders>
          </w:tcPr>
          <w:p>
            <w:pPr>
              <w:spacing w:after="0"/>
              <w:rPr>
                <w:sz w:val="15"/>
                <w:szCs w:val="15"/>
                <w:color w:val="auto"/>
              </w:rPr>
            </w:pPr>
          </w:p>
        </w:tc>
        <w:tc>
          <w:tcPr>
            <w:tcW w:w="760" w:type="dxa"/>
            <w:vAlign w:val="bottom"/>
            <w:tcBorders>
              <w:top w:val="single" w:sz="8" w:color="0000EE"/>
              <w:bottom w:val="single" w:sz="8" w:color="auto"/>
            </w:tcBorders>
          </w:tcPr>
          <w:p>
            <w:pPr>
              <w:spacing w:after="0"/>
              <w:rPr>
                <w:sz w:val="15"/>
                <w:szCs w:val="15"/>
                <w:color w:val="auto"/>
              </w:rPr>
            </w:pPr>
          </w:p>
        </w:tc>
        <w:tc>
          <w:tcPr>
            <w:tcW w:w="24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600" w:type="dxa"/>
            <w:vAlign w:val="bottom"/>
            <w:tcBorders>
              <w:left w:val="single" w:sz="8" w:color="auto"/>
            </w:tcBorders>
            <w:gridSpan w:val="38"/>
          </w:tcPr>
          <w:p>
            <w:pPr>
              <w:ind w:left="20"/>
              <w:spacing w:after="0"/>
              <w:rPr>
                <w:sz w:val="20"/>
                <w:szCs w:val="20"/>
                <w:color w:val="auto"/>
              </w:rPr>
            </w:pPr>
            <w:r>
              <w:rPr>
                <w:rFonts w:ascii="Arial" w:cs="Arial" w:eastAsia="Arial" w:hAnsi="Arial"/>
                <w:sz w:val="18"/>
                <w:szCs w:val="18"/>
                <w:b w:val="1"/>
                <w:bCs w:val="1"/>
                <w:color w:val="auto"/>
              </w:rPr>
              <w:t>Restricted Stock Units</w:t>
            </w: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400" w:type="dxa"/>
            <w:vAlign w:val="bottom"/>
            <w:tcBorders>
              <w:left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720" w:type="dxa"/>
            <w:vAlign w:val="bottom"/>
            <w:tcBorders>
              <w:left w:val="single" w:sz="8" w:color="auto"/>
            </w:tcBorders>
            <w:gridSpan w:val="7"/>
          </w:tcPr>
          <w:p>
            <w:pPr>
              <w:ind w:left="20"/>
              <w:spacing w:after="0" w:line="170" w:lineRule="exact"/>
              <w:rPr>
                <w:rFonts w:ascii="Arial" w:cs="Arial" w:eastAsia="Arial" w:hAnsi="Arial"/>
                <w:sz w:val="18"/>
                <w:szCs w:val="18"/>
                <w:color w:val="0000EE"/>
                <w:w w:val="98"/>
              </w:rPr>
            </w:pPr>
            <w:hyperlink r:id="rId52">
              <w:r>
                <w:rPr>
                  <w:rFonts w:ascii="Arial" w:cs="Arial" w:eastAsia="Arial" w:hAnsi="Arial"/>
                  <w:sz w:val="18"/>
                  <w:szCs w:val="18"/>
                  <w:color w:val="0000EE"/>
                  <w:w w:val="98"/>
                </w:rPr>
                <w:t>10(l)(viii)</w:t>
              </w:r>
            </w:hyperlink>
          </w:p>
        </w:tc>
        <w:tc>
          <w:tcPr>
            <w:tcW w:w="560" w:type="dxa"/>
            <w:vAlign w:val="bottom"/>
            <w:gridSpan w:val="3"/>
          </w:tcPr>
          <w:p>
            <w:pPr>
              <w:spacing w:after="0"/>
              <w:rPr>
                <w:sz w:val="14"/>
                <w:szCs w:val="14"/>
                <w:color w:val="auto"/>
              </w:rPr>
            </w:pPr>
          </w:p>
        </w:tc>
        <w:tc>
          <w:tcPr>
            <w:tcW w:w="6320" w:type="dxa"/>
            <w:vAlign w:val="bottom"/>
            <w:gridSpan w:val="28"/>
          </w:tcPr>
          <w:p>
            <w:pPr>
              <w:spacing w:after="0" w:line="170" w:lineRule="exact"/>
              <w:rPr>
                <w:rFonts w:ascii="Arial" w:cs="Arial" w:eastAsia="Arial" w:hAnsi="Arial"/>
                <w:sz w:val="18"/>
                <w:szCs w:val="18"/>
                <w:color w:val="0000EE"/>
              </w:rPr>
            </w:pPr>
            <w:hyperlink r:id="rId52">
              <w:r>
                <w:rPr>
                  <w:rFonts w:ascii="Arial" w:cs="Arial" w:eastAsia="Arial" w:hAnsi="Arial"/>
                  <w:sz w:val="18"/>
                  <w:szCs w:val="18"/>
                  <w:color w:val="0000EE"/>
                </w:rPr>
                <w:t>2011 Performance Phantom Stock Plan as adopted on May 26, 2011 (42)</w:t>
              </w:r>
            </w:hyperlink>
          </w:p>
        </w:tc>
        <w:tc>
          <w:tcPr>
            <w:tcW w:w="900" w:type="dxa"/>
            <w:vAlign w:val="bottom"/>
          </w:tcPr>
          <w:p>
            <w:pPr>
              <w:spacing w:after="0"/>
              <w:rPr>
                <w:sz w:val="14"/>
                <w:szCs w:val="14"/>
                <w:color w:val="auto"/>
              </w:rPr>
            </w:pPr>
          </w:p>
        </w:tc>
        <w:tc>
          <w:tcPr>
            <w:tcW w:w="1220" w:type="dxa"/>
            <w:vAlign w:val="bottom"/>
          </w:tcPr>
          <w:p>
            <w:pPr>
              <w:jc w:val="center"/>
              <w:ind w:left="10"/>
              <w:spacing w:after="0" w:line="170" w:lineRule="exact"/>
              <w:rPr>
                <w:sz w:val="20"/>
                <w:szCs w:val="20"/>
                <w:color w:val="auto"/>
              </w:rPr>
            </w:pPr>
            <w:r>
              <w:rPr>
                <w:rFonts w:ascii="Arial" w:cs="Arial" w:eastAsia="Arial" w:hAnsi="Arial"/>
                <w:sz w:val="18"/>
                <w:szCs w:val="18"/>
                <w:color w:val="auto"/>
                <w:w w:val="99"/>
              </w:rPr>
              <w:t>10-Q</w:t>
            </w:r>
          </w:p>
        </w:tc>
        <w:tc>
          <w:tcPr>
            <w:tcW w:w="900" w:type="dxa"/>
            <w:vAlign w:val="bottom"/>
          </w:tcPr>
          <w:p>
            <w:pPr>
              <w:jc w:val="center"/>
              <w:spacing w:after="0" w:line="170" w:lineRule="exact"/>
              <w:rPr>
                <w:sz w:val="20"/>
                <w:szCs w:val="20"/>
                <w:color w:val="auto"/>
              </w:rPr>
            </w:pPr>
            <w:r>
              <w:rPr>
                <w:rFonts w:ascii="Arial" w:cs="Arial" w:eastAsia="Arial" w:hAnsi="Arial"/>
                <w:sz w:val="18"/>
                <w:szCs w:val="18"/>
                <w:color w:val="auto"/>
                <w:w w:val="96"/>
              </w:rPr>
              <w:t>6/30/11</w:t>
            </w:r>
          </w:p>
        </w:tc>
        <w:tc>
          <w:tcPr>
            <w:tcW w:w="8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8/9/11</w:t>
            </w:r>
          </w:p>
        </w:tc>
        <w:tc>
          <w:tcPr>
            <w:tcW w:w="0" w:type="dxa"/>
            <w:vAlign w:val="bottom"/>
          </w:tcPr>
          <w:p>
            <w:pPr>
              <w:spacing w:after="0"/>
              <w:rPr>
                <w:sz w:val="1"/>
                <w:szCs w:val="1"/>
                <w:color w:val="auto"/>
              </w:rPr>
            </w:pPr>
          </w:p>
        </w:tc>
      </w:tr>
      <w:tr>
        <w:trPr>
          <w:trHeight w:val="358"/>
        </w:trPr>
        <w:tc>
          <w:tcPr>
            <w:tcW w:w="720" w:type="dxa"/>
            <w:vAlign w:val="bottom"/>
            <w:tcBorders>
              <w:top w:val="single" w:sz="8" w:color="0000EE"/>
              <w:left w:val="single" w:sz="8" w:color="auto"/>
            </w:tcBorders>
            <w:gridSpan w:val="7"/>
          </w:tcPr>
          <w:p>
            <w:pPr>
              <w:ind w:left="20"/>
              <w:spacing w:after="0"/>
              <w:rPr>
                <w:rFonts w:ascii="Arial" w:cs="Arial" w:eastAsia="Arial" w:hAnsi="Arial"/>
                <w:sz w:val="18"/>
                <w:szCs w:val="18"/>
                <w:color w:val="0000EE"/>
              </w:rPr>
            </w:pPr>
            <w:hyperlink r:id="rId53">
              <w:r>
                <w:rPr>
                  <w:rFonts w:ascii="Arial" w:cs="Arial" w:eastAsia="Arial" w:hAnsi="Arial"/>
                  <w:sz w:val="18"/>
                  <w:szCs w:val="18"/>
                  <w:color w:val="0000EE"/>
                </w:rPr>
                <w:t>10(l)(i)</w:t>
              </w:r>
            </w:hyperlink>
          </w:p>
        </w:tc>
        <w:tc>
          <w:tcPr>
            <w:tcW w:w="560" w:type="dxa"/>
            <w:vAlign w:val="bottom"/>
            <w:gridSpan w:val="3"/>
          </w:tcPr>
          <w:p>
            <w:pPr>
              <w:spacing w:after="0"/>
              <w:rPr>
                <w:sz w:val="24"/>
                <w:szCs w:val="24"/>
                <w:color w:val="auto"/>
              </w:rPr>
            </w:pPr>
          </w:p>
        </w:tc>
        <w:tc>
          <w:tcPr>
            <w:tcW w:w="5800" w:type="dxa"/>
            <w:vAlign w:val="bottom"/>
            <w:tcBorders>
              <w:top w:val="single" w:sz="8" w:color="0000EE"/>
            </w:tcBorders>
            <w:gridSpan w:val="19"/>
          </w:tcPr>
          <w:p>
            <w:pPr>
              <w:spacing w:after="0"/>
              <w:rPr>
                <w:rFonts w:ascii="Arial" w:cs="Arial" w:eastAsia="Arial" w:hAnsi="Arial"/>
                <w:sz w:val="18"/>
                <w:szCs w:val="18"/>
                <w:color w:val="0000EE"/>
              </w:rPr>
            </w:pPr>
            <w:hyperlink r:id="rId53">
              <w:r>
                <w:rPr>
                  <w:rFonts w:ascii="Arial" w:cs="Arial" w:eastAsia="Arial" w:hAnsi="Arial"/>
                  <w:sz w:val="18"/>
                  <w:szCs w:val="18"/>
                  <w:color w:val="0000EE"/>
                </w:rPr>
                <w:t>2003 Restricted Stock Unit Plan, as adopted November 13, 2003</w:t>
              </w:r>
            </w:hyperlink>
          </w:p>
        </w:tc>
        <w:tc>
          <w:tcPr>
            <w:tcW w:w="520" w:type="dxa"/>
            <w:vAlign w:val="bottom"/>
            <w:gridSpan w:val="9"/>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3/11/04</w:t>
            </w: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00" w:type="dxa"/>
            <w:vAlign w:val="bottom"/>
            <w:tcBorders>
              <w:left w:val="single" w:sz="8" w:color="auto"/>
              <w:bottom w:val="single" w:sz="8" w:color="0000EE"/>
            </w:tcBorders>
            <w:gridSpan w:val="4"/>
          </w:tcPr>
          <w:p>
            <w:pPr>
              <w:ind w:left="20"/>
              <w:spacing w:after="0"/>
              <w:rPr>
                <w:rFonts w:ascii="Arial" w:cs="Arial" w:eastAsia="Arial" w:hAnsi="Arial"/>
                <w:sz w:val="18"/>
                <w:szCs w:val="18"/>
                <w:color w:val="0000EE"/>
                <w:w w:val="98"/>
              </w:rPr>
            </w:pPr>
            <w:hyperlink r:id="rId54">
              <w:r>
                <w:rPr>
                  <w:rFonts w:ascii="Arial" w:cs="Arial" w:eastAsia="Arial" w:hAnsi="Arial"/>
                  <w:sz w:val="18"/>
                  <w:szCs w:val="18"/>
                  <w:color w:val="0000EE"/>
                  <w:w w:val="98"/>
                </w:rPr>
                <w:t>10(l)(x)</w:t>
              </w:r>
            </w:hyperlink>
          </w:p>
        </w:tc>
        <w:tc>
          <w:tcPr>
            <w:tcW w:w="680" w:type="dxa"/>
            <w:vAlign w:val="bottom"/>
            <w:gridSpan w:val="6"/>
          </w:tcPr>
          <w:p>
            <w:pPr>
              <w:spacing w:after="0"/>
              <w:rPr>
                <w:sz w:val="24"/>
                <w:szCs w:val="24"/>
                <w:color w:val="auto"/>
              </w:rPr>
            </w:pPr>
          </w:p>
        </w:tc>
        <w:tc>
          <w:tcPr>
            <w:tcW w:w="5680" w:type="dxa"/>
            <w:vAlign w:val="bottom"/>
            <w:tcBorders>
              <w:bottom w:val="single" w:sz="8" w:color="0000EE"/>
            </w:tcBorders>
            <w:gridSpan w:val="17"/>
          </w:tcPr>
          <w:p>
            <w:pPr>
              <w:spacing w:after="0"/>
              <w:rPr>
                <w:rFonts w:ascii="Arial" w:cs="Arial" w:eastAsia="Arial" w:hAnsi="Arial"/>
                <w:sz w:val="18"/>
                <w:szCs w:val="18"/>
                <w:color w:val="0000EE"/>
                <w:w w:val="99"/>
              </w:rPr>
            </w:pPr>
            <w:hyperlink r:id="rId54">
              <w:r>
                <w:rPr>
                  <w:rFonts w:ascii="Arial" w:cs="Arial" w:eastAsia="Arial" w:hAnsi="Arial"/>
                  <w:sz w:val="18"/>
                  <w:szCs w:val="18"/>
                  <w:color w:val="0000EE"/>
                  <w:w w:val="99"/>
                </w:rPr>
                <w:t>Form of Restricted Stock Unit Award for units granted on March 2, 2018</w:t>
              </w:r>
            </w:hyperlink>
          </w:p>
        </w:tc>
        <w:tc>
          <w:tcPr>
            <w:tcW w:w="640" w:type="dxa"/>
            <w:vAlign w:val="bottom"/>
            <w:gridSpan w:val="11"/>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3/6/18</w:t>
            </w:r>
          </w:p>
        </w:tc>
        <w:tc>
          <w:tcPr>
            <w:tcW w:w="0" w:type="dxa"/>
            <w:vAlign w:val="bottom"/>
          </w:tcPr>
          <w:p>
            <w:pPr>
              <w:spacing w:after="0"/>
              <w:rPr>
                <w:sz w:val="1"/>
                <w:szCs w:val="1"/>
                <w:color w:val="auto"/>
              </w:rPr>
            </w:pPr>
          </w:p>
        </w:tc>
      </w:tr>
      <w:tr>
        <w:trPr>
          <w:trHeight w:val="358"/>
        </w:trPr>
        <w:tc>
          <w:tcPr>
            <w:tcW w:w="1280" w:type="dxa"/>
            <w:vAlign w:val="bottom"/>
            <w:tcBorders>
              <w:left w:val="single" w:sz="8" w:color="auto"/>
            </w:tcBorders>
            <w:gridSpan w:val="10"/>
          </w:tcPr>
          <w:p>
            <w:pPr>
              <w:ind w:left="20"/>
              <w:spacing w:after="0"/>
              <w:rPr>
                <w:rFonts w:ascii="Arial" w:cs="Arial" w:eastAsia="Arial" w:hAnsi="Arial"/>
                <w:sz w:val="18"/>
                <w:szCs w:val="18"/>
                <w:color w:val="0000EE"/>
              </w:rPr>
            </w:pPr>
            <w:hyperlink r:id="rId55">
              <w:r>
                <w:rPr>
                  <w:rFonts w:ascii="Arial" w:cs="Arial" w:eastAsia="Arial" w:hAnsi="Arial"/>
                  <w:sz w:val="18"/>
                  <w:szCs w:val="18"/>
                  <w:color w:val="0000EE"/>
                </w:rPr>
                <w:t>10(l)(xi)</w:t>
              </w:r>
            </w:hyperlink>
          </w:p>
        </w:tc>
        <w:tc>
          <w:tcPr>
            <w:tcW w:w="6320" w:type="dxa"/>
            <w:vAlign w:val="bottom"/>
            <w:gridSpan w:val="28"/>
          </w:tcPr>
          <w:p>
            <w:pPr>
              <w:spacing w:after="0"/>
              <w:rPr>
                <w:rFonts w:ascii="Arial" w:cs="Arial" w:eastAsia="Arial" w:hAnsi="Arial"/>
                <w:sz w:val="18"/>
                <w:szCs w:val="18"/>
                <w:color w:val="0000EE"/>
              </w:rPr>
            </w:pPr>
            <w:hyperlink r:id="rId55">
              <w:r>
                <w:rPr>
                  <w:rFonts w:ascii="Arial" w:cs="Arial" w:eastAsia="Arial" w:hAnsi="Arial"/>
                  <w:sz w:val="18"/>
                  <w:szCs w:val="18"/>
                  <w:color w:val="0000EE"/>
                </w:rPr>
                <w:t>Form of Restricted Stock Unit Award for units granted on August 28, 2018</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9/4/18</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12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top w:val="single" w:sz="8" w:color="0000EE"/>
              <w:bottom w:val="single" w:sz="8" w:color="auto"/>
            </w:tcBorders>
          </w:tcPr>
          <w:p>
            <w:pPr>
              <w:spacing w:after="0"/>
              <w:rPr>
                <w:sz w:val="15"/>
                <w:szCs w:val="15"/>
                <w:color w:val="auto"/>
              </w:rPr>
            </w:pPr>
          </w:p>
        </w:tc>
        <w:tc>
          <w:tcPr>
            <w:tcW w:w="760" w:type="dxa"/>
            <w:vAlign w:val="bottom"/>
            <w:tcBorders>
              <w:top w:val="single" w:sz="8" w:color="0000EE"/>
              <w:bottom w:val="single" w:sz="8" w:color="auto"/>
            </w:tcBorders>
          </w:tcPr>
          <w:p>
            <w:pPr>
              <w:spacing w:after="0"/>
              <w:rPr>
                <w:sz w:val="15"/>
                <w:szCs w:val="15"/>
                <w:color w:val="auto"/>
              </w:rPr>
            </w:pPr>
          </w:p>
        </w:tc>
        <w:tc>
          <w:tcPr>
            <w:tcW w:w="24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122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76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500" w:type="dxa"/>
            <w:vAlign w:val="bottom"/>
            <w:tcBorders>
              <w:top w:val="single" w:sz="8" w:color="0000EE"/>
              <w:bottom w:val="single" w:sz="8" w:color="auto"/>
            </w:tcBorders>
          </w:tcPr>
          <w:p>
            <w:pPr>
              <w:spacing w:after="0"/>
              <w:rPr>
                <w:sz w:val="15"/>
                <w:szCs w:val="15"/>
                <w:color w:val="auto"/>
              </w:rPr>
            </w:pPr>
          </w:p>
        </w:tc>
        <w:tc>
          <w:tcPr>
            <w:tcW w:w="120" w:type="dxa"/>
            <w:vAlign w:val="bottom"/>
            <w:tcBorders>
              <w:top w:val="single" w:sz="8" w:color="0000EE"/>
              <w:bottom w:val="single" w:sz="8" w:color="auto"/>
            </w:tcBorders>
          </w:tcPr>
          <w:p>
            <w:pPr>
              <w:spacing w:after="0"/>
              <w:rPr>
                <w:sz w:val="15"/>
                <w:szCs w:val="15"/>
                <w:color w:val="auto"/>
              </w:rPr>
            </w:pPr>
          </w:p>
        </w:tc>
        <w:tc>
          <w:tcPr>
            <w:tcW w:w="260" w:type="dxa"/>
            <w:vAlign w:val="bottom"/>
            <w:tcBorders>
              <w:top w:val="single" w:sz="8" w:color="0000EE"/>
              <w:bottom w:val="single" w:sz="8" w:color="auto"/>
            </w:tcBorders>
          </w:tcPr>
          <w:p>
            <w:pPr>
              <w:spacing w:after="0"/>
              <w:rPr>
                <w:sz w:val="15"/>
                <w:szCs w:val="15"/>
                <w:color w:val="auto"/>
              </w:rPr>
            </w:pPr>
          </w:p>
        </w:tc>
        <w:tc>
          <w:tcPr>
            <w:tcW w:w="580" w:type="dxa"/>
            <w:vAlign w:val="bottom"/>
            <w:tcBorders>
              <w:top w:val="single" w:sz="8" w:color="0000EE"/>
              <w:bottom w:val="single" w:sz="8" w:color="auto"/>
            </w:tcBorders>
          </w:tcPr>
          <w:p>
            <w:pPr>
              <w:spacing w:after="0"/>
              <w:rPr>
                <w:sz w:val="15"/>
                <w:szCs w:val="15"/>
                <w:color w:val="auto"/>
              </w:rPr>
            </w:pPr>
          </w:p>
        </w:tc>
        <w:tc>
          <w:tcPr>
            <w:tcW w:w="100" w:type="dxa"/>
            <w:vAlign w:val="bottom"/>
            <w:tcBorders>
              <w:top w:val="single" w:sz="8" w:color="0000EE"/>
              <w:bottom w:val="single" w:sz="8" w:color="auto"/>
            </w:tcBorders>
          </w:tcPr>
          <w:p>
            <w:pPr>
              <w:spacing w:after="0"/>
              <w:rPr>
                <w:sz w:val="15"/>
                <w:szCs w:val="15"/>
                <w:color w:val="auto"/>
              </w:rPr>
            </w:pPr>
          </w:p>
        </w:tc>
        <w:tc>
          <w:tcPr>
            <w:tcW w:w="100" w:type="dxa"/>
            <w:vAlign w:val="bottom"/>
            <w:tcBorders>
              <w:top w:val="single" w:sz="8" w:color="0000EE"/>
              <w:bottom w:val="single" w:sz="8" w:color="auto"/>
            </w:tcBorders>
          </w:tcPr>
          <w:p>
            <w:pPr>
              <w:spacing w:after="0"/>
              <w:rPr>
                <w:sz w:val="15"/>
                <w:szCs w:val="15"/>
                <w:color w:val="auto"/>
              </w:rPr>
            </w:pPr>
          </w:p>
        </w:tc>
        <w:tc>
          <w:tcPr>
            <w:tcW w:w="44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1280" w:type="dxa"/>
            <w:vAlign w:val="bottom"/>
            <w:tcBorders>
              <w:left w:val="single" w:sz="8" w:color="auto"/>
            </w:tcBorders>
            <w:gridSpan w:val="10"/>
          </w:tcPr>
          <w:p>
            <w:pPr>
              <w:ind w:left="20"/>
              <w:spacing w:after="0"/>
              <w:rPr>
                <w:sz w:val="20"/>
                <w:szCs w:val="20"/>
                <w:color w:val="auto"/>
              </w:rPr>
            </w:pPr>
            <w:r>
              <w:rPr>
                <w:rFonts w:ascii="Arial" w:cs="Arial" w:eastAsia="Arial" w:hAnsi="Arial"/>
                <w:sz w:val="18"/>
                <w:szCs w:val="18"/>
                <w:b w:val="1"/>
                <w:bCs w:val="1"/>
                <w:color w:val="auto"/>
                <w:w w:val="99"/>
              </w:rPr>
              <w:t>Stock Options</w:t>
            </w: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400" w:type="dxa"/>
            <w:vAlign w:val="bottom"/>
            <w:tcBorders>
              <w:left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36"/>
        </w:trPr>
        <w:tc>
          <w:tcPr>
            <w:tcW w:w="1280" w:type="dxa"/>
            <w:vAlign w:val="bottom"/>
            <w:tcBorders>
              <w:left w:val="single" w:sz="8" w:color="auto"/>
            </w:tcBorders>
            <w:gridSpan w:val="10"/>
          </w:tcPr>
          <w:p>
            <w:pPr>
              <w:ind w:left="20"/>
              <w:spacing w:after="0"/>
              <w:rPr>
                <w:sz w:val="20"/>
                <w:szCs w:val="20"/>
                <w:color w:val="auto"/>
              </w:rPr>
            </w:pPr>
            <w:r>
              <w:rPr>
                <w:rFonts w:ascii="Arial" w:cs="Arial" w:eastAsia="Arial" w:hAnsi="Arial"/>
                <w:sz w:val="18"/>
                <w:szCs w:val="18"/>
                <w:color w:val="auto"/>
              </w:rPr>
              <w:t>10(m)(i)</w:t>
            </w:r>
          </w:p>
        </w:tc>
        <w:tc>
          <w:tcPr>
            <w:tcW w:w="6320" w:type="dxa"/>
            <w:vAlign w:val="bottom"/>
            <w:gridSpan w:val="28"/>
          </w:tcPr>
          <w:p>
            <w:pPr>
              <w:spacing w:after="0"/>
              <w:rPr>
                <w:sz w:val="20"/>
                <w:szCs w:val="20"/>
                <w:color w:val="auto"/>
              </w:rPr>
            </w:pPr>
            <w:r>
              <w:rPr>
                <w:rFonts w:ascii="Arial" w:cs="Arial" w:eastAsia="Arial" w:hAnsi="Arial"/>
                <w:sz w:val="18"/>
                <w:szCs w:val="18"/>
                <w:color w:val="auto"/>
              </w:rPr>
              <w:t>1992 Stock Option Plan</w:t>
            </w:r>
          </w:p>
        </w:tc>
        <w:tc>
          <w:tcPr>
            <w:tcW w:w="900" w:type="dxa"/>
            <w:vAlign w:val="bottom"/>
          </w:tcPr>
          <w:p>
            <w:pPr>
              <w:spacing w:after="0"/>
              <w:rPr>
                <w:sz w:val="20"/>
                <w:szCs w:val="20"/>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0"/>
                <w:szCs w:val="20"/>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1/18/93</w:t>
            </w:r>
          </w:p>
        </w:tc>
        <w:tc>
          <w:tcPr>
            <w:tcW w:w="0" w:type="dxa"/>
            <w:vAlign w:val="bottom"/>
          </w:tcPr>
          <w:p>
            <w:pPr>
              <w:spacing w:after="0"/>
              <w:rPr>
                <w:sz w:val="1"/>
                <w:szCs w:val="1"/>
                <w:color w:val="auto"/>
              </w:rPr>
            </w:pPr>
          </w:p>
        </w:tc>
      </w:tr>
      <w:tr>
        <w:trPr>
          <w:trHeight w:val="355"/>
        </w:trPr>
        <w:tc>
          <w:tcPr>
            <w:tcW w:w="1280" w:type="dxa"/>
            <w:vAlign w:val="bottom"/>
            <w:tcBorders>
              <w:left w:val="single" w:sz="8" w:color="auto"/>
            </w:tcBorders>
            <w:gridSpan w:val="10"/>
          </w:tcPr>
          <w:p>
            <w:pPr>
              <w:ind w:left="20"/>
              <w:spacing w:after="0"/>
              <w:rPr>
                <w:sz w:val="20"/>
                <w:szCs w:val="20"/>
                <w:color w:val="auto"/>
              </w:rPr>
            </w:pPr>
            <w:r>
              <w:rPr>
                <w:rFonts w:ascii="Arial" w:cs="Arial" w:eastAsia="Arial" w:hAnsi="Arial"/>
                <w:sz w:val="18"/>
                <w:szCs w:val="18"/>
                <w:color w:val="auto"/>
              </w:rPr>
              <w:t>10(m)(ii)</w:t>
            </w:r>
          </w:p>
        </w:tc>
        <w:tc>
          <w:tcPr>
            <w:tcW w:w="6320" w:type="dxa"/>
            <w:vAlign w:val="bottom"/>
            <w:gridSpan w:val="28"/>
          </w:tcPr>
          <w:p>
            <w:pPr>
              <w:spacing w:after="0"/>
              <w:rPr>
                <w:sz w:val="20"/>
                <w:szCs w:val="20"/>
                <w:color w:val="auto"/>
              </w:rPr>
            </w:pPr>
            <w:r>
              <w:rPr>
                <w:rFonts w:ascii="Arial" w:cs="Arial" w:eastAsia="Arial" w:hAnsi="Arial"/>
                <w:sz w:val="18"/>
                <w:szCs w:val="18"/>
                <w:color w:val="auto"/>
              </w:rPr>
              <w:t>1997 Executive Stock Option Agreement</w:t>
            </w:r>
          </w:p>
        </w:tc>
        <w:tc>
          <w:tcPr>
            <w:tcW w:w="9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12/31/97</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3/13/98</w:t>
            </w:r>
          </w:p>
        </w:tc>
        <w:tc>
          <w:tcPr>
            <w:tcW w:w="0" w:type="dxa"/>
            <w:vAlign w:val="bottom"/>
          </w:tcPr>
          <w:p>
            <w:pPr>
              <w:spacing w:after="0"/>
              <w:rPr>
                <w:sz w:val="1"/>
                <w:szCs w:val="1"/>
                <w:color w:val="auto"/>
              </w:rPr>
            </w:pPr>
          </w:p>
        </w:tc>
      </w:tr>
      <w:tr>
        <w:trPr>
          <w:trHeight w:val="334"/>
        </w:trPr>
        <w:tc>
          <w:tcPr>
            <w:tcW w:w="740" w:type="dxa"/>
            <w:vAlign w:val="bottom"/>
            <w:tcBorders>
              <w:left w:val="single" w:sz="8" w:color="auto"/>
              <w:bottom w:val="single" w:sz="8" w:color="0000EE"/>
            </w:tcBorders>
            <w:gridSpan w:val="8"/>
          </w:tcPr>
          <w:p>
            <w:pPr>
              <w:ind w:left="20"/>
              <w:spacing w:after="0"/>
              <w:rPr>
                <w:rFonts w:ascii="Arial" w:cs="Arial" w:eastAsia="Arial" w:hAnsi="Arial"/>
                <w:sz w:val="18"/>
                <w:szCs w:val="18"/>
                <w:color w:val="0000EE"/>
                <w:w w:val="98"/>
              </w:rPr>
            </w:pPr>
            <w:hyperlink r:id="rId56">
              <w:r>
                <w:rPr>
                  <w:rFonts w:ascii="Arial" w:cs="Arial" w:eastAsia="Arial" w:hAnsi="Arial"/>
                  <w:sz w:val="18"/>
                  <w:szCs w:val="18"/>
                  <w:color w:val="0000EE"/>
                  <w:w w:val="98"/>
                </w:rPr>
                <w:t>10(m)(iii)</w:t>
              </w:r>
            </w:hyperlink>
          </w:p>
        </w:tc>
        <w:tc>
          <w:tcPr>
            <w:tcW w:w="540" w:type="dxa"/>
            <w:vAlign w:val="bottom"/>
            <w:gridSpan w:val="2"/>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96"/>
              </w:rPr>
            </w:pPr>
            <w:hyperlink r:id="rId56">
              <w:r>
                <w:rPr>
                  <w:rFonts w:ascii="Arial" w:cs="Arial" w:eastAsia="Arial" w:hAnsi="Arial"/>
                  <w:sz w:val="18"/>
                  <w:szCs w:val="18"/>
                  <w:color w:val="0000EE"/>
                  <w:w w:val="96"/>
                </w:rPr>
                <w:t>2011 Incentive Plan</w:t>
              </w:r>
            </w:hyperlink>
          </w:p>
        </w:tc>
        <w:tc>
          <w:tcPr>
            <w:tcW w:w="4760" w:type="dxa"/>
            <w:vAlign w:val="bottom"/>
            <w:gridSpan w:val="22"/>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6/1/11</w:t>
            </w:r>
          </w:p>
        </w:tc>
        <w:tc>
          <w:tcPr>
            <w:tcW w:w="0" w:type="dxa"/>
            <w:vAlign w:val="bottom"/>
          </w:tcPr>
          <w:p>
            <w:pPr>
              <w:spacing w:after="0"/>
              <w:rPr>
                <w:sz w:val="1"/>
                <w:szCs w:val="1"/>
                <w:color w:val="auto"/>
              </w:rPr>
            </w:pPr>
          </w:p>
        </w:tc>
      </w:tr>
      <w:tr>
        <w:trPr>
          <w:trHeight w:val="358"/>
        </w:trPr>
        <w:tc>
          <w:tcPr>
            <w:tcW w:w="1280" w:type="dxa"/>
            <w:vAlign w:val="bottom"/>
            <w:tcBorders>
              <w:left w:val="single" w:sz="8" w:color="auto"/>
            </w:tcBorders>
            <w:gridSpan w:val="10"/>
          </w:tcPr>
          <w:p>
            <w:pPr>
              <w:ind w:left="20"/>
              <w:spacing w:after="0"/>
              <w:rPr>
                <w:rFonts w:ascii="Arial" w:cs="Arial" w:eastAsia="Arial" w:hAnsi="Arial"/>
                <w:sz w:val="18"/>
                <w:szCs w:val="18"/>
                <w:color w:val="0000EE"/>
              </w:rPr>
            </w:pPr>
            <w:hyperlink r:id="rId57">
              <w:r>
                <w:rPr>
                  <w:rFonts w:ascii="Arial" w:cs="Arial" w:eastAsia="Arial" w:hAnsi="Arial"/>
                  <w:sz w:val="18"/>
                  <w:szCs w:val="18"/>
                  <w:color w:val="0000EE"/>
                </w:rPr>
                <w:t>10(m)(iv)</w:t>
              </w:r>
            </w:hyperlink>
          </w:p>
        </w:tc>
        <w:tc>
          <w:tcPr>
            <w:tcW w:w="6320" w:type="dxa"/>
            <w:vAlign w:val="bottom"/>
            <w:gridSpan w:val="28"/>
          </w:tcPr>
          <w:p>
            <w:pPr>
              <w:spacing w:after="0"/>
              <w:rPr>
                <w:rFonts w:ascii="Arial" w:cs="Arial" w:eastAsia="Arial" w:hAnsi="Arial"/>
                <w:sz w:val="18"/>
                <w:szCs w:val="18"/>
                <w:color w:val="0000EE"/>
              </w:rPr>
            </w:pPr>
            <w:hyperlink r:id="rId57">
              <w:r>
                <w:rPr>
                  <w:rFonts w:ascii="Arial" w:cs="Arial" w:eastAsia="Arial" w:hAnsi="Arial"/>
                  <w:sz w:val="18"/>
                  <w:szCs w:val="18"/>
                  <w:color w:val="0000EE"/>
                </w:rPr>
                <w:t>Form of 2011 Annual Performance Bonus Agreement</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4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 w:type="dxa"/>
            <w:vAlign w:val="bottom"/>
            <w:tcBorders>
              <w:left w:val="single" w:sz="8" w:color="auto"/>
            </w:tcBorders>
            <w:gridSpan w:val="8"/>
          </w:tcPr>
          <w:p>
            <w:pPr>
              <w:ind w:left="20"/>
              <w:spacing w:after="0"/>
              <w:rPr>
                <w:rFonts w:ascii="Arial" w:cs="Arial" w:eastAsia="Arial" w:hAnsi="Arial"/>
                <w:sz w:val="18"/>
                <w:szCs w:val="18"/>
                <w:color w:val="0000EE"/>
              </w:rPr>
            </w:pPr>
            <w:hyperlink r:id="rId58">
              <w:r>
                <w:rPr>
                  <w:rFonts w:ascii="Arial" w:cs="Arial" w:eastAsia="Arial" w:hAnsi="Arial"/>
                  <w:sz w:val="18"/>
                  <w:szCs w:val="18"/>
                  <w:color w:val="0000EE"/>
                </w:rPr>
                <w:t>10(m)(v)</w:t>
              </w:r>
            </w:hyperlink>
          </w:p>
        </w:tc>
        <w:tc>
          <w:tcPr>
            <w:tcW w:w="540" w:type="dxa"/>
            <w:vAlign w:val="bottom"/>
            <w:gridSpan w:val="2"/>
          </w:tcPr>
          <w:p>
            <w:pPr>
              <w:spacing w:after="0"/>
              <w:rPr>
                <w:sz w:val="24"/>
                <w:szCs w:val="24"/>
                <w:color w:val="auto"/>
              </w:rPr>
            </w:pPr>
          </w:p>
        </w:tc>
        <w:tc>
          <w:tcPr>
            <w:tcW w:w="6320" w:type="dxa"/>
            <w:vAlign w:val="bottom"/>
            <w:gridSpan w:val="28"/>
          </w:tcPr>
          <w:p>
            <w:pPr>
              <w:spacing w:after="0"/>
              <w:rPr>
                <w:rFonts w:ascii="Arial" w:cs="Arial" w:eastAsia="Arial" w:hAnsi="Arial"/>
                <w:sz w:val="18"/>
                <w:szCs w:val="18"/>
                <w:color w:val="0000EE"/>
              </w:rPr>
            </w:pPr>
            <w:hyperlink r:id="rId58">
              <w:r>
                <w:rPr>
                  <w:rFonts w:ascii="Arial" w:cs="Arial" w:eastAsia="Arial" w:hAnsi="Arial"/>
                  <w:sz w:val="18"/>
                  <w:szCs w:val="18"/>
                  <w:color w:val="0000EE"/>
                </w:rPr>
                <w:t>Form of 2011 Multi-Year Performance Bonus Agreement</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3/29/11</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120" w:type="dxa"/>
            <w:vAlign w:val="bottom"/>
            <w:tcBorders>
              <w:top w:val="single" w:sz="8" w:color="0000EE"/>
              <w:bottom w:val="single" w:sz="8" w:color="auto"/>
            </w:tcBorders>
          </w:tcPr>
          <w:p>
            <w:pPr>
              <w:spacing w:after="0"/>
              <w:rPr>
                <w:sz w:val="15"/>
                <w:szCs w:val="15"/>
                <w:color w:val="auto"/>
              </w:rPr>
            </w:pPr>
          </w:p>
        </w:tc>
        <w:tc>
          <w:tcPr>
            <w:tcW w:w="40" w:type="dxa"/>
            <w:vAlign w:val="bottom"/>
            <w:tcBorders>
              <w:top w:val="single" w:sz="8" w:color="0000EE"/>
              <w:bottom w:val="single" w:sz="8" w:color="auto"/>
            </w:tcBorders>
          </w:tcPr>
          <w:p>
            <w:pPr>
              <w:spacing w:after="0"/>
              <w:rPr>
                <w:sz w:val="15"/>
                <w:szCs w:val="15"/>
                <w:color w:val="auto"/>
              </w:rPr>
            </w:pPr>
          </w:p>
        </w:tc>
        <w:tc>
          <w:tcPr>
            <w:tcW w:w="60" w:type="dxa"/>
            <w:vAlign w:val="bottom"/>
            <w:tcBorders>
              <w:top w:val="single" w:sz="8" w:color="0000EE"/>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top w:val="single" w:sz="8" w:color="0000EE"/>
              <w:bottom w:val="single" w:sz="8" w:color="auto"/>
            </w:tcBorders>
          </w:tcPr>
          <w:p>
            <w:pPr>
              <w:spacing w:after="0"/>
              <w:rPr>
                <w:sz w:val="15"/>
                <w:szCs w:val="15"/>
                <w:color w:val="auto"/>
              </w:rPr>
            </w:pPr>
          </w:p>
        </w:tc>
        <w:tc>
          <w:tcPr>
            <w:tcW w:w="760" w:type="dxa"/>
            <w:vAlign w:val="bottom"/>
            <w:tcBorders>
              <w:top w:val="single" w:sz="8" w:color="0000EE"/>
              <w:bottom w:val="single" w:sz="8" w:color="auto"/>
            </w:tcBorders>
          </w:tcPr>
          <w:p>
            <w:pPr>
              <w:spacing w:after="0"/>
              <w:rPr>
                <w:sz w:val="15"/>
                <w:szCs w:val="15"/>
                <w:color w:val="auto"/>
              </w:rPr>
            </w:pPr>
          </w:p>
        </w:tc>
        <w:tc>
          <w:tcPr>
            <w:tcW w:w="24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122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76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500" w:type="dxa"/>
            <w:vAlign w:val="bottom"/>
            <w:tcBorders>
              <w:top w:val="single" w:sz="8" w:color="0000EE"/>
              <w:bottom w:val="single" w:sz="8" w:color="auto"/>
            </w:tcBorders>
          </w:tcPr>
          <w:p>
            <w:pPr>
              <w:spacing w:after="0"/>
              <w:rPr>
                <w:sz w:val="15"/>
                <w:szCs w:val="15"/>
                <w:color w:val="auto"/>
              </w:rPr>
            </w:pPr>
          </w:p>
        </w:tc>
        <w:tc>
          <w:tcPr>
            <w:tcW w:w="120" w:type="dxa"/>
            <w:vAlign w:val="bottom"/>
            <w:tcBorders>
              <w:top w:val="single" w:sz="8" w:color="0000EE"/>
              <w:bottom w:val="single" w:sz="8" w:color="auto"/>
            </w:tcBorders>
          </w:tcPr>
          <w:p>
            <w:pPr>
              <w:spacing w:after="0"/>
              <w:rPr>
                <w:sz w:val="15"/>
                <w:szCs w:val="15"/>
                <w:color w:val="auto"/>
              </w:rPr>
            </w:pPr>
          </w:p>
        </w:tc>
        <w:tc>
          <w:tcPr>
            <w:tcW w:w="260" w:type="dxa"/>
            <w:vAlign w:val="bottom"/>
            <w:tcBorders>
              <w:top w:val="single" w:sz="8" w:color="0000EE"/>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7600" w:type="dxa"/>
            <w:vAlign w:val="bottom"/>
            <w:tcBorders>
              <w:left w:val="single" w:sz="8" w:color="auto"/>
            </w:tcBorders>
            <w:gridSpan w:val="38"/>
          </w:tcPr>
          <w:p>
            <w:pPr>
              <w:ind w:left="20"/>
              <w:spacing w:after="0"/>
              <w:rPr>
                <w:sz w:val="20"/>
                <w:szCs w:val="20"/>
                <w:color w:val="auto"/>
              </w:rPr>
            </w:pPr>
            <w:r>
              <w:rPr>
                <w:rFonts w:ascii="Arial" w:cs="Arial" w:eastAsia="Arial" w:hAnsi="Arial"/>
                <w:sz w:val="18"/>
                <w:szCs w:val="18"/>
                <w:b w:val="1"/>
                <w:bCs w:val="1"/>
                <w:color w:val="auto"/>
              </w:rPr>
              <w:t>Executive Compensation</w:t>
            </w:r>
          </w:p>
        </w:tc>
        <w:tc>
          <w:tcPr>
            <w:tcW w:w="9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5"/>
        </w:trPr>
        <w:tc>
          <w:tcPr>
            <w:tcW w:w="400" w:type="dxa"/>
            <w:vAlign w:val="bottom"/>
            <w:tcBorders>
              <w:left w:val="single" w:sz="8" w:color="auto"/>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1280" w:type="dxa"/>
            <w:vAlign w:val="bottom"/>
            <w:tcBorders>
              <w:left w:val="single" w:sz="8" w:color="auto"/>
            </w:tcBorders>
            <w:gridSpan w:val="10"/>
          </w:tcPr>
          <w:p>
            <w:pPr>
              <w:ind w:left="20"/>
              <w:spacing w:after="0" w:line="170" w:lineRule="exact"/>
              <w:rPr>
                <w:rFonts w:ascii="Arial" w:cs="Arial" w:eastAsia="Arial" w:hAnsi="Arial"/>
                <w:sz w:val="18"/>
                <w:szCs w:val="18"/>
                <w:color w:val="0000EE"/>
              </w:rPr>
            </w:pPr>
            <w:hyperlink r:id="rId59">
              <w:r>
                <w:rPr>
                  <w:rFonts w:ascii="Arial" w:cs="Arial" w:eastAsia="Arial" w:hAnsi="Arial"/>
                  <w:sz w:val="18"/>
                  <w:szCs w:val="18"/>
                  <w:color w:val="0000EE"/>
                </w:rPr>
                <w:t>10(n)(i)</w:t>
              </w:r>
            </w:hyperlink>
          </w:p>
        </w:tc>
        <w:tc>
          <w:tcPr>
            <w:tcW w:w="6320" w:type="dxa"/>
            <w:vAlign w:val="bottom"/>
            <w:gridSpan w:val="28"/>
          </w:tcPr>
          <w:p>
            <w:pPr>
              <w:spacing w:after="0" w:line="170" w:lineRule="exact"/>
              <w:rPr>
                <w:rFonts w:ascii="Arial" w:cs="Arial" w:eastAsia="Arial" w:hAnsi="Arial"/>
                <w:sz w:val="18"/>
                <w:szCs w:val="18"/>
                <w:color w:val="0000EE"/>
              </w:rPr>
            </w:pPr>
            <w:hyperlink r:id="rId59">
              <w:r>
                <w:rPr>
                  <w:rFonts w:ascii="Arial" w:cs="Arial" w:eastAsia="Arial" w:hAnsi="Arial"/>
                  <w:sz w:val="18"/>
                  <w:szCs w:val="18"/>
                  <w:color w:val="0000EE"/>
                </w:rPr>
                <w:t>Supplemental Executive Retirement Plan, adopted as of January 1, 1994, as</w:t>
              </w:r>
            </w:hyperlink>
          </w:p>
        </w:tc>
        <w:tc>
          <w:tcPr>
            <w:tcW w:w="900" w:type="dxa"/>
            <w:vAlign w:val="bottom"/>
          </w:tcPr>
          <w:p>
            <w:pPr>
              <w:spacing w:after="0"/>
              <w:rPr>
                <w:sz w:val="14"/>
                <w:szCs w:val="14"/>
                <w:color w:val="auto"/>
              </w:rPr>
            </w:pPr>
          </w:p>
        </w:tc>
        <w:tc>
          <w:tcPr>
            <w:tcW w:w="1220" w:type="dxa"/>
            <w:vAlign w:val="bottom"/>
          </w:tcPr>
          <w:p>
            <w:pPr>
              <w:jc w:val="center"/>
              <w:ind w:left="10"/>
              <w:spacing w:after="0" w:line="170" w:lineRule="exact"/>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14"/>
                <w:szCs w:val="14"/>
                <w:color w:val="auto"/>
              </w:rPr>
            </w:pPr>
          </w:p>
        </w:tc>
        <w:tc>
          <w:tcPr>
            <w:tcW w:w="840" w:type="dxa"/>
            <w:vAlign w:val="bottom"/>
            <w:tcBorders>
              <w:right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1/2/08</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56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8"/>
              </w:rPr>
            </w:pPr>
            <w:hyperlink r:id="rId59">
              <w:r>
                <w:rPr>
                  <w:rFonts w:ascii="Arial" w:cs="Arial" w:eastAsia="Arial" w:hAnsi="Arial"/>
                  <w:sz w:val="18"/>
                  <w:szCs w:val="18"/>
                  <w:color w:val="0000EE"/>
                  <w:w w:val="98"/>
                </w:rPr>
                <w:t>amended and restated as of January 1, 2008</w:t>
              </w:r>
            </w:hyperlink>
          </w:p>
        </w:tc>
        <w:tc>
          <w:tcPr>
            <w:tcW w:w="2500" w:type="dxa"/>
            <w:vAlign w:val="bottom"/>
            <w:tcBorders>
              <w:top w:val="single" w:sz="8" w:color="0000EE"/>
            </w:tcBorders>
            <w:gridSpan w:val="16"/>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280" w:type="dxa"/>
            <w:vAlign w:val="bottom"/>
            <w:tcBorders>
              <w:left w:val="single" w:sz="8" w:color="auto"/>
            </w:tcBorders>
            <w:gridSpan w:val="10"/>
          </w:tcPr>
          <w:p>
            <w:pPr>
              <w:ind w:left="20"/>
              <w:spacing w:after="0"/>
              <w:rPr>
                <w:rFonts w:ascii="Arial" w:cs="Arial" w:eastAsia="Arial" w:hAnsi="Arial"/>
                <w:sz w:val="18"/>
                <w:szCs w:val="18"/>
                <w:color w:val="0000EE"/>
              </w:rPr>
            </w:pPr>
            <w:hyperlink r:id="rId60">
              <w:r>
                <w:rPr>
                  <w:rFonts w:ascii="Arial" w:cs="Arial" w:eastAsia="Arial" w:hAnsi="Arial"/>
                  <w:sz w:val="18"/>
                  <w:szCs w:val="18"/>
                  <w:color w:val="0000EE"/>
                </w:rPr>
                <w:t>10(n)(ii)</w:t>
              </w:r>
            </w:hyperlink>
          </w:p>
        </w:tc>
        <w:tc>
          <w:tcPr>
            <w:tcW w:w="6320" w:type="dxa"/>
            <w:vAlign w:val="bottom"/>
            <w:gridSpan w:val="28"/>
          </w:tcPr>
          <w:p>
            <w:pPr>
              <w:spacing w:after="0"/>
              <w:rPr>
                <w:rFonts w:ascii="Arial" w:cs="Arial" w:eastAsia="Arial" w:hAnsi="Arial"/>
                <w:sz w:val="18"/>
                <w:szCs w:val="18"/>
                <w:color w:val="0000EE"/>
              </w:rPr>
            </w:pPr>
            <w:hyperlink r:id="rId60">
              <w:r>
                <w:rPr>
                  <w:rFonts w:ascii="Arial" w:cs="Arial" w:eastAsia="Arial" w:hAnsi="Arial"/>
                  <w:sz w:val="18"/>
                  <w:szCs w:val="18"/>
                  <w:color w:val="0000EE"/>
                </w:rPr>
                <w:t>Annual Bonus Program, as amended and restated as of March 29, 2017</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8"/>
              </w:rPr>
              <w:t>Def 14A</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3/29/17</w:t>
            </w: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right w:val="single" w:sz="8" w:color="0000EE"/>
            </w:tcBorders>
            <w:gridSpan w:val="4"/>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660" w:type="dxa"/>
            <w:vAlign w:val="bottom"/>
            <w:gridSpan w:val="6"/>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tcBorders>
              <w:left w:val="single" w:sz="8" w:color="auto"/>
            </w:tcBorders>
            <w:gridSpan w:val="10"/>
          </w:tcPr>
          <w:p>
            <w:pPr>
              <w:ind w:left="20"/>
              <w:spacing w:after="0"/>
              <w:rPr>
                <w:rFonts w:ascii="Arial" w:cs="Arial" w:eastAsia="Arial" w:hAnsi="Arial"/>
                <w:sz w:val="18"/>
                <w:szCs w:val="18"/>
                <w:color w:val="0000EE"/>
              </w:rPr>
            </w:pPr>
            <w:hyperlink r:id="rId61">
              <w:r>
                <w:rPr>
                  <w:rFonts w:ascii="Arial" w:cs="Arial" w:eastAsia="Arial" w:hAnsi="Arial"/>
                  <w:sz w:val="18"/>
                  <w:szCs w:val="18"/>
                  <w:color w:val="0000EE"/>
                </w:rPr>
                <w:t>10(o)(iv)</w:t>
              </w:r>
            </w:hyperlink>
          </w:p>
        </w:tc>
        <w:tc>
          <w:tcPr>
            <w:tcW w:w="6320" w:type="dxa"/>
            <w:vAlign w:val="bottom"/>
            <w:gridSpan w:val="28"/>
          </w:tcPr>
          <w:p>
            <w:pPr>
              <w:spacing w:after="0"/>
              <w:rPr>
                <w:rFonts w:ascii="Arial" w:cs="Arial" w:eastAsia="Arial" w:hAnsi="Arial"/>
                <w:sz w:val="18"/>
                <w:szCs w:val="18"/>
                <w:color w:val="0000EE"/>
              </w:rPr>
            </w:pPr>
            <w:hyperlink r:id="rId61">
              <w:r>
                <w:rPr>
                  <w:rFonts w:ascii="Arial" w:cs="Arial" w:eastAsia="Arial" w:hAnsi="Arial"/>
                  <w:sz w:val="18"/>
                  <w:szCs w:val="18"/>
                  <w:color w:val="0000EE"/>
                </w:rPr>
                <w:t>Directors’ Annual Retainer Plan, as amended and restated as of February 23,</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5/16/18</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89"/>
              </w:rPr>
            </w:pPr>
            <w:hyperlink r:id="rId61">
              <w:r>
                <w:rPr>
                  <w:rFonts w:ascii="Arial" w:cs="Arial" w:eastAsia="Arial" w:hAnsi="Arial"/>
                  <w:sz w:val="18"/>
                  <w:szCs w:val="18"/>
                  <w:color w:val="0000EE"/>
                  <w:w w:val="89"/>
                </w:rPr>
                <w:t>2018</w:t>
              </w:r>
            </w:hyperlink>
          </w:p>
        </w:tc>
        <w:tc>
          <w:tcPr>
            <w:tcW w:w="7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280" w:type="dxa"/>
            <w:vAlign w:val="bottom"/>
            <w:tcBorders>
              <w:left w:val="single" w:sz="8" w:color="auto"/>
            </w:tcBorders>
            <w:gridSpan w:val="10"/>
          </w:tcPr>
          <w:p>
            <w:pPr>
              <w:ind w:left="20"/>
              <w:spacing w:after="0"/>
              <w:rPr>
                <w:rFonts w:ascii="Arial" w:cs="Arial" w:eastAsia="Arial" w:hAnsi="Arial"/>
                <w:sz w:val="18"/>
                <w:szCs w:val="18"/>
                <w:color w:val="0000EE"/>
              </w:rPr>
            </w:pPr>
            <w:hyperlink r:id="rId62">
              <w:r>
                <w:rPr>
                  <w:rFonts w:ascii="Arial" w:cs="Arial" w:eastAsia="Arial" w:hAnsi="Arial"/>
                  <w:sz w:val="18"/>
                  <w:szCs w:val="18"/>
                  <w:color w:val="0000EE"/>
                </w:rPr>
                <w:t>10(o)(viii)</w:t>
              </w:r>
            </w:hyperlink>
          </w:p>
        </w:tc>
        <w:tc>
          <w:tcPr>
            <w:tcW w:w="6320" w:type="dxa"/>
            <w:vAlign w:val="bottom"/>
            <w:gridSpan w:val="28"/>
          </w:tcPr>
          <w:p>
            <w:pPr>
              <w:spacing w:after="0"/>
              <w:rPr>
                <w:rFonts w:ascii="Arial" w:cs="Arial" w:eastAsia="Arial" w:hAnsi="Arial"/>
                <w:sz w:val="18"/>
                <w:szCs w:val="18"/>
                <w:color w:val="0000EE"/>
              </w:rPr>
            </w:pPr>
            <w:hyperlink r:id="rId62">
              <w:r>
                <w:rPr>
                  <w:rFonts w:ascii="Arial" w:cs="Arial" w:eastAsia="Arial" w:hAnsi="Arial"/>
                  <w:sz w:val="18"/>
                  <w:szCs w:val="18"/>
                  <w:color w:val="0000EE"/>
                </w:rPr>
                <w:t>Form of Severance Agreement between Albany International Corp. and certain</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1/4/16</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00" w:type="dxa"/>
            <w:vAlign w:val="bottom"/>
          </w:tcPr>
          <w:p>
            <w:pPr>
              <w:spacing w:after="0"/>
              <w:rPr>
                <w:sz w:val="15"/>
                <w:szCs w:val="15"/>
                <w:color w:val="auto"/>
              </w:rPr>
            </w:pPr>
          </w:p>
        </w:tc>
        <w:tc>
          <w:tcPr>
            <w:tcW w:w="28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8"/>
              </w:rPr>
            </w:pPr>
            <w:hyperlink r:id="rId62">
              <w:r>
                <w:rPr>
                  <w:rFonts w:ascii="Arial" w:cs="Arial" w:eastAsia="Arial" w:hAnsi="Arial"/>
                  <w:sz w:val="18"/>
                  <w:szCs w:val="18"/>
                  <w:color w:val="0000EE"/>
                  <w:w w:val="98"/>
                </w:rPr>
                <w:t>corporate officers or key executives</w:t>
              </w:r>
            </w:hyperlink>
          </w:p>
        </w:tc>
        <w:tc>
          <w:tcPr>
            <w:tcW w:w="3440" w:type="dxa"/>
            <w:vAlign w:val="bottom"/>
            <w:tcBorders>
              <w:top w:val="single" w:sz="8" w:color="0000EE"/>
            </w:tcBorders>
            <w:gridSpan w:val="19"/>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80" w:type="dxa"/>
            <w:vAlign w:val="bottom"/>
            <w:tcBorders>
              <w:left w:val="single" w:sz="8" w:color="auto"/>
            </w:tcBorders>
            <w:gridSpan w:val="3"/>
          </w:tcPr>
          <w:p>
            <w:pPr>
              <w:ind w:left="20"/>
              <w:spacing w:after="0"/>
              <w:rPr>
                <w:rFonts w:ascii="Arial" w:cs="Arial" w:eastAsia="Arial" w:hAnsi="Arial"/>
                <w:sz w:val="18"/>
                <w:szCs w:val="18"/>
                <w:color w:val="0000EE"/>
                <w:w w:val="99"/>
              </w:rPr>
            </w:pPr>
            <w:hyperlink r:id="rId53">
              <w:r>
                <w:rPr>
                  <w:rFonts w:ascii="Arial" w:cs="Arial" w:eastAsia="Arial" w:hAnsi="Arial"/>
                  <w:sz w:val="18"/>
                  <w:szCs w:val="18"/>
                  <w:color w:val="0000EE"/>
                  <w:w w:val="99"/>
                </w:rPr>
                <w:t>10(p)</w:t>
              </w:r>
            </w:hyperlink>
          </w:p>
        </w:tc>
        <w:tc>
          <w:tcPr>
            <w:tcW w:w="800" w:type="dxa"/>
            <w:vAlign w:val="bottom"/>
            <w:gridSpan w:val="7"/>
          </w:tcPr>
          <w:p>
            <w:pPr>
              <w:spacing w:after="0"/>
              <w:rPr>
                <w:sz w:val="24"/>
                <w:szCs w:val="24"/>
                <w:color w:val="auto"/>
              </w:rPr>
            </w:pPr>
          </w:p>
        </w:tc>
        <w:tc>
          <w:tcPr>
            <w:tcW w:w="6320" w:type="dxa"/>
            <w:vAlign w:val="bottom"/>
            <w:gridSpan w:val="28"/>
          </w:tcPr>
          <w:p>
            <w:pPr>
              <w:spacing w:after="0"/>
              <w:rPr>
                <w:rFonts w:ascii="Arial" w:cs="Arial" w:eastAsia="Arial" w:hAnsi="Arial"/>
                <w:sz w:val="18"/>
                <w:szCs w:val="18"/>
                <w:color w:val="0000EE"/>
              </w:rPr>
            </w:pPr>
            <w:hyperlink r:id="rId53">
              <w:r>
                <w:rPr>
                  <w:rFonts w:ascii="Arial" w:cs="Arial" w:eastAsia="Arial" w:hAnsi="Arial"/>
                  <w:sz w:val="18"/>
                  <w:szCs w:val="18"/>
                  <w:color w:val="0000EE"/>
                </w:rPr>
                <w:t>Code of Ethics</w:t>
              </w:r>
            </w:hyperlink>
          </w:p>
        </w:tc>
        <w:tc>
          <w:tcPr>
            <w:tcW w:w="9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12/31/03</w:t>
            </w: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3/11/04</w:t>
            </w:r>
          </w:p>
        </w:tc>
        <w:tc>
          <w:tcPr>
            <w:tcW w:w="0" w:type="dxa"/>
            <w:vAlign w:val="bottom"/>
          </w:tcPr>
          <w:p>
            <w:pPr>
              <w:spacing w:after="0"/>
              <w:rPr>
                <w:sz w:val="1"/>
                <w:szCs w:val="1"/>
                <w:color w:val="auto"/>
              </w:rPr>
            </w:pPr>
          </w:p>
        </w:tc>
      </w:tr>
      <w:tr>
        <w:trPr>
          <w:trHeight w:val="20"/>
        </w:trPr>
        <w:tc>
          <w:tcPr>
            <w:tcW w:w="400" w:type="dxa"/>
            <w:vAlign w:val="bottom"/>
            <w:tcBorders>
              <w:left w:val="single" w:sz="8" w:color="auto"/>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0" w:type="dxa"/>
            <w:vAlign w:val="bottom"/>
            <w:tcBorders>
              <w:right w:val="single" w:sz="8" w:color="0000EE"/>
            </w:tcBorders>
            <w:gridSpan w:val="7"/>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80" w:type="dxa"/>
            <w:vAlign w:val="bottom"/>
            <w:tcBorders>
              <w:left w:val="single" w:sz="8" w:color="auto"/>
              <w:bottom w:val="single" w:sz="8" w:color="0000EE"/>
            </w:tcBorders>
            <w:gridSpan w:val="3"/>
          </w:tcPr>
          <w:p>
            <w:pPr>
              <w:ind w:left="20"/>
              <w:spacing w:after="0"/>
              <w:rPr>
                <w:rFonts w:ascii="Arial" w:cs="Arial" w:eastAsia="Arial" w:hAnsi="Arial"/>
                <w:sz w:val="18"/>
                <w:szCs w:val="18"/>
                <w:color w:val="0000EE"/>
                <w:w w:val="99"/>
              </w:rPr>
            </w:pPr>
            <w:hyperlink r:id="rId63">
              <w:r>
                <w:rPr>
                  <w:rFonts w:ascii="Arial" w:cs="Arial" w:eastAsia="Arial" w:hAnsi="Arial"/>
                  <w:sz w:val="18"/>
                  <w:szCs w:val="18"/>
                  <w:color w:val="0000EE"/>
                  <w:w w:val="99"/>
                </w:rPr>
                <w:t>10(q)</w:t>
              </w:r>
            </w:hyperlink>
          </w:p>
        </w:tc>
        <w:tc>
          <w:tcPr>
            <w:tcW w:w="800" w:type="dxa"/>
            <w:vAlign w:val="bottom"/>
            <w:gridSpan w:val="7"/>
          </w:tcPr>
          <w:p>
            <w:pPr>
              <w:spacing w:after="0"/>
              <w:rPr>
                <w:sz w:val="24"/>
                <w:szCs w:val="24"/>
                <w:color w:val="auto"/>
              </w:rPr>
            </w:pPr>
          </w:p>
        </w:tc>
        <w:tc>
          <w:tcPr>
            <w:tcW w:w="5240" w:type="dxa"/>
            <w:vAlign w:val="bottom"/>
            <w:tcBorders>
              <w:bottom w:val="single" w:sz="8" w:color="0000EE"/>
            </w:tcBorders>
            <w:gridSpan w:val="16"/>
          </w:tcPr>
          <w:p>
            <w:pPr>
              <w:spacing w:after="0"/>
              <w:rPr>
                <w:rFonts w:ascii="Arial" w:cs="Arial" w:eastAsia="Arial" w:hAnsi="Arial"/>
                <w:sz w:val="18"/>
                <w:szCs w:val="18"/>
                <w:color w:val="0000EE"/>
                <w:w w:val="99"/>
              </w:rPr>
            </w:pPr>
            <w:hyperlink r:id="rId63">
              <w:r>
                <w:rPr>
                  <w:rFonts w:ascii="Arial" w:cs="Arial" w:eastAsia="Arial" w:hAnsi="Arial"/>
                  <w:sz w:val="18"/>
                  <w:szCs w:val="18"/>
                  <w:color w:val="0000EE"/>
                  <w:w w:val="99"/>
                </w:rPr>
                <w:t>Directors Pension Plan, amendment dated as of January 12, 2005</w:t>
              </w:r>
            </w:hyperlink>
          </w:p>
        </w:tc>
        <w:tc>
          <w:tcPr>
            <w:tcW w:w="1080" w:type="dxa"/>
            <w:vAlign w:val="bottom"/>
            <w:gridSpan w:val="12"/>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1/13/05</w:t>
            </w:r>
          </w:p>
        </w:tc>
        <w:tc>
          <w:tcPr>
            <w:tcW w:w="0" w:type="dxa"/>
            <w:vAlign w:val="bottom"/>
          </w:tcPr>
          <w:p>
            <w:pPr>
              <w:spacing w:after="0"/>
              <w:rPr>
                <w:sz w:val="1"/>
                <w:szCs w:val="1"/>
                <w:color w:val="auto"/>
              </w:rPr>
            </w:pPr>
          </w:p>
        </w:tc>
      </w:tr>
      <w:tr>
        <w:trPr>
          <w:trHeight w:val="358"/>
        </w:trPr>
        <w:tc>
          <w:tcPr>
            <w:tcW w:w="1280" w:type="dxa"/>
            <w:vAlign w:val="bottom"/>
            <w:tcBorders>
              <w:left w:val="single" w:sz="8" w:color="auto"/>
            </w:tcBorders>
            <w:gridSpan w:val="10"/>
          </w:tcPr>
          <w:p>
            <w:pPr>
              <w:ind w:left="20"/>
              <w:spacing w:after="0"/>
              <w:rPr>
                <w:rFonts w:ascii="Arial" w:cs="Arial" w:eastAsia="Arial" w:hAnsi="Arial"/>
                <w:sz w:val="18"/>
                <w:szCs w:val="18"/>
                <w:color w:val="0000EE"/>
              </w:rPr>
            </w:pPr>
            <w:hyperlink r:id="rId64">
              <w:r>
                <w:rPr>
                  <w:rFonts w:ascii="Arial" w:cs="Arial" w:eastAsia="Arial" w:hAnsi="Arial"/>
                  <w:sz w:val="18"/>
                  <w:szCs w:val="18"/>
                  <w:color w:val="0000EE"/>
                </w:rPr>
                <w:t>10(r)</w:t>
              </w:r>
            </w:hyperlink>
          </w:p>
        </w:tc>
        <w:tc>
          <w:tcPr>
            <w:tcW w:w="6320" w:type="dxa"/>
            <w:vAlign w:val="bottom"/>
            <w:gridSpan w:val="28"/>
          </w:tcPr>
          <w:p>
            <w:pPr>
              <w:spacing w:after="0"/>
              <w:rPr>
                <w:rFonts w:ascii="Arial" w:cs="Arial" w:eastAsia="Arial" w:hAnsi="Arial"/>
                <w:sz w:val="18"/>
                <w:szCs w:val="18"/>
                <w:color w:val="0000EE"/>
              </w:rPr>
            </w:pPr>
            <w:hyperlink r:id="rId64">
              <w:r>
                <w:rPr>
                  <w:rFonts w:ascii="Arial" w:cs="Arial" w:eastAsia="Arial" w:hAnsi="Arial"/>
                  <w:sz w:val="18"/>
                  <w:szCs w:val="18"/>
                  <w:color w:val="0000EE"/>
                </w:rPr>
                <w:t>Employment agreement, dated May 12, 2005, between the Company and</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5/18/05</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6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7"/>
              </w:rPr>
            </w:pPr>
            <w:hyperlink r:id="rId64">
              <w:r>
                <w:rPr>
                  <w:rFonts w:ascii="Arial" w:cs="Arial" w:eastAsia="Arial" w:hAnsi="Arial"/>
                  <w:sz w:val="18"/>
                  <w:szCs w:val="18"/>
                  <w:color w:val="0000EE"/>
                  <w:w w:val="97"/>
                </w:rPr>
                <w:t>Joseph G. Morone</w:t>
              </w:r>
            </w:hyperlink>
          </w:p>
        </w:tc>
        <w:tc>
          <w:tcPr>
            <w:tcW w:w="4360" w:type="dxa"/>
            <w:vAlign w:val="bottom"/>
            <w:tcBorders>
              <w:top w:val="single" w:sz="8" w:color="0000EE"/>
            </w:tcBorders>
            <w:gridSpan w:val="16"/>
          </w:tcPr>
          <w:p>
            <w:pPr>
              <w:spacing w:after="0"/>
              <w:rPr>
                <w:sz w:val="15"/>
                <w:szCs w:val="15"/>
                <w:color w:val="auto"/>
              </w:rPr>
            </w:pPr>
          </w:p>
        </w:tc>
        <w:tc>
          <w:tcPr>
            <w:tcW w:w="80" w:type="dxa"/>
            <w:vAlign w:val="bottom"/>
            <w:gridSpan w:val="3"/>
          </w:tcPr>
          <w:p>
            <w:pPr>
              <w:spacing w:after="0"/>
              <w:rPr>
                <w:sz w:val="15"/>
                <w:szCs w:val="15"/>
                <w:color w:val="auto"/>
              </w:rPr>
            </w:pPr>
          </w:p>
        </w:tc>
        <w:tc>
          <w:tcPr>
            <w:tcW w:w="4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440" w:type="dxa"/>
            <w:vAlign w:val="bottom"/>
            <w:tcBorders>
              <w:left w:val="single" w:sz="8" w:color="auto"/>
            </w:tcBorders>
            <w:gridSpan w:val="2"/>
          </w:tcPr>
          <w:p>
            <w:pPr>
              <w:ind w:left="20"/>
              <w:spacing w:after="0"/>
              <w:rPr>
                <w:rFonts w:ascii="Arial" w:cs="Arial" w:eastAsia="Arial" w:hAnsi="Arial"/>
                <w:sz w:val="18"/>
                <w:szCs w:val="18"/>
                <w:color w:val="0000EE"/>
                <w:w w:val="97"/>
              </w:rPr>
            </w:pPr>
            <w:hyperlink r:id="rId65">
              <w:r>
                <w:rPr>
                  <w:rFonts w:ascii="Arial" w:cs="Arial" w:eastAsia="Arial" w:hAnsi="Arial"/>
                  <w:sz w:val="18"/>
                  <w:szCs w:val="18"/>
                  <w:color w:val="0000EE"/>
                  <w:w w:val="97"/>
                </w:rPr>
                <w:t>10(s)</w:t>
              </w:r>
            </w:hyperlink>
          </w:p>
        </w:tc>
        <w:tc>
          <w:tcPr>
            <w:tcW w:w="840" w:type="dxa"/>
            <w:vAlign w:val="bottom"/>
            <w:gridSpan w:val="8"/>
          </w:tcPr>
          <w:p>
            <w:pPr>
              <w:spacing w:after="0"/>
              <w:rPr>
                <w:sz w:val="24"/>
                <w:szCs w:val="24"/>
                <w:color w:val="auto"/>
              </w:rPr>
            </w:pPr>
          </w:p>
        </w:tc>
        <w:tc>
          <w:tcPr>
            <w:tcW w:w="6320" w:type="dxa"/>
            <w:vAlign w:val="bottom"/>
            <w:gridSpan w:val="28"/>
          </w:tcPr>
          <w:p>
            <w:pPr>
              <w:spacing w:after="0"/>
              <w:rPr>
                <w:rFonts w:ascii="Arial" w:cs="Arial" w:eastAsia="Arial" w:hAnsi="Arial"/>
                <w:sz w:val="18"/>
                <w:szCs w:val="18"/>
                <w:color w:val="0000EE"/>
              </w:rPr>
            </w:pPr>
            <w:hyperlink r:id="rId65">
              <w:r>
                <w:rPr>
                  <w:rFonts w:ascii="Arial" w:cs="Arial" w:eastAsia="Arial" w:hAnsi="Arial"/>
                  <w:sz w:val="18"/>
                  <w:szCs w:val="18"/>
                  <w:color w:val="0000EE"/>
                </w:rPr>
                <w:t>Form of Indemnification Agreement</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8-K</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4/12/06</w:t>
            </w:r>
          </w:p>
        </w:tc>
        <w:tc>
          <w:tcPr>
            <w:tcW w:w="0" w:type="dxa"/>
            <w:vAlign w:val="bottom"/>
          </w:tcPr>
          <w:p>
            <w:pPr>
              <w:spacing w:after="0"/>
              <w:rPr>
                <w:sz w:val="1"/>
                <w:szCs w:val="1"/>
                <w:color w:val="auto"/>
              </w:rPr>
            </w:pPr>
          </w:p>
        </w:tc>
      </w:tr>
      <w:tr>
        <w:trPr>
          <w:trHeight w:val="20"/>
        </w:trPr>
        <w:tc>
          <w:tcPr>
            <w:tcW w:w="440" w:type="dxa"/>
            <w:vAlign w:val="bottom"/>
            <w:tcBorders>
              <w:left w:val="single" w:sz="8" w:color="auto"/>
            </w:tcBorders>
            <w:gridSpan w:val="2"/>
            <w:shd w:val="clear" w:color="auto" w:fill="0000EE"/>
          </w:tcPr>
          <w:p>
            <w:pPr>
              <w:spacing w:after="0" w:line="20" w:lineRule="exact"/>
              <w:rPr>
                <w:sz w:val="1"/>
                <w:szCs w:val="1"/>
                <w:color w:val="auto"/>
              </w:rPr>
            </w:pPr>
          </w:p>
        </w:tc>
        <w:tc>
          <w:tcPr>
            <w:tcW w:w="840" w:type="dxa"/>
            <w:vAlign w:val="bottom"/>
            <w:tcBorders>
              <w:right w:val="single" w:sz="8" w:color="0000EE"/>
            </w:tcBorders>
            <w:gridSpan w:val="8"/>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tcBorders>
              <w:left w:val="single" w:sz="8" w:color="auto"/>
            </w:tcBorders>
            <w:gridSpan w:val="10"/>
          </w:tcPr>
          <w:p>
            <w:pPr>
              <w:ind w:left="20"/>
              <w:spacing w:after="0"/>
              <w:rPr>
                <w:rFonts w:ascii="Arial" w:cs="Arial" w:eastAsia="Arial" w:hAnsi="Arial"/>
                <w:sz w:val="18"/>
                <w:szCs w:val="18"/>
                <w:color w:val="0000EE"/>
              </w:rPr>
            </w:pPr>
            <w:hyperlink r:id="rId66">
              <w:r>
                <w:rPr>
                  <w:rFonts w:ascii="Arial" w:cs="Arial" w:eastAsia="Arial" w:hAnsi="Arial"/>
                  <w:sz w:val="18"/>
                  <w:szCs w:val="18"/>
                  <w:color w:val="0000EE"/>
                </w:rPr>
                <w:t>10(u)</w:t>
              </w:r>
            </w:hyperlink>
          </w:p>
        </w:tc>
        <w:tc>
          <w:tcPr>
            <w:tcW w:w="6320" w:type="dxa"/>
            <w:vAlign w:val="bottom"/>
            <w:gridSpan w:val="28"/>
          </w:tcPr>
          <w:p>
            <w:pPr>
              <w:spacing w:after="0"/>
              <w:rPr>
                <w:rFonts w:ascii="Arial" w:cs="Arial" w:eastAsia="Arial" w:hAnsi="Arial"/>
                <w:sz w:val="18"/>
                <w:szCs w:val="18"/>
                <w:color w:val="0000EE"/>
              </w:rPr>
            </w:pPr>
            <w:hyperlink r:id="rId66">
              <w:r>
                <w:rPr>
                  <w:rFonts w:ascii="Arial" w:cs="Arial" w:eastAsia="Arial" w:hAnsi="Arial"/>
                  <w:sz w:val="18"/>
                  <w:szCs w:val="18"/>
                  <w:color w:val="0000EE"/>
                </w:rPr>
                <w:t>Employment agreement, dated March 2, 2018, between the Company and</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10-Q</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5/08/18</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90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Olivier M. Jarrault</w:t>
              </w:r>
            </w:hyperlink>
          </w:p>
        </w:tc>
        <w:tc>
          <w:tcPr>
            <w:tcW w:w="420" w:type="dxa"/>
            <w:vAlign w:val="bottom"/>
            <w:gridSpan w:val="5"/>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80" w:type="dxa"/>
            <w:vAlign w:val="bottom"/>
            <w:tcBorders>
              <w:left w:val="single" w:sz="8" w:color="auto"/>
              <w:right w:val="single" w:sz="8" w:color="0000EE"/>
            </w:tcBorders>
            <w:gridSpan w:val="10"/>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2200" w:type="dxa"/>
            <w:vAlign w:val="bottom"/>
            <w:gridSpan w:val="7"/>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80" w:type="dxa"/>
            <w:vAlign w:val="bottom"/>
            <w:tcBorders>
              <w:left w:val="single" w:sz="8" w:color="auto"/>
            </w:tcBorders>
            <w:gridSpan w:val="10"/>
          </w:tcPr>
          <w:p>
            <w:pPr>
              <w:ind w:left="20"/>
              <w:spacing w:after="0"/>
              <w:rPr>
                <w:rFonts w:ascii="Arial" w:cs="Arial" w:eastAsia="Arial" w:hAnsi="Arial"/>
                <w:sz w:val="18"/>
                <w:szCs w:val="18"/>
                <w:color w:val="0000EE"/>
              </w:rPr>
            </w:pPr>
            <w:hyperlink r:id="rId67">
              <w:r>
                <w:rPr>
                  <w:rFonts w:ascii="Arial" w:cs="Arial" w:eastAsia="Arial" w:hAnsi="Arial"/>
                  <w:sz w:val="18"/>
                  <w:szCs w:val="18"/>
                  <w:color w:val="0000EE"/>
                </w:rPr>
                <w:t>10(u)(i)</w:t>
              </w:r>
            </w:hyperlink>
          </w:p>
        </w:tc>
        <w:tc>
          <w:tcPr>
            <w:tcW w:w="6320" w:type="dxa"/>
            <w:vAlign w:val="bottom"/>
            <w:gridSpan w:val="28"/>
          </w:tcPr>
          <w:p>
            <w:pPr>
              <w:spacing w:after="0"/>
              <w:rPr>
                <w:rFonts w:ascii="Arial" w:cs="Arial" w:eastAsia="Arial" w:hAnsi="Arial"/>
                <w:sz w:val="18"/>
                <w:szCs w:val="18"/>
                <w:color w:val="0000EE"/>
              </w:rPr>
            </w:pPr>
            <w:hyperlink r:id="rId67">
              <w:r>
                <w:rPr>
                  <w:rFonts w:ascii="Arial" w:cs="Arial" w:eastAsia="Arial" w:hAnsi="Arial"/>
                  <w:sz w:val="18"/>
                  <w:szCs w:val="18"/>
                  <w:color w:val="0000EE"/>
                </w:rPr>
                <w:t>First Amendment, dated July 9, 2018, to amend employment agreement</w:t>
              </w:r>
            </w:hyperlink>
          </w:p>
        </w:tc>
        <w:tc>
          <w:tcPr>
            <w:tcW w:w="900" w:type="dxa"/>
            <w:vAlign w:val="bottom"/>
          </w:tcPr>
          <w:p>
            <w:pPr>
              <w:spacing w:after="0"/>
              <w:rPr>
                <w:sz w:val="24"/>
                <w:szCs w:val="24"/>
                <w:color w:val="auto"/>
              </w:rPr>
            </w:pPr>
          </w:p>
        </w:tc>
        <w:tc>
          <w:tcPr>
            <w:tcW w:w="1220" w:type="dxa"/>
            <w:vAlign w:val="bottom"/>
          </w:tcPr>
          <w:p>
            <w:pPr>
              <w:jc w:val="center"/>
              <w:ind w:left="10"/>
              <w:spacing w:after="0"/>
              <w:rPr>
                <w:sz w:val="20"/>
                <w:szCs w:val="20"/>
                <w:color w:val="auto"/>
              </w:rPr>
            </w:pPr>
            <w:r>
              <w:rPr>
                <w:rFonts w:ascii="Arial" w:cs="Arial" w:eastAsia="Arial" w:hAnsi="Arial"/>
                <w:sz w:val="18"/>
                <w:szCs w:val="18"/>
                <w:color w:val="auto"/>
                <w:w w:val="99"/>
              </w:rPr>
              <w:t>10-Q</w:t>
            </w:r>
          </w:p>
        </w:tc>
        <w:tc>
          <w:tcPr>
            <w:tcW w:w="900" w:type="dxa"/>
            <w:vAlign w:val="bottom"/>
          </w:tcPr>
          <w:p>
            <w:pPr>
              <w:spacing w:after="0"/>
              <w:rPr>
                <w:sz w:val="24"/>
                <w:szCs w:val="24"/>
                <w:color w:val="auto"/>
              </w:rPr>
            </w:pPr>
          </w:p>
        </w:tc>
        <w:tc>
          <w:tcPr>
            <w:tcW w:w="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8/07/18</w:t>
            </w:r>
          </w:p>
        </w:tc>
        <w:tc>
          <w:tcPr>
            <w:tcW w:w="0" w:type="dxa"/>
            <w:vAlign w:val="bottom"/>
          </w:tcPr>
          <w:p>
            <w:pPr>
              <w:spacing w:after="0"/>
              <w:rPr>
                <w:sz w:val="1"/>
                <w:szCs w:val="1"/>
                <w:color w:val="auto"/>
              </w:rPr>
            </w:pPr>
          </w:p>
        </w:tc>
      </w:tr>
      <w:tr>
        <w:trPr>
          <w:trHeight w:val="183"/>
        </w:trPr>
        <w:tc>
          <w:tcPr>
            <w:tcW w:w="400" w:type="dxa"/>
            <w:vAlign w:val="bottom"/>
            <w:tcBorders>
              <w:top w:val="single" w:sz="8" w:color="0000EE"/>
              <w:left w:val="single" w:sz="8" w:color="auto"/>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7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between the Company and Olivier M. Jarrault</w:t>
              </w:r>
            </w:hyperlink>
          </w:p>
        </w:tc>
        <w:tc>
          <w:tcPr>
            <w:tcW w:w="600" w:type="dxa"/>
            <w:vAlign w:val="bottom"/>
            <w:gridSpan w:val="10"/>
          </w:tcPr>
          <w:p>
            <w:pPr>
              <w:spacing w:after="0"/>
              <w:rPr>
                <w:sz w:val="15"/>
                <w:szCs w:val="15"/>
                <w:color w:val="auto"/>
              </w:rPr>
            </w:pPr>
          </w:p>
        </w:tc>
        <w:tc>
          <w:tcPr>
            <w:tcW w:w="9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0" w:type="dxa"/>
            <w:vAlign w:val="bottom"/>
            <w:tcBorders>
              <w:left w:val="single" w:sz="8" w:color="auto"/>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80" w:type="dxa"/>
            <w:vAlign w:val="bottom"/>
            <w:tcBorders>
              <w:top w:val="single" w:sz="8" w:color="0000EE"/>
              <w:bottom w:val="single" w:sz="8" w:color="auto"/>
            </w:tcBorders>
          </w:tcPr>
          <w:p>
            <w:pPr>
              <w:spacing w:after="0"/>
              <w:rPr>
                <w:sz w:val="15"/>
                <w:szCs w:val="15"/>
                <w:color w:val="auto"/>
              </w:rPr>
            </w:pPr>
          </w:p>
        </w:tc>
        <w:tc>
          <w:tcPr>
            <w:tcW w:w="760" w:type="dxa"/>
            <w:vAlign w:val="bottom"/>
            <w:tcBorders>
              <w:top w:val="single" w:sz="8" w:color="0000EE"/>
              <w:bottom w:val="single" w:sz="8" w:color="auto"/>
            </w:tcBorders>
          </w:tcPr>
          <w:p>
            <w:pPr>
              <w:spacing w:after="0"/>
              <w:rPr>
                <w:sz w:val="15"/>
                <w:szCs w:val="15"/>
                <w:color w:val="auto"/>
              </w:rPr>
            </w:pPr>
          </w:p>
        </w:tc>
        <w:tc>
          <w:tcPr>
            <w:tcW w:w="24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80" w:type="dxa"/>
            <w:vAlign w:val="bottom"/>
            <w:tcBorders>
              <w:top w:val="single" w:sz="8" w:color="0000EE"/>
              <w:bottom w:val="single" w:sz="8" w:color="auto"/>
            </w:tcBorders>
          </w:tcPr>
          <w:p>
            <w:pPr>
              <w:spacing w:after="0"/>
              <w:rPr>
                <w:sz w:val="15"/>
                <w:szCs w:val="15"/>
                <w:color w:val="auto"/>
              </w:rPr>
            </w:pPr>
          </w:p>
        </w:tc>
        <w:tc>
          <w:tcPr>
            <w:tcW w:w="122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760" w:type="dxa"/>
            <w:vAlign w:val="bottom"/>
            <w:tcBorders>
              <w:top w:val="single" w:sz="8" w:color="0000EE"/>
              <w:bottom w:val="single" w:sz="8" w:color="auto"/>
            </w:tcBorders>
          </w:tcPr>
          <w:p>
            <w:pPr>
              <w:spacing w:after="0"/>
              <w:rPr>
                <w:sz w:val="15"/>
                <w:szCs w:val="15"/>
                <w:color w:val="auto"/>
              </w:rPr>
            </w:pPr>
          </w:p>
        </w:tc>
        <w:tc>
          <w:tcPr>
            <w:tcW w:w="20" w:type="dxa"/>
            <w:vAlign w:val="bottom"/>
            <w:tcBorders>
              <w:top w:val="single" w:sz="8" w:color="0000EE"/>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40" w:type="dxa"/>
            <w:vAlign w:val="bottom"/>
            <w:gridSpan w:val="14"/>
          </w:tcPr>
          <w:p>
            <w:pPr>
              <w:ind w:left="434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466" w:right="21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16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Exhibit</w:t>
            </w: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Filed</w:t>
            </w:r>
          </w:p>
        </w:tc>
        <w:tc>
          <w:tcPr>
            <w:tcW w:w="2960" w:type="dxa"/>
            <w:vAlign w:val="bottom"/>
            <w:gridSpan w:val="4"/>
          </w:tcPr>
          <w:p>
            <w:pPr>
              <w:ind w:left="3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71"/>
        </w:trPr>
        <w:tc>
          <w:tcPr>
            <w:tcW w:w="1160" w:type="dxa"/>
            <w:vAlign w:val="bottom"/>
            <w:gridSpan w:val="7"/>
            <w:vMerge w:val="continue"/>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center"/>
              <w:spacing w:after="0" w:line="171" w:lineRule="exact"/>
              <w:rPr>
                <w:sz w:val="20"/>
                <w:szCs w:val="20"/>
                <w:color w:val="auto"/>
              </w:rPr>
            </w:pPr>
            <w:r>
              <w:rPr>
                <w:rFonts w:ascii="Arial" w:cs="Arial" w:eastAsia="Arial" w:hAnsi="Arial"/>
                <w:sz w:val="18"/>
                <w:szCs w:val="18"/>
                <w:b w:val="1"/>
                <w:bCs w:val="1"/>
                <w:color w:val="auto"/>
                <w:w w:val="99"/>
              </w:rPr>
              <w:t>Period</w:t>
            </w:r>
          </w:p>
        </w:tc>
        <w:tc>
          <w:tcPr>
            <w:tcW w:w="11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1160" w:type="dxa"/>
            <w:vAlign w:val="bottom"/>
            <w:gridSpan w:val="7"/>
          </w:tcPr>
          <w:p>
            <w:pPr>
              <w:spacing w:after="0"/>
              <w:rPr>
                <w:sz w:val="20"/>
                <w:szCs w:val="20"/>
                <w:color w:val="auto"/>
              </w:rPr>
            </w:pPr>
            <w:r>
              <w:rPr>
                <w:rFonts w:ascii="Arial" w:cs="Arial" w:eastAsia="Arial" w:hAnsi="Arial"/>
                <w:sz w:val="18"/>
                <w:szCs w:val="18"/>
                <w:b w:val="1"/>
                <w:bCs w:val="1"/>
                <w:color w:val="auto"/>
              </w:rPr>
              <w:t>Number</w:t>
            </w:r>
          </w:p>
        </w:tc>
        <w:tc>
          <w:tcPr>
            <w:tcW w:w="6380" w:type="dxa"/>
            <w:vAlign w:val="bottom"/>
            <w:gridSpan w:val="17"/>
          </w:tcPr>
          <w:p>
            <w:pPr>
              <w:spacing w:after="0"/>
              <w:rPr>
                <w:sz w:val="20"/>
                <w:szCs w:val="20"/>
                <w:color w:val="auto"/>
              </w:rPr>
            </w:pPr>
            <w:r>
              <w:rPr>
                <w:rFonts w:ascii="Arial" w:cs="Arial" w:eastAsia="Arial" w:hAnsi="Arial"/>
                <w:sz w:val="18"/>
                <w:szCs w:val="18"/>
                <w:b w:val="1"/>
                <w:bCs w:val="1"/>
                <w:color w:val="auto"/>
              </w:rPr>
              <w:t>Exhibit Description</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9"/>
              </w:rPr>
              <w:t>Herewith</w:t>
            </w: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rPr>
              <w:t>Form</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rPr>
              <w:t>Ending</w:t>
            </w: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Filing Date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Borders>
              <w:top w:val="single" w:sz="8" w:color="auto"/>
            </w:tcBorders>
            <w:gridSpan w:val="4"/>
          </w:tcPr>
          <w:p>
            <w:pPr>
              <w:spacing w:after="0" w:line="170" w:lineRule="exact"/>
              <w:rPr>
                <w:rFonts w:ascii="Arial" w:cs="Arial" w:eastAsia="Arial" w:hAnsi="Arial"/>
                <w:sz w:val="18"/>
                <w:szCs w:val="18"/>
                <w:color w:val="0000EE"/>
                <w:w w:val="96"/>
              </w:rPr>
            </w:pPr>
            <w:hyperlink r:id="rId68">
              <w:r>
                <w:rPr>
                  <w:rFonts w:ascii="Arial" w:cs="Arial" w:eastAsia="Arial" w:hAnsi="Arial"/>
                  <w:sz w:val="18"/>
                  <w:szCs w:val="18"/>
                  <w:color w:val="0000EE"/>
                  <w:w w:val="96"/>
                </w:rPr>
                <w:t>10.</w:t>
              </w:r>
              <w:r>
                <w:rPr>
                  <w:rFonts w:ascii="Arial" w:cs="Arial" w:eastAsia="Arial" w:hAnsi="Arial"/>
                  <w:sz w:val="18"/>
                  <w:szCs w:val="18"/>
                  <w:u w:val="single" w:color="auto"/>
                  <w:color w:val="0000EE"/>
                  <w:w w:val="96"/>
                </w:rPr>
                <w:t>2</w:t>
              </w:r>
            </w:hyperlink>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6380" w:type="dxa"/>
            <w:vAlign w:val="bottom"/>
            <w:tcBorders>
              <w:top w:val="single" w:sz="8" w:color="auto"/>
            </w:tcBorders>
            <w:gridSpan w:val="17"/>
          </w:tcPr>
          <w:p>
            <w:pPr>
              <w:spacing w:after="0" w:line="170" w:lineRule="exact"/>
              <w:rPr>
                <w:rFonts w:ascii="Arial" w:cs="Arial" w:eastAsia="Arial" w:hAnsi="Arial"/>
                <w:sz w:val="18"/>
                <w:szCs w:val="18"/>
                <w:color w:val="0000EE"/>
              </w:rPr>
            </w:pPr>
            <w:hyperlink r:id="rId68">
              <w:r>
                <w:rPr>
                  <w:rFonts w:ascii="Arial" w:cs="Arial" w:eastAsia="Arial" w:hAnsi="Arial"/>
                  <w:sz w:val="18"/>
                  <w:szCs w:val="18"/>
                  <w:color w:val="0000EE"/>
                </w:rPr>
                <w:t>Amended and restated LLC operating agreement by and between Albany</w:t>
              </w:r>
            </w:hyperlink>
          </w:p>
        </w:tc>
        <w:tc>
          <w:tcPr>
            <w:tcW w:w="9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10-K</w:t>
            </w:r>
          </w:p>
        </w:tc>
        <w:tc>
          <w:tcPr>
            <w:tcW w:w="9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12/31/13</w:t>
            </w:r>
          </w:p>
        </w:tc>
        <w:tc>
          <w:tcPr>
            <w:tcW w:w="11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2/26/14</w:t>
            </w:r>
          </w:p>
        </w:tc>
        <w:tc>
          <w:tcPr>
            <w:tcW w:w="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380" w:type="dxa"/>
            <w:vAlign w:val="bottom"/>
            <w:gridSpan w:val="17"/>
          </w:tcPr>
          <w:p>
            <w:pPr>
              <w:spacing w:after="0" w:line="182" w:lineRule="exact"/>
              <w:rPr>
                <w:rFonts w:ascii="Arial" w:cs="Arial" w:eastAsia="Arial" w:hAnsi="Arial"/>
                <w:sz w:val="18"/>
                <w:szCs w:val="18"/>
                <w:color w:val="0000EE"/>
              </w:rPr>
            </w:pPr>
            <w:hyperlink r:id="rId68">
              <w:r>
                <w:rPr>
                  <w:rFonts w:ascii="Arial" w:cs="Arial" w:eastAsia="Arial" w:hAnsi="Arial"/>
                  <w:sz w:val="18"/>
                  <w:szCs w:val="18"/>
                  <w:color w:val="0000EE"/>
                </w:rPr>
                <w:t>Engineered Composites and Safran Aerospace Composites, Inc. 10% equity</w:t>
              </w:r>
            </w:hyperlink>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80" w:type="dxa"/>
            <w:vAlign w:val="bottom"/>
            <w:tcBorders>
              <w:top w:val="single" w:sz="8" w:color="0000EE"/>
            </w:tcBorders>
            <w:gridSpan w:val="11"/>
          </w:tcPr>
          <w:p>
            <w:pPr>
              <w:spacing w:after="0" w:line="182" w:lineRule="exact"/>
              <w:rPr>
                <w:rFonts w:ascii="Arial" w:cs="Arial" w:eastAsia="Arial" w:hAnsi="Arial"/>
                <w:sz w:val="18"/>
                <w:szCs w:val="18"/>
                <w:color w:val="0000EE"/>
              </w:rPr>
            </w:pPr>
            <w:hyperlink r:id="rId68">
              <w:r>
                <w:rPr>
                  <w:rFonts w:ascii="Arial" w:cs="Arial" w:eastAsia="Arial" w:hAnsi="Arial"/>
                  <w:sz w:val="18"/>
                  <w:szCs w:val="18"/>
                  <w:color w:val="0000EE"/>
                </w:rPr>
                <w:t xml:space="preserve">interest in ASC for </w:t>
              </w:r>
              <w:r>
                <w:rPr>
                  <w:rFonts w:ascii="Arial" w:cs="Arial" w:eastAsia="Arial" w:hAnsi="Arial"/>
                  <w:sz w:val="18"/>
                  <w:szCs w:val="18"/>
                  <w:u w:val="single" w:color="auto"/>
                  <w:color w:val="0000EE"/>
                </w:rPr>
                <w:t>$</w:t>
              </w:r>
              <w:r>
                <w:rPr>
                  <w:rFonts w:ascii="Arial" w:cs="Arial" w:eastAsia="Arial" w:hAnsi="Arial"/>
                  <w:sz w:val="18"/>
                  <w:szCs w:val="18"/>
                  <w:color w:val="0000EE"/>
                </w:rPr>
                <w:t>28 million</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0" w:type="dxa"/>
            <w:vAlign w:val="bottom"/>
            <w:gridSpan w:val="5"/>
          </w:tcPr>
          <w:p>
            <w:pPr>
              <w:ind w:left="20"/>
              <w:spacing w:after="0"/>
              <w:rPr>
                <w:rFonts w:ascii="Arial" w:cs="Arial" w:eastAsia="Arial" w:hAnsi="Arial"/>
                <w:sz w:val="18"/>
                <w:szCs w:val="18"/>
                <w:color w:val="0000EE"/>
              </w:rPr>
            </w:pPr>
            <w:hyperlink r:id="rId69">
              <w:r>
                <w:rPr>
                  <w:rFonts w:ascii="Arial" w:cs="Arial" w:eastAsia="Arial" w:hAnsi="Arial"/>
                  <w:sz w:val="18"/>
                  <w:szCs w:val="18"/>
                  <w:color w:val="0000EE"/>
                </w:rPr>
                <w:t>2.</w:t>
              </w:r>
              <w:r>
                <w:rPr>
                  <w:rFonts w:ascii="Arial" w:cs="Arial" w:eastAsia="Arial" w:hAnsi="Arial"/>
                  <w:sz w:val="18"/>
                  <w:szCs w:val="18"/>
                  <w:u w:val="single" w:color="auto"/>
                  <w:color w:val="0000EE"/>
                </w:rPr>
                <w:t>1</w:t>
              </w:r>
            </w:hyperlink>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8"/>
                <w:szCs w:val="18"/>
                <w:color w:val="0000EE"/>
              </w:rPr>
            </w:pPr>
            <w:hyperlink r:id="rId69">
              <w:r>
                <w:rPr>
                  <w:rFonts w:ascii="Arial" w:cs="Arial" w:eastAsia="Arial" w:hAnsi="Arial"/>
                  <w:sz w:val="18"/>
                  <w:szCs w:val="18"/>
                  <w:color w:val="0000EE"/>
                </w:rPr>
                <w:t>Stock Purchase Agreement by and between Albany International Corp. and</w:t>
              </w:r>
            </w:hyperlink>
          </w:p>
        </w:tc>
        <w:tc>
          <w:tcPr>
            <w:tcW w:w="9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96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3/1/16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9"/>
              </w:rPr>
            </w:pPr>
            <w:hyperlink r:id="rId69">
              <w:r>
                <w:rPr>
                  <w:rFonts w:ascii="Arial" w:cs="Arial" w:eastAsia="Arial" w:hAnsi="Arial"/>
                  <w:sz w:val="18"/>
                  <w:szCs w:val="18"/>
                  <w:color w:val="0000EE"/>
                  <w:w w:val="99"/>
                </w:rPr>
                <w:t>Harris Corporation, dated as of February 27, 2016</w:t>
              </w:r>
            </w:hyperlink>
          </w:p>
        </w:tc>
        <w:tc>
          <w:tcPr>
            <w:tcW w:w="2000" w:type="dxa"/>
            <w:vAlign w:val="bottom"/>
            <w:tcBorders>
              <w:top w:val="single" w:sz="8" w:color="0000EE"/>
            </w:tcBorders>
            <w:gridSpan w:val="3"/>
          </w:tcPr>
          <w:p>
            <w:pPr>
              <w:spacing w:after="0"/>
              <w:rPr>
                <w:sz w:val="15"/>
                <w:szCs w:val="15"/>
                <w:color w:val="auto"/>
              </w:rPr>
            </w:pPr>
          </w:p>
        </w:tc>
        <w:tc>
          <w:tcPr>
            <w:tcW w:w="1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20" w:type="dxa"/>
            <w:vAlign w:val="bottom"/>
            <w:gridSpan w:val="3"/>
          </w:tcPr>
          <w:p>
            <w:pPr>
              <w:ind w:left="20"/>
              <w:spacing w:after="0"/>
              <w:rPr>
                <w:rFonts w:ascii="Arial" w:cs="Arial" w:eastAsia="Arial" w:hAnsi="Arial"/>
                <w:sz w:val="18"/>
                <w:szCs w:val="18"/>
                <w:color w:val="0000EE"/>
                <w:w w:val="89"/>
              </w:rPr>
            </w:pPr>
            <w:hyperlink r:id="rId70">
              <w:r>
                <w:rPr>
                  <w:rFonts w:ascii="Arial" w:cs="Arial" w:eastAsia="Arial" w:hAnsi="Arial"/>
                  <w:sz w:val="18"/>
                  <w:szCs w:val="18"/>
                  <w:color w:val="0000EE"/>
                  <w:w w:val="89"/>
                </w:rPr>
                <w:t>11</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380" w:type="dxa"/>
            <w:vAlign w:val="bottom"/>
            <w:gridSpan w:val="17"/>
          </w:tcPr>
          <w:p>
            <w:pPr>
              <w:spacing w:after="0"/>
              <w:rPr>
                <w:rFonts w:ascii="Arial" w:cs="Arial" w:eastAsia="Arial" w:hAnsi="Arial"/>
                <w:sz w:val="18"/>
                <w:szCs w:val="18"/>
                <w:color w:val="0000EE"/>
              </w:rPr>
            </w:pPr>
            <w:hyperlink r:id="rId70">
              <w:r>
                <w:rPr>
                  <w:rFonts w:ascii="Arial" w:cs="Arial" w:eastAsia="Arial" w:hAnsi="Arial"/>
                  <w:sz w:val="18"/>
                  <w:szCs w:val="18"/>
                  <w:color w:val="0000EE"/>
                </w:rPr>
                <w:t>Statement of Computation of Earnings per share (provided in Footnote 8 to the</w:t>
              </w:r>
            </w:hyperlink>
          </w:p>
        </w:tc>
        <w:tc>
          <w:tcPr>
            <w:tcW w:w="9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12/31/18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4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r:id="rId70">
              <w:r>
                <w:rPr>
                  <w:rFonts w:ascii="Arial" w:cs="Arial" w:eastAsia="Arial" w:hAnsi="Arial"/>
                  <w:sz w:val="18"/>
                  <w:szCs w:val="18"/>
                  <w:color w:val="0000EE"/>
                  <w:w w:val="99"/>
                </w:rPr>
                <w:t>Consolidated Financial Statements)</w:t>
              </w:r>
            </w:hyperlink>
          </w:p>
        </w:tc>
        <w:tc>
          <w:tcPr>
            <w:tcW w:w="3420" w:type="dxa"/>
            <w:vAlign w:val="bottom"/>
            <w:tcBorders>
              <w:top w:val="single" w:sz="8" w:color="0000EE"/>
            </w:tcBorders>
            <w:gridSpan w:val="9"/>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r:id="rId71">
              <w:r>
                <w:rPr>
                  <w:rFonts w:ascii="Arial" w:cs="Arial" w:eastAsia="Arial" w:hAnsi="Arial"/>
                  <w:sz w:val="18"/>
                  <w:szCs w:val="18"/>
                  <w:color w:val="0000EE"/>
                  <w:w w:val="89"/>
                </w:rPr>
                <w:t>21</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0" w:type="dxa"/>
            <w:vAlign w:val="bottom"/>
            <w:tcBorders>
              <w:bottom w:val="single" w:sz="8" w:color="0000EE"/>
            </w:tcBorders>
            <w:gridSpan w:val="4"/>
          </w:tcPr>
          <w:p>
            <w:pPr>
              <w:spacing w:after="0"/>
              <w:rPr>
                <w:rFonts w:ascii="Arial" w:cs="Arial" w:eastAsia="Arial" w:hAnsi="Arial"/>
                <w:sz w:val="18"/>
                <w:szCs w:val="18"/>
                <w:color w:val="0000EE"/>
                <w:w w:val="98"/>
              </w:rPr>
            </w:pPr>
            <w:hyperlink r:id="rId71">
              <w:r>
                <w:rPr>
                  <w:rFonts w:ascii="Arial" w:cs="Arial" w:eastAsia="Arial" w:hAnsi="Arial"/>
                  <w:sz w:val="18"/>
                  <w:szCs w:val="18"/>
                  <w:color w:val="0000EE"/>
                  <w:w w:val="98"/>
                </w:rPr>
                <w:t>Subsidiaries of Company</w:t>
              </w:r>
            </w:hyperlink>
          </w:p>
        </w:tc>
        <w:tc>
          <w:tcPr>
            <w:tcW w:w="4380" w:type="dxa"/>
            <w:vAlign w:val="bottom"/>
            <w:gridSpan w:val="13"/>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12/31/18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r:id="rId72">
              <w:r>
                <w:rPr>
                  <w:rFonts w:ascii="Arial" w:cs="Arial" w:eastAsia="Arial" w:hAnsi="Arial"/>
                  <w:sz w:val="18"/>
                  <w:szCs w:val="18"/>
                  <w:color w:val="0000EE"/>
                  <w:w w:val="89"/>
                </w:rPr>
                <w:t>23</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20" w:type="dxa"/>
            <w:vAlign w:val="bottom"/>
            <w:tcBorders>
              <w:bottom w:val="single" w:sz="8" w:color="0000EE"/>
            </w:tcBorders>
            <w:gridSpan w:val="8"/>
          </w:tcPr>
          <w:p>
            <w:pPr>
              <w:spacing w:after="0"/>
              <w:rPr>
                <w:rFonts w:ascii="Arial" w:cs="Arial" w:eastAsia="Arial" w:hAnsi="Arial"/>
                <w:sz w:val="18"/>
                <w:szCs w:val="18"/>
                <w:color w:val="0000EE"/>
                <w:w w:val="99"/>
              </w:rPr>
            </w:pPr>
            <w:hyperlink r:id="rId72">
              <w:r>
                <w:rPr>
                  <w:rFonts w:ascii="Arial" w:cs="Arial" w:eastAsia="Arial" w:hAnsi="Arial"/>
                  <w:sz w:val="18"/>
                  <w:szCs w:val="18"/>
                  <w:color w:val="0000EE"/>
                  <w:w w:val="99"/>
                </w:rPr>
                <w:t>Consent of Independent Registered Public Accounting Firms</w:t>
              </w:r>
            </w:hyperlink>
          </w:p>
        </w:tc>
        <w:tc>
          <w:tcPr>
            <w:tcW w:w="1560" w:type="dxa"/>
            <w:vAlign w:val="bottom"/>
            <w:gridSpan w:val="9"/>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12/31/18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200" w:type="dxa"/>
            <w:vAlign w:val="bottom"/>
            <w:tcBorders>
              <w:bottom w:val="single" w:sz="8" w:color="0000EE"/>
            </w:tcBorders>
            <w:gridSpan w:val="2"/>
          </w:tcPr>
          <w:p>
            <w:pPr>
              <w:spacing w:after="0"/>
              <w:rPr>
                <w:rFonts w:ascii="Arial" w:cs="Arial" w:eastAsia="Arial" w:hAnsi="Arial"/>
                <w:sz w:val="18"/>
                <w:szCs w:val="18"/>
                <w:color w:val="0000EE"/>
                <w:w w:val="89"/>
              </w:rPr>
            </w:pPr>
            <w:hyperlink r:id="rId73">
              <w:r>
                <w:rPr>
                  <w:rFonts w:ascii="Arial" w:cs="Arial" w:eastAsia="Arial" w:hAnsi="Arial"/>
                  <w:sz w:val="18"/>
                  <w:szCs w:val="18"/>
                  <w:color w:val="0000EE"/>
                  <w:w w:val="89"/>
                </w:rPr>
                <w:t>24</w:t>
              </w:r>
            </w:hyperlink>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20" w:type="dxa"/>
            <w:vAlign w:val="bottom"/>
            <w:tcBorders>
              <w:bottom w:val="single" w:sz="8" w:color="0000EE"/>
            </w:tcBorders>
            <w:gridSpan w:val="2"/>
          </w:tcPr>
          <w:p>
            <w:pPr>
              <w:spacing w:after="0"/>
              <w:rPr>
                <w:rFonts w:ascii="Arial" w:cs="Arial" w:eastAsia="Arial" w:hAnsi="Arial"/>
                <w:sz w:val="18"/>
                <w:szCs w:val="18"/>
                <w:color w:val="0000EE"/>
                <w:w w:val="98"/>
              </w:rPr>
            </w:pPr>
            <w:hyperlink r:id="rId73">
              <w:r>
                <w:rPr>
                  <w:rFonts w:ascii="Arial" w:cs="Arial" w:eastAsia="Arial" w:hAnsi="Arial"/>
                  <w:sz w:val="18"/>
                  <w:szCs w:val="18"/>
                  <w:color w:val="0000EE"/>
                  <w:w w:val="98"/>
                </w:rPr>
                <w:t>Powers of Attorney</w:t>
              </w:r>
            </w:hyperlink>
          </w:p>
        </w:tc>
        <w:tc>
          <w:tcPr>
            <w:tcW w:w="4860" w:type="dxa"/>
            <w:vAlign w:val="bottom"/>
            <w:gridSpan w:val="15"/>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12/31/18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gridSpan w:val="6"/>
          </w:tcPr>
          <w:p>
            <w:pPr>
              <w:spacing w:after="0"/>
              <w:rPr>
                <w:rFonts w:ascii="Arial" w:cs="Arial" w:eastAsia="Arial" w:hAnsi="Arial"/>
                <w:sz w:val="18"/>
                <w:szCs w:val="18"/>
                <w:color w:val="0000EE"/>
              </w:rPr>
            </w:pPr>
            <w:hyperlink r:id="rId74">
              <w:r>
                <w:rPr>
                  <w:rFonts w:ascii="Arial" w:cs="Arial" w:eastAsia="Arial" w:hAnsi="Arial"/>
                  <w:sz w:val="18"/>
                  <w:szCs w:val="18"/>
                  <w:color w:val="0000EE"/>
                </w:rPr>
                <w:t>31(a)</w:t>
              </w:r>
            </w:hyperlink>
          </w:p>
        </w:tc>
        <w:tc>
          <w:tcPr>
            <w:tcW w:w="6380" w:type="dxa"/>
            <w:vAlign w:val="bottom"/>
            <w:gridSpan w:val="17"/>
          </w:tcPr>
          <w:p>
            <w:pPr>
              <w:spacing w:after="0"/>
              <w:rPr>
                <w:rFonts w:ascii="Arial" w:cs="Arial" w:eastAsia="Arial" w:hAnsi="Arial"/>
                <w:sz w:val="18"/>
                <w:szCs w:val="18"/>
                <w:color w:val="0000EE"/>
              </w:rPr>
            </w:pPr>
            <w:hyperlink r:id="rId74">
              <w:r>
                <w:rPr>
                  <w:rFonts w:ascii="Arial" w:cs="Arial" w:eastAsia="Arial" w:hAnsi="Arial"/>
                  <w:sz w:val="18"/>
                  <w:szCs w:val="18"/>
                  <w:color w:val="0000EE"/>
                </w:rPr>
                <w:t>Certification of Olivier M. Jarrault required pursuant to Rule 13a-14(a) or Rule</w:t>
              </w:r>
            </w:hyperlink>
          </w:p>
        </w:tc>
        <w:tc>
          <w:tcPr>
            <w:tcW w:w="9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12/31/18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74">
              <w:r>
                <w:rPr>
                  <w:rFonts w:ascii="Arial" w:cs="Arial" w:eastAsia="Arial" w:hAnsi="Arial"/>
                  <w:sz w:val="18"/>
                  <w:szCs w:val="18"/>
                  <w:color w:val="0000EE"/>
                  <w:w w:val="97"/>
                </w:rPr>
                <w:t>15d-14(a)</w:t>
              </w:r>
            </w:hyperlink>
          </w:p>
        </w:tc>
        <w:tc>
          <w:tcPr>
            <w:tcW w:w="5360" w:type="dxa"/>
            <w:vAlign w:val="bottom"/>
            <w:tcBorders>
              <w:top w:val="single" w:sz="8" w:color="0000EE"/>
            </w:tcBorders>
            <w:gridSpan w:val="12"/>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gridSpan w:val="6"/>
          </w:tcPr>
          <w:p>
            <w:pPr>
              <w:spacing w:after="0"/>
              <w:rPr>
                <w:rFonts w:ascii="Arial" w:cs="Arial" w:eastAsia="Arial" w:hAnsi="Arial"/>
                <w:sz w:val="18"/>
                <w:szCs w:val="18"/>
                <w:color w:val="0000EE"/>
              </w:rPr>
            </w:pPr>
            <w:hyperlink r:id="rId75">
              <w:r>
                <w:rPr>
                  <w:rFonts w:ascii="Arial" w:cs="Arial" w:eastAsia="Arial" w:hAnsi="Arial"/>
                  <w:sz w:val="18"/>
                  <w:szCs w:val="18"/>
                  <w:color w:val="0000EE"/>
                </w:rPr>
                <w:t>31(b)</w:t>
              </w:r>
            </w:hyperlink>
          </w:p>
        </w:tc>
        <w:tc>
          <w:tcPr>
            <w:tcW w:w="6380" w:type="dxa"/>
            <w:vAlign w:val="bottom"/>
            <w:gridSpan w:val="17"/>
          </w:tcPr>
          <w:p>
            <w:pPr>
              <w:spacing w:after="0"/>
              <w:rPr>
                <w:rFonts w:ascii="Arial" w:cs="Arial" w:eastAsia="Arial" w:hAnsi="Arial"/>
                <w:sz w:val="18"/>
                <w:szCs w:val="18"/>
                <w:color w:val="0000EE"/>
              </w:rPr>
            </w:pPr>
            <w:hyperlink r:id="rId75">
              <w:r>
                <w:rPr>
                  <w:rFonts w:ascii="Arial" w:cs="Arial" w:eastAsia="Arial" w:hAnsi="Arial"/>
                  <w:sz w:val="18"/>
                  <w:szCs w:val="18"/>
                  <w:color w:val="0000EE"/>
                </w:rPr>
                <w:t>Certification of John B. Cozzolino required pursuant to Rule 13a-14(a) or Rule</w:t>
              </w:r>
            </w:hyperlink>
          </w:p>
        </w:tc>
        <w:tc>
          <w:tcPr>
            <w:tcW w:w="9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12/31/18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7"/>
              </w:rPr>
            </w:pPr>
            <w:hyperlink r:id="rId75">
              <w:r>
                <w:rPr>
                  <w:rFonts w:ascii="Arial" w:cs="Arial" w:eastAsia="Arial" w:hAnsi="Arial"/>
                  <w:sz w:val="18"/>
                  <w:szCs w:val="18"/>
                  <w:color w:val="0000EE"/>
                  <w:w w:val="97"/>
                </w:rPr>
                <w:t>15d-14(a)</w:t>
              </w:r>
            </w:hyperlink>
          </w:p>
        </w:tc>
        <w:tc>
          <w:tcPr>
            <w:tcW w:w="5400" w:type="dxa"/>
            <w:vAlign w:val="bottom"/>
            <w:tcBorders>
              <w:top w:val="single" w:sz="8" w:color="0000EE"/>
            </w:tcBorders>
            <w:gridSpan w:val="13"/>
          </w:tcPr>
          <w:p>
            <w:pPr>
              <w:spacing w:after="0"/>
              <w:rPr>
                <w:sz w:val="15"/>
                <w:szCs w:val="15"/>
                <w:color w:val="auto"/>
              </w:rPr>
            </w:pPr>
          </w:p>
        </w:tc>
        <w:tc>
          <w:tcPr>
            <w:tcW w:w="1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gridSpan w:val="6"/>
          </w:tcPr>
          <w:p>
            <w:pPr>
              <w:spacing w:after="0"/>
              <w:rPr>
                <w:rFonts w:ascii="Arial" w:cs="Arial" w:eastAsia="Arial" w:hAnsi="Arial"/>
                <w:sz w:val="18"/>
                <w:szCs w:val="18"/>
                <w:color w:val="0000EE"/>
              </w:rPr>
            </w:pPr>
            <w:hyperlink r:id="rId76">
              <w:r>
                <w:rPr>
                  <w:rFonts w:ascii="Arial" w:cs="Arial" w:eastAsia="Arial" w:hAnsi="Arial"/>
                  <w:sz w:val="18"/>
                  <w:szCs w:val="18"/>
                  <w:color w:val="0000EE"/>
                </w:rPr>
                <w:t>32(a)</w:t>
              </w:r>
            </w:hyperlink>
          </w:p>
        </w:tc>
        <w:tc>
          <w:tcPr>
            <w:tcW w:w="6380" w:type="dxa"/>
            <w:vAlign w:val="bottom"/>
            <w:gridSpan w:val="17"/>
          </w:tcPr>
          <w:p>
            <w:pPr>
              <w:spacing w:after="0"/>
              <w:rPr>
                <w:rFonts w:ascii="Arial" w:cs="Arial" w:eastAsia="Arial" w:hAnsi="Arial"/>
                <w:sz w:val="18"/>
                <w:szCs w:val="18"/>
                <w:color w:val="0000EE"/>
              </w:rPr>
            </w:pPr>
            <w:hyperlink r:id="rId76">
              <w:r>
                <w:rPr>
                  <w:rFonts w:ascii="Arial" w:cs="Arial" w:eastAsia="Arial" w:hAnsi="Arial"/>
                  <w:sz w:val="18"/>
                  <w:szCs w:val="18"/>
                  <w:color w:val="0000EE"/>
                </w:rPr>
                <w:t>Certification of Olivier M. Jarrault and John B. Cozzolino required pursuant to</w:t>
              </w:r>
            </w:hyperlink>
          </w:p>
        </w:tc>
        <w:tc>
          <w:tcPr>
            <w:tcW w:w="9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960" w:type="dxa"/>
            <w:vAlign w:val="bottom"/>
          </w:tcPr>
          <w:p>
            <w:pPr>
              <w:jc w:val="center"/>
              <w:spacing w:after="0"/>
              <w:rPr>
                <w:sz w:val="20"/>
                <w:szCs w:val="20"/>
                <w:color w:val="auto"/>
              </w:rPr>
            </w:pPr>
            <w:r>
              <w:rPr>
                <w:rFonts w:ascii="Arial" w:cs="Arial" w:eastAsia="Arial" w:hAnsi="Arial"/>
                <w:sz w:val="18"/>
                <w:szCs w:val="18"/>
                <w:color w:val="auto"/>
                <w:w w:val="99"/>
              </w:rPr>
              <w:t>12/31/18</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3/14/19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720" w:type="dxa"/>
            <w:vAlign w:val="bottom"/>
          </w:tcPr>
          <w:p>
            <w:pPr>
              <w:spacing w:after="0"/>
              <w:rPr>
                <w:sz w:val="15"/>
                <w:szCs w:val="15"/>
                <w:color w:val="auto"/>
              </w:rPr>
            </w:pPr>
          </w:p>
        </w:tc>
        <w:tc>
          <w:tcPr>
            <w:tcW w:w="612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r:id="rId76">
              <w:r>
                <w:rPr>
                  <w:rFonts w:ascii="Arial" w:cs="Arial" w:eastAsia="Arial" w:hAnsi="Arial"/>
                  <w:sz w:val="18"/>
                  <w:szCs w:val="18"/>
                  <w:color w:val="0000EE"/>
                </w:rPr>
                <w:t>Rule 13a-14(b) or Rule 15d-14(b) and Section 1350 of Chapter 63 of Title 18</w:t>
              </w:r>
            </w:hyperlink>
          </w:p>
        </w:tc>
        <w:tc>
          <w:tcPr>
            <w:tcW w:w="260" w:type="dxa"/>
            <w:vAlign w:val="bottom"/>
            <w:gridSpan w:val="5"/>
          </w:tcPr>
          <w:p>
            <w:pPr>
              <w:ind w:left="20"/>
              <w:spacing w:after="0" w:line="182" w:lineRule="exact"/>
              <w:rPr>
                <w:rFonts w:ascii="Arial" w:cs="Arial" w:eastAsia="Arial" w:hAnsi="Arial"/>
                <w:sz w:val="18"/>
                <w:szCs w:val="18"/>
                <w:color w:val="0000EE"/>
              </w:rPr>
            </w:pPr>
            <w:hyperlink r:id="rId76">
              <w:r>
                <w:rPr>
                  <w:rFonts w:ascii="Arial" w:cs="Arial" w:eastAsia="Arial" w:hAnsi="Arial"/>
                  <w:sz w:val="18"/>
                  <w:szCs w:val="18"/>
                  <w:color w:val="0000EE"/>
                </w:rPr>
                <w:t>of</w:t>
              </w:r>
            </w:hyperlink>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r:id="rId76">
              <w:r>
                <w:rPr>
                  <w:rFonts w:ascii="Arial" w:cs="Arial" w:eastAsia="Arial" w:hAnsi="Arial"/>
                  <w:sz w:val="18"/>
                  <w:szCs w:val="18"/>
                  <w:color w:val="0000EE"/>
                  <w:w w:val="98"/>
                </w:rPr>
                <w:t>the United States Code</w:t>
              </w:r>
            </w:hyperlink>
          </w:p>
        </w:tc>
        <w:tc>
          <w:tcPr>
            <w:tcW w:w="4420" w:type="dxa"/>
            <w:vAlign w:val="bottom"/>
            <w:tcBorders>
              <w:top w:val="single" w:sz="8" w:color="0000EE"/>
            </w:tcBorders>
            <w:gridSpan w:val="13"/>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-3077845</wp:posOffset>
            </wp:positionV>
            <wp:extent cx="7254875" cy="5436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7">
                      <a:extLst>
                        <a:ext uri="{28A0092B-C50C-407E-A947-70E740481C1C}"/>
                      </a:extLst>
                    </a:blip>
                    <a:srcRect/>
                    <a:stretch>
                      <a:fillRect/>
                    </a:stretch>
                  </pic:blipFill>
                  <pic:spPr bwMode="auto">
                    <a:xfrm>
                      <a:off x="0" y="0"/>
                      <a:ext cx="7254875" cy="5436870"/>
                    </a:xfrm>
                    <a:prstGeom prst="rect">
                      <a:avLst/>
                    </a:prstGeom>
                    <a:noFill/>
                  </pic:spPr>
                </pic:pic>
              </a:graphicData>
            </a:graphic>
          </wp:anchor>
        </w:drawing>
      </w:r>
    </w:p>
    <w:p>
      <w:pPr>
        <w:spacing w:after="0" w:line="158" w:lineRule="exact"/>
        <w:rPr>
          <w:sz w:val="20"/>
          <w:szCs w:val="20"/>
          <w:color w:val="auto"/>
        </w:rPr>
      </w:pPr>
    </w:p>
    <w:p>
      <w:pPr>
        <w:ind w:left="20" w:right="440"/>
        <w:spacing w:after="0" w:line="288" w:lineRule="auto"/>
        <w:rPr>
          <w:sz w:val="20"/>
          <w:szCs w:val="20"/>
          <w:color w:val="auto"/>
        </w:rPr>
      </w:pPr>
      <w:r>
        <w:rPr>
          <w:rFonts w:ascii="Arial" w:cs="Arial" w:eastAsia="Arial" w:hAnsi="Arial"/>
          <w:sz w:val="18"/>
          <w:szCs w:val="18"/>
          <w:b w:val="1"/>
          <w:bCs w:val="1"/>
          <w:color w:val="auto"/>
        </w:rPr>
        <w:t>The following information from the Registrant’s Annual Report on Form 10-K for the year ended December 31, 2018, formatted in eXtensible Business Reporting Language (XBRL), filed herewith:</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5"/>
          </w:tcPr>
          <w:p>
            <w:pPr>
              <w:spacing w:after="0" w:line="189" w:lineRule="exact"/>
              <w:rPr>
                <w:rFonts w:ascii="Arial" w:cs="Arial" w:eastAsia="Arial" w:hAnsi="Arial"/>
                <w:sz w:val="18"/>
                <w:szCs w:val="18"/>
                <w:color w:val="0000EE"/>
              </w:rPr>
            </w:pPr>
            <w:hyperlink r:id="rId78">
              <w:r>
                <w:rPr>
                  <w:rFonts w:ascii="Arial" w:cs="Arial" w:eastAsia="Arial" w:hAnsi="Arial"/>
                  <w:sz w:val="18"/>
                  <w:szCs w:val="18"/>
                  <w:color w:val="0000EE"/>
                </w:rPr>
                <w:t>101(i)</w:t>
              </w:r>
            </w:hyperlink>
          </w:p>
        </w:tc>
        <w:tc>
          <w:tcPr>
            <w:tcW w:w="6860" w:type="dxa"/>
            <w:vAlign w:val="bottom"/>
            <w:tcBorders>
              <w:top w:val="single" w:sz="8" w:color="auto"/>
            </w:tcBorders>
            <w:gridSpan w:val="9"/>
          </w:tcPr>
          <w:p>
            <w:pPr>
              <w:spacing w:after="0" w:line="189" w:lineRule="exact"/>
              <w:rPr>
                <w:rFonts w:ascii="Arial" w:cs="Arial" w:eastAsia="Arial" w:hAnsi="Arial"/>
                <w:sz w:val="18"/>
                <w:szCs w:val="18"/>
                <w:color w:val="0000EE"/>
              </w:rPr>
            </w:pPr>
            <w:hyperlink r:id="rId78">
              <w:r>
                <w:rPr>
                  <w:rFonts w:ascii="Arial" w:cs="Arial" w:eastAsia="Arial" w:hAnsi="Arial"/>
                  <w:sz w:val="18"/>
                  <w:szCs w:val="18"/>
                  <w:color w:val="0000EE"/>
                </w:rPr>
                <w:t>Consolidated Statements of Income for the years ended December 31, 2018,</w:t>
              </w:r>
            </w:hyperlink>
          </w:p>
        </w:tc>
        <w:tc>
          <w:tcPr>
            <w:tcW w:w="1280" w:type="dxa"/>
            <w:vAlign w:val="bottom"/>
            <w:tcBorders>
              <w:top w:val="single" w:sz="8" w:color="auto"/>
            </w:tcBorders>
          </w:tcPr>
          <w:p>
            <w:pPr>
              <w:ind w:left="720"/>
              <w:spacing w:after="0" w:line="189" w:lineRule="exact"/>
              <w:rPr>
                <w:sz w:val="20"/>
                <w:szCs w:val="20"/>
                <w:color w:val="auto"/>
              </w:rPr>
            </w:pPr>
            <w:r>
              <w:rPr>
                <w:rFonts w:ascii="Arial" w:cs="Arial" w:eastAsia="Arial" w:hAnsi="Arial"/>
                <w:sz w:val="18"/>
                <w:szCs w:val="18"/>
                <w:color w:val="auto"/>
              </w:rPr>
              <w:t>10-K</w:t>
            </w:r>
          </w:p>
        </w:tc>
        <w:tc>
          <w:tcPr>
            <w:tcW w:w="1060" w:type="dxa"/>
            <w:vAlign w:val="bottom"/>
            <w:tcBorders>
              <w:top w:val="single" w:sz="8" w:color="auto"/>
            </w:tcBorders>
          </w:tcPr>
          <w:p>
            <w:pPr>
              <w:jc w:val="right"/>
              <w:ind w:right="90"/>
              <w:spacing w:after="0" w:line="189" w:lineRule="exact"/>
              <w:rPr>
                <w:sz w:val="20"/>
                <w:szCs w:val="20"/>
                <w:color w:val="auto"/>
              </w:rPr>
            </w:pPr>
            <w:r>
              <w:rPr>
                <w:rFonts w:ascii="Arial" w:cs="Arial" w:eastAsia="Arial" w:hAnsi="Arial"/>
                <w:sz w:val="18"/>
                <w:szCs w:val="18"/>
                <w:color w:val="auto"/>
              </w:rPr>
              <w:t>12/31/18</w:t>
            </w:r>
          </w:p>
        </w:tc>
        <w:tc>
          <w:tcPr>
            <w:tcW w:w="1080" w:type="dxa"/>
            <w:vAlign w:val="bottom"/>
            <w:tcBorders>
              <w:top w:val="single" w:sz="8" w:color="auto"/>
            </w:tcBorders>
          </w:tcPr>
          <w:p>
            <w:pPr>
              <w:jc w:val="right"/>
              <w:ind w:right="190"/>
              <w:spacing w:after="0" w:line="189" w:lineRule="exact"/>
              <w:rPr>
                <w:sz w:val="20"/>
                <w:szCs w:val="20"/>
                <w:color w:val="auto"/>
              </w:rPr>
            </w:pPr>
            <w:r>
              <w:rPr>
                <w:rFonts w:ascii="Arial" w:cs="Arial" w:eastAsia="Arial" w:hAnsi="Arial"/>
                <w:sz w:val="18"/>
                <w:szCs w:val="18"/>
                <w:color w:val="auto"/>
              </w:rPr>
              <w:t>3/14/19</w:t>
            </w: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r:id="rId78">
              <w:r>
                <w:rPr>
                  <w:rFonts w:ascii="Arial" w:cs="Arial" w:eastAsia="Arial" w:hAnsi="Arial"/>
                  <w:sz w:val="18"/>
                  <w:szCs w:val="18"/>
                  <w:color w:val="0000EE"/>
                  <w:w w:val="98"/>
                </w:rPr>
                <w:t>2017 and 2016</w:t>
              </w:r>
            </w:hyperlink>
          </w:p>
        </w:tc>
        <w:tc>
          <w:tcPr>
            <w:tcW w:w="4920" w:type="dxa"/>
            <w:vAlign w:val="bottom"/>
            <w:tcBorders>
              <w:top w:val="single" w:sz="8" w:color="0000EE"/>
            </w:tcBorders>
            <w:gridSpan w:val="7"/>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58"/>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r:id="rId79">
              <w:r>
                <w:rPr>
                  <w:rFonts w:ascii="Arial" w:cs="Arial" w:eastAsia="Arial" w:hAnsi="Arial"/>
                  <w:sz w:val="18"/>
                  <w:szCs w:val="18"/>
                  <w:color w:val="0000EE"/>
                </w:rPr>
                <w:t>101(ii)</w:t>
              </w:r>
            </w:hyperlink>
          </w:p>
        </w:tc>
        <w:tc>
          <w:tcPr>
            <w:tcW w:w="6860" w:type="dxa"/>
            <w:vAlign w:val="bottom"/>
            <w:gridSpan w:val="9"/>
          </w:tcPr>
          <w:p>
            <w:pPr>
              <w:spacing w:after="0"/>
              <w:rPr>
                <w:rFonts w:ascii="Arial" w:cs="Arial" w:eastAsia="Arial" w:hAnsi="Arial"/>
                <w:sz w:val="18"/>
                <w:szCs w:val="18"/>
                <w:color w:val="0000EE"/>
              </w:rPr>
            </w:pPr>
            <w:hyperlink r:id="rId79">
              <w:r>
                <w:rPr>
                  <w:rFonts w:ascii="Arial" w:cs="Arial" w:eastAsia="Arial" w:hAnsi="Arial"/>
                  <w:sz w:val="18"/>
                  <w:szCs w:val="18"/>
                  <w:color w:val="0000EE"/>
                </w:rPr>
                <w:t>Consolidated Statements of Comprehensive Income for the years ended</w:t>
              </w:r>
            </w:hyperlink>
          </w:p>
        </w:tc>
        <w:tc>
          <w:tcPr>
            <w:tcW w:w="1280" w:type="dxa"/>
            <w:vAlign w:val="bottom"/>
          </w:tcPr>
          <w:p>
            <w:pPr>
              <w:ind w:left="720"/>
              <w:spacing w:after="0"/>
              <w:rPr>
                <w:sz w:val="20"/>
                <w:szCs w:val="20"/>
                <w:color w:val="auto"/>
              </w:rPr>
            </w:pPr>
            <w:r>
              <w:rPr>
                <w:rFonts w:ascii="Arial" w:cs="Arial" w:eastAsia="Arial" w:hAnsi="Arial"/>
                <w:sz w:val="18"/>
                <w:szCs w:val="18"/>
                <w:color w:val="auto"/>
              </w:rPr>
              <w:t>10-K</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12/31/18</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3/14/19</w:t>
            </w: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76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December 31, 2018, 2017, and 2016</w:t>
              </w:r>
            </w:hyperlink>
          </w:p>
        </w:tc>
        <w:tc>
          <w:tcPr>
            <w:tcW w:w="22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r:id="rId80">
              <w:r>
                <w:rPr>
                  <w:rFonts w:ascii="Arial" w:cs="Arial" w:eastAsia="Arial" w:hAnsi="Arial"/>
                  <w:sz w:val="18"/>
                  <w:szCs w:val="18"/>
                  <w:color w:val="0000EE"/>
                </w:rPr>
                <w:t>101(iii)</w:t>
              </w:r>
            </w:hyperlink>
          </w:p>
        </w:tc>
        <w:tc>
          <w:tcPr>
            <w:tcW w:w="6860" w:type="dxa"/>
            <w:vAlign w:val="bottom"/>
            <w:gridSpan w:val="9"/>
          </w:tcPr>
          <w:p>
            <w:pPr>
              <w:spacing w:after="0"/>
              <w:rPr>
                <w:rFonts w:ascii="Arial" w:cs="Arial" w:eastAsia="Arial" w:hAnsi="Arial"/>
                <w:sz w:val="18"/>
                <w:szCs w:val="18"/>
                <w:color w:val="0000EE"/>
              </w:rPr>
            </w:pPr>
            <w:hyperlink r:id="rId80">
              <w:r>
                <w:rPr>
                  <w:rFonts w:ascii="Arial" w:cs="Arial" w:eastAsia="Arial" w:hAnsi="Arial"/>
                  <w:sz w:val="18"/>
                  <w:szCs w:val="18"/>
                  <w:color w:val="0000EE"/>
                </w:rPr>
                <w:t>Consolidated Balance Sheets as of December 31, 2018 and 2017</w:t>
              </w:r>
            </w:hyperlink>
          </w:p>
        </w:tc>
        <w:tc>
          <w:tcPr>
            <w:tcW w:w="1280" w:type="dxa"/>
            <w:vAlign w:val="bottom"/>
          </w:tcPr>
          <w:p>
            <w:pPr>
              <w:ind w:left="720"/>
              <w:spacing w:after="0"/>
              <w:rPr>
                <w:sz w:val="20"/>
                <w:szCs w:val="20"/>
                <w:color w:val="auto"/>
              </w:rPr>
            </w:pPr>
            <w:r>
              <w:rPr>
                <w:rFonts w:ascii="Arial" w:cs="Arial" w:eastAsia="Arial" w:hAnsi="Arial"/>
                <w:sz w:val="18"/>
                <w:szCs w:val="18"/>
                <w:color w:val="auto"/>
              </w:rPr>
              <w:t>10-K</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12/31/18</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3/14/19</w:t>
            </w:r>
          </w:p>
        </w:tc>
      </w:tr>
      <w:tr>
        <w:trPr>
          <w:trHeight w:val="20"/>
        </w:trPr>
        <w:tc>
          <w:tcPr>
            <w:tcW w:w="20" w:type="dxa"/>
            <w:vAlign w:val="bottom"/>
          </w:tcPr>
          <w:p>
            <w:pPr>
              <w:spacing w:after="0" w:line="20" w:lineRule="exact"/>
              <w:rPr>
                <w:sz w:val="1"/>
                <w:szCs w:val="1"/>
                <w:color w:val="auto"/>
              </w:rPr>
            </w:pPr>
          </w:p>
        </w:tc>
        <w:tc>
          <w:tcPr>
            <w:tcW w:w="54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760" w:type="dxa"/>
            <w:vAlign w:val="bottom"/>
            <w:gridSpan w:val="2"/>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color w:val="0000EE"/>
              </w:rPr>
            </w:pPr>
            <w:hyperlink r:id="rId81">
              <w:r>
                <w:rPr>
                  <w:rFonts w:ascii="Arial" w:cs="Arial" w:eastAsia="Arial" w:hAnsi="Arial"/>
                  <w:sz w:val="18"/>
                  <w:szCs w:val="18"/>
                  <w:color w:val="0000EE"/>
                </w:rPr>
                <w:t>101(iv)</w:t>
              </w:r>
            </w:hyperlink>
          </w:p>
        </w:tc>
        <w:tc>
          <w:tcPr>
            <w:tcW w:w="6860" w:type="dxa"/>
            <w:vAlign w:val="bottom"/>
            <w:gridSpan w:val="9"/>
          </w:tcPr>
          <w:p>
            <w:pPr>
              <w:spacing w:after="0"/>
              <w:rPr>
                <w:rFonts w:ascii="Arial" w:cs="Arial" w:eastAsia="Arial" w:hAnsi="Arial"/>
                <w:sz w:val="18"/>
                <w:szCs w:val="18"/>
                <w:color w:val="0000EE"/>
              </w:rPr>
            </w:pPr>
            <w:hyperlink r:id="rId81">
              <w:r>
                <w:rPr>
                  <w:rFonts w:ascii="Arial" w:cs="Arial" w:eastAsia="Arial" w:hAnsi="Arial"/>
                  <w:sz w:val="18"/>
                  <w:szCs w:val="18"/>
                  <w:color w:val="0000EE"/>
                </w:rPr>
                <w:t>Consolidated Statements of Cash Flows for the years ended December 31,</w:t>
              </w:r>
            </w:hyperlink>
          </w:p>
        </w:tc>
        <w:tc>
          <w:tcPr>
            <w:tcW w:w="1280" w:type="dxa"/>
            <w:vAlign w:val="bottom"/>
          </w:tcPr>
          <w:p>
            <w:pPr>
              <w:ind w:left="720"/>
              <w:spacing w:after="0"/>
              <w:rPr>
                <w:sz w:val="20"/>
                <w:szCs w:val="20"/>
                <w:color w:val="auto"/>
              </w:rPr>
            </w:pPr>
            <w:r>
              <w:rPr>
                <w:rFonts w:ascii="Arial" w:cs="Arial" w:eastAsia="Arial" w:hAnsi="Arial"/>
                <w:sz w:val="18"/>
                <w:szCs w:val="18"/>
                <w:color w:val="auto"/>
              </w:rPr>
              <w:t>10-K</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12/31/18</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3/14/19</w:t>
            </w: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580" w:type="dxa"/>
            <w:vAlign w:val="bottom"/>
          </w:tcPr>
          <w:p>
            <w:pPr>
              <w:spacing w:after="0"/>
              <w:rPr>
                <w:sz w:val="15"/>
                <w:szCs w:val="15"/>
                <w:color w:val="auto"/>
              </w:rPr>
            </w:pPr>
          </w:p>
        </w:tc>
        <w:tc>
          <w:tcPr>
            <w:tcW w:w="59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2018, 2017, and 2016</w:t>
              </w:r>
            </w:hyperlink>
          </w:p>
        </w:tc>
        <w:tc>
          <w:tcPr>
            <w:tcW w:w="880" w:type="dxa"/>
            <w:vAlign w:val="bottom"/>
            <w:gridSpan w:val="2"/>
          </w:tcPr>
          <w:p>
            <w:pPr>
              <w:spacing w:after="0"/>
              <w:rPr>
                <w:sz w:val="15"/>
                <w:szCs w:val="15"/>
                <w:color w:val="auto"/>
              </w:rPr>
            </w:pPr>
          </w:p>
        </w:tc>
        <w:tc>
          <w:tcPr>
            <w:tcW w:w="1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40" w:type="dxa"/>
            <w:vAlign w:val="bottom"/>
            <w:tcBorders>
              <w:bottom w:val="single" w:sz="8" w:color="0000EE"/>
            </w:tcBorders>
            <w:gridSpan w:val="3"/>
          </w:tcPr>
          <w:p>
            <w:pPr>
              <w:spacing w:after="0"/>
              <w:rPr>
                <w:rFonts w:ascii="Arial" w:cs="Arial" w:eastAsia="Arial" w:hAnsi="Arial"/>
                <w:sz w:val="18"/>
                <w:szCs w:val="18"/>
                <w:color w:val="0000EE"/>
                <w:w w:val="97"/>
              </w:rPr>
            </w:pPr>
            <w:hyperlink r:id="rId82">
              <w:r>
                <w:rPr>
                  <w:rFonts w:ascii="Arial" w:cs="Arial" w:eastAsia="Arial" w:hAnsi="Arial"/>
                  <w:sz w:val="18"/>
                  <w:szCs w:val="18"/>
                  <w:color w:val="0000EE"/>
                  <w:w w:val="97"/>
                </w:rPr>
                <w:t>101(v)</w:t>
              </w:r>
            </w:hyperlink>
          </w:p>
        </w:tc>
        <w:tc>
          <w:tcPr>
            <w:tcW w:w="600" w:type="dxa"/>
            <w:vAlign w:val="bottom"/>
            <w:gridSpan w:val="2"/>
          </w:tcPr>
          <w:p>
            <w:pPr>
              <w:spacing w:after="0"/>
              <w:rPr>
                <w:sz w:val="24"/>
                <w:szCs w:val="24"/>
                <w:color w:val="auto"/>
              </w:rPr>
            </w:pPr>
          </w:p>
        </w:tc>
        <w:tc>
          <w:tcPr>
            <w:tcW w:w="3500" w:type="dxa"/>
            <w:vAlign w:val="bottom"/>
            <w:tcBorders>
              <w:bottom w:val="single" w:sz="8" w:color="0000EE"/>
            </w:tcBorders>
            <w:gridSpan w:val="4"/>
          </w:tcPr>
          <w:p>
            <w:pPr>
              <w:spacing w:after="0"/>
              <w:rPr>
                <w:rFonts w:ascii="Arial" w:cs="Arial" w:eastAsia="Arial" w:hAnsi="Arial"/>
                <w:sz w:val="18"/>
                <w:szCs w:val="18"/>
                <w:color w:val="0000EE"/>
                <w:w w:val="99"/>
              </w:rPr>
            </w:pPr>
            <w:hyperlink r:id="rId82">
              <w:r>
                <w:rPr>
                  <w:rFonts w:ascii="Arial" w:cs="Arial" w:eastAsia="Arial" w:hAnsi="Arial"/>
                  <w:sz w:val="18"/>
                  <w:szCs w:val="18"/>
                  <w:color w:val="0000EE"/>
                  <w:w w:val="99"/>
                </w:rPr>
                <w:t>Notes to Consolidated Financial Statements</w:t>
              </w:r>
            </w:hyperlink>
          </w:p>
        </w:tc>
        <w:tc>
          <w:tcPr>
            <w:tcW w:w="3360" w:type="dxa"/>
            <w:vAlign w:val="bottom"/>
            <w:gridSpan w:val="5"/>
          </w:tcPr>
          <w:p>
            <w:pPr>
              <w:spacing w:after="0"/>
              <w:rPr>
                <w:sz w:val="24"/>
                <w:szCs w:val="24"/>
                <w:color w:val="auto"/>
              </w:rPr>
            </w:pPr>
          </w:p>
        </w:tc>
        <w:tc>
          <w:tcPr>
            <w:tcW w:w="1280" w:type="dxa"/>
            <w:vAlign w:val="bottom"/>
          </w:tcPr>
          <w:p>
            <w:pPr>
              <w:ind w:left="720"/>
              <w:spacing w:after="0"/>
              <w:rPr>
                <w:sz w:val="20"/>
                <w:szCs w:val="20"/>
                <w:color w:val="auto"/>
              </w:rPr>
            </w:pPr>
            <w:r>
              <w:rPr>
                <w:rFonts w:ascii="Arial" w:cs="Arial" w:eastAsia="Arial" w:hAnsi="Arial"/>
                <w:sz w:val="18"/>
                <w:szCs w:val="18"/>
                <w:color w:val="auto"/>
              </w:rPr>
              <w:t>10-K</w:t>
            </w:r>
          </w:p>
        </w:tc>
        <w:tc>
          <w:tcPr>
            <w:tcW w:w="1060" w:type="dxa"/>
            <w:vAlign w:val="bottom"/>
          </w:tcPr>
          <w:p>
            <w:pPr>
              <w:jc w:val="right"/>
              <w:ind w:right="90"/>
              <w:spacing w:after="0"/>
              <w:rPr>
                <w:sz w:val="20"/>
                <w:szCs w:val="20"/>
                <w:color w:val="auto"/>
              </w:rPr>
            </w:pPr>
            <w:r>
              <w:rPr>
                <w:rFonts w:ascii="Arial" w:cs="Arial" w:eastAsia="Arial" w:hAnsi="Arial"/>
                <w:sz w:val="18"/>
                <w:szCs w:val="18"/>
                <w:color w:val="auto"/>
              </w:rPr>
              <w:t>12/31/18</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3/14/19</w:t>
            </w:r>
          </w:p>
        </w:tc>
      </w:tr>
    </w:tbl>
    <w:p>
      <w:pPr>
        <w:spacing w:after="0" w:line="166" w:lineRule="exact"/>
        <w:rPr>
          <w:sz w:val="20"/>
          <w:szCs w:val="20"/>
          <w:color w:val="auto"/>
        </w:rPr>
      </w:pPr>
    </w:p>
    <w:p>
      <w:pPr>
        <w:ind w:left="20" w:right="180" w:firstLine="2"/>
        <w:spacing w:after="0" w:line="276" w:lineRule="auto"/>
        <w:tabs>
          <w:tab w:leader="none" w:pos="1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 provided in Rule 406T of Regulation S-T, this information shall not be deemed “filed” for purposes of Sections 11 and 12 of the Securities Act and Section 18 of the Securities Exchange Act or otherwise subject to liability under those sections.</w:t>
      </w:r>
    </w:p>
    <w:p>
      <w:pPr>
        <w:spacing w:after="0" w:line="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40"/>
          </w:cols>
          <w:pgMar w:left="240" w:top="466" w:right="219" w:bottom="1440" w:gutter="0" w:footer="0" w:header="0"/>
        </w:sectPr>
      </w:pPr>
    </w:p>
    <w:bookmarkStart w:id="53" w:name="page54"/>
    <w:bookmarkEnd w:id="53"/>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32" w:lineRule="exact"/>
        <w:rPr>
          <w:sz w:val="20"/>
          <w:szCs w:val="20"/>
          <w:color w:val="auto"/>
        </w:rPr>
      </w:pPr>
    </w:p>
    <w:p>
      <w:pPr>
        <w:jc w:val="center"/>
        <w:ind w:left="5720"/>
        <w:spacing w:after="0"/>
        <w:rPr>
          <w:sz w:val="20"/>
          <w:szCs w:val="20"/>
          <w:color w:val="auto"/>
        </w:rPr>
      </w:pPr>
      <w:r>
        <w:rPr>
          <w:rFonts w:ascii="Arial" w:cs="Arial" w:eastAsia="Arial" w:hAnsi="Arial"/>
          <w:sz w:val="18"/>
          <w:szCs w:val="18"/>
          <w:u w:val="single" w:color="auto"/>
          <w:color w:val="auto"/>
        </w:rPr>
        <w:t>ALBANY INTERNATIONAL CORP.</w:t>
      </w:r>
    </w:p>
    <w:p>
      <w:pPr>
        <w:spacing w:after="0" w:line="18"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(Registrant)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Date: May 1, 2019</w:t>
      </w:r>
    </w:p>
    <w:p>
      <w:pPr>
        <w:spacing w:after="0" w:line="2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Stephen M. Nolan</w:t>
      </w:r>
    </w:p>
    <w:p>
      <w:pPr>
        <w:spacing w:after="0" w:line="1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Stephen M. Nolan</w:t>
      </w:r>
    </w:p>
    <w:p>
      <w:pPr>
        <w:ind w:left="778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(Principal Financial Officer)</w:t>
      </w:r>
    </w:p>
    <w:p>
      <w:pPr>
        <w:spacing w:after="0" w:line="8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8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000"/>
          </w:cols>
          <w:pgMar w:left="240" w:top="466" w:right="65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22"/>
          <w:szCs w:val="22"/>
          <w:i w:val="1"/>
          <w:iCs w:val="1"/>
          <w:color w:val="auto"/>
        </w:rPr>
        <w:t>Exhibit 10(u)(ii)</w:t>
      </w:r>
    </w:p>
    <w:p>
      <w:pPr>
        <w:spacing w:after="0" w:line="236" w:lineRule="exact"/>
        <w:rPr>
          <w:sz w:val="20"/>
          <w:szCs w:val="20"/>
          <w:color w:val="auto"/>
        </w:rPr>
      </w:pPr>
    </w:p>
    <w:p>
      <w:pPr>
        <w:ind w:left="3944"/>
        <w:spacing w:after="0"/>
        <w:rPr>
          <w:sz w:val="20"/>
          <w:szCs w:val="20"/>
          <w:color w:val="auto"/>
        </w:rPr>
      </w:pPr>
      <w:r>
        <w:rPr>
          <w:rFonts w:ascii="Times New Roman" w:cs="Times New Roman" w:eastAsia="Times New Roman" w:hAnsi="Times New Roman"/>
          <w:sz w:val="22"/>
          <w:szCs w:val="22"/>
          <w:color w:val="auto"/>
        </w:rPr>
        <w:t>AMENDMENT NO. 2 to</w:t>
      </w:r>
    </w:p>
    <w:p>
      <w:pPr>
        <w:spacing w:after="0" w:line="14" w:lineRule="exact"/>
        <w:rPr>
          <w:sz w:val="20"/>
          <w:szCs w:val="20"/>
          <w:color w:val="auto"/>
        </w:rPr>
      </w:pPr>
    </w:p>
    <w:p>
      <w:pPr>
        <w:ind w:left="3664"/>
        <w:spacing w:after="0"/>
        <w:rPr>
          <w:sz w:val="20"/>
          <w:szCs w:val="20"/>
          <w:color w:val="auto"/>
        </w:rPr>
      </w:pPr>
      <w:r>
        <w:rPr>
          <w:rFonts w:ascii="Times New Roman" w:cs="Times New Roman" w:eastAsia="Times New Roman" w:hAnsi="Times New Roman"/>
          <w:sz w:val="22"/>
          <w:szCs w:val="22"/>
          <w:color w:val="auto"/>
        </w:rPr>
        <w:t>EMPLOYMENT AGREEMENT</w:t>
      </w:r>
    </w:p>
    <w:p>
      <w:pPr>
        <w:spacing w:after="0" w:line="209" w:lineRule="exact"/>
        <w:rPr>
          <w:sz w:val="20"/>
          <w:szCs w:val="20"/>
          <w:color w:val="auto"/>
        </w:rPr>
      </w:pPr>
    </w:p>
    <w:p>
      <w:pPr>
        <w:ind w:left="4" w:right="760" w:firstLine="972"/>
        <w:spacing w:after="0" w:line="258" w:lineRule="auto"/>
        <w:rPr>
          <w:sz w:val="20"/>
          <w:szCs w:val="20"/>
          <w:color w:val="auto"/>
        </w:rPr>
      </w:pPr>
      <w:r>
        <w:rPr>
          <w:rFonts w:ascii="Times New Roman" w:cs="Times New Roman" w:eastAsia="Times New Roman" w:hAnsi="Times New Roman"/>
          <w:sz w:val="22"/>
          <w:szCs w:val="22"/>
          <w:color w:val="auto"/>
        </w:rPr>
        <w:t>This AMENDMENT NO. 2, dated as of March 15, 2019 (the “Amendment”), is by and between Albany International Corp. (the "Company") and Olivier Jarrault ("Executive").</w:t>
      </w:r>
    </w:p>
    <w:p>
      <w:pPr>
        <w:spacing w:after="0" w:line="185" w:lineRule="exact"/>
        <w:rPr>
          <w:sz w:val="20"/>
          <w:szCs w:val="20"/>
          <w:color w:val="auto"/>
        </w:rPr>
      </w:pPr>
    </w:p>
    <w:p>
      <w:pPr>
        <w:ind w:left="4" w:right="600" w:firstLine="972"/>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Agreement entered into as of March 2, 2018, relating to Executive’s employment by the Company (the “Agreement”); and</w:t>
      </w:r>
    </w:p>
    <w:p>
      <w:pPr>
        <w:spacing w:after="0" w:line="185" w:lineRule="exact"/>
        <w:rPr>
          <w:sz w:val="20"/>
          <w:szCs w:val="20"/>
          <w:color w:val="auto"/>
        </w:rPr>
      </w:pPr>
    </w:p>
    <w:p>
      <w:pPr>
        <w:ind w:left="4" w:right="720" w:firstLine="972"/>
        <w:spacing w:after="0" w:line="258" w:lineRule="auto"/>
        <w:rPr>
          <w:sz w:val="20"/>
          <w:szCs w:val="20"/>
          <w:color w:val="auto"/>
        </w:rPr>
      </w:pPr>
      <w:r>
        <w:rPr>
          <w:rFonts w:ascii="Times New Roman" w:cs="Times New Roman" w:eastAsia="Times New Roman" w:hAnsi="Times New Roman"/>
          <w:sz w:val="22"/>
          <w:szCs w:val="22"/>
          <w:color w:val="auto"/>
        </w:rPr>
        <w:t>WHEREAS, the Agreement was previously amended pursuant to that certain Amendment No.1, dated as of July 9, 2018; and</w:t>
      </w:r>
    </w:p>
    <w:p>
      <w:pPr>
        <w:spacing w:after="0" w:line="185" w:lineRule="exact"/>
        <w:rPr>
          <w:sz w:val="20"/>
          <w:szCs w:val="20"/>
          <w:color w:val="auto"/>
        </w:rPr>
      </w:pPr>
    </w:p>
    <w:p>
      <w:pPr>
        <w:ind w:left="4" w:right="920" w:firstLine="972"/>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desire to further amend the Agreement to extend the time by which Executive is expected to relocate;</w:t>
      </w:r>
    </w:p>
    <w:p>
      <w:pPr>
        <w:spacing w:after="0" w:line="185" w:lineRule="exact"/>
        <w:rPr>
          <w:sz w:val="20"/>
          <w:szCs w:val="20"/>
          <w:color w:val="auto"/>
        </w:rPr>
      </w:pPr>
    </w:p>
    <w:p>
      <w:pPr>
        <w:ind w:left="4" w:right="680" w:firstLine="972"/>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premises, the mutual covenants and the agreements hereinafter set forth and other good and valuable consideration, the parties hereto hereby agree that the Agreement is hereby amended as follows, with effect from the Effective Date (as defined in the Agreement):</w:t>
      </w:r>
    </w:p>
    <w:p>
      <w:pPr>
        <w:spacing w:after="0" w:line="200" w:lineRule="exact"/>
        <w:rPr>
          <w:sz w:val="20"/>
          <w:szCs w:val="20"/>
          <w:color w:val="auto"/>
        </w:rPr>
      </w:pPr>
    </w:p>
    <w:p>
      <w:pPr>
        <w:spacing w:after="0" w:line="244" w:lineRule="exact"/>
        <w:rPr>
          <w:sz w:val="20"/>
          <w:szCs w:val="20"/>
          <w:color w:val="auto"/>
        </w:rPr>
      </w:pPr>
    </w:p>
    <w:p>
      <w:pPr>
        <w:ind w:left="344" w:hanging="344"/>
        <w:spacing w:after="0"/>
        <w:tabs>
          <w:tab w:leader="none" w:pos="34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xml:space="preserve"> Unless otherwise defined herein, terms defined in the Agreement are used herein as therein defined.</w:t>
      </w:r>
    </w:p>
    <w:p>
      <w:pPr>
        <w:spacing w:after="0" w:line="206" w:lineRule="exact"/>
        <w:rPr>
          <w:rFonts w:ascii="Times New Roman" w:cs="Times New Roman" w:eastAsia="Times New Roman" w:hAnsi="Times New Roman"/>
          <w:sz w:val="22"/>
          <w:szCs w:val="22"/>
          <w:color w:val="auto"/>
        </w:rPr>
      </w:pPr>
    </w:p>
    <w:p>
      <w:pPr>
        <w:ind w:left="224" w:hanging="224"/>
        <w:spacing w:after="0"/>
        <w:tabs>
          <w:tab w:leader="none" w:pos="224"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Clause (e) of paragraph 3 of the Agreement is hereby amended and restated in its entirety to read as follows:</w:t>
      </w:r>
    </w:p>
    <w:p>
      <w:pPr>
        <w:spacing w:after="0" w:line="233" w:lineRule="exact"/>
        <w:rPr>
          <w:sz w:val="20"/>
          <w:szCs w:val="20"/>
          <w:color w:val="auto"/>
        </w:rPr>
      </w:pPr>
    </w:p>
    <w:p>
      <w:pPr>
        <w:ind w:left="484" w:right="1140" w:firstLine="651"/>
        <w:spacing w:after="0" w:line="243" w:lineRule="auto"/>
        <w:tabs>
          <w:tab w:leader="none" w:pos="142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Relocation. Executive shall relocate to Rochester, New Hampshire area no later than December 31, 2019. In the interim, Executive shall be reimbursed for temporary housing expenses and shall be entitled to such other relocation benefits as (i) are provided for pursuant to the Company's Executive Relocation Policy, a copy of which has been provided to the Executive, with the caveat that neither the one-year policy expiration nor 90-day temporary housing limit shall apply to Executive, or (ii) are approved by the Chairman of the Board of the Company. Provided such expenses are incurred in compliance with the Company’s travel and expense policy, or have otherwise been approved by the Chairman, the Company will pay or reimburse Executive for all flight expenses incurred prior to December 31, 2019 for travel from any Company work location to Los Angeles, California, travel from Los Angeles, California to any Company work location, and travel from any Company work location to any other Company work location through Los Angeles, California. (Evidence of approval of any item covered by this clause may be in the form of an expense or relocation report reflecting such expenses that is approved by the Chairman.) The Company will provide tax assistance (gross-up) to Executive on all</w:t>
      </w:r>
    </w:p>
    <w:p>
      <w:pPr>
        <w:spacing w:after="0" w:line="6"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22"/>
          <w:szCs w:val="22"/>
          <w:color w:val="auto"/>
        </w:rPr>
        <w:t xml:space="preserve">Page 1 of </w:t>
      </w:r>
      <w:r>
        <w:rPr>
          <w:rFonts w:ascii="Times New Roman" w:cs="Times New Roman" w:eastAsia="Times New Roman" w:hAnsi="Times New Roman"/>
          <w:sz w:val="22"/>
          <w:szCs w:val="22"/>
          <w:b w:val="1"/>
          <w:bCs w:val="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-3175</wp:posOffset>
            </wp:positionV>
            <wp:extent cx="7246620" cy="431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5">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0764"/>
          </w:cols>
          <w:pgMar w:left="896" w:top="110" w:right="239" w:bottom="1440" w:gutter="0" w:footer="0" w:header="0"/>
        </w:sectPr>
      </w:pPr>
    </w:p>
    <w:bookmarkStart w:id="55" w:name="page56"/>
    <w:bookmarkEnd w:id="55"/>
    <w:p>
      <w:pPr>
        <w:ind w:left="1140" w:right="1440"/>
        <w:spacing w:after="0" w:line="258" w:lineRule="auto"/>
        <w:rPr>
          <w:sz w:val="20"/>
          <w:szCs w:val="20"/>
          <w:color w:val="auto"/>
        </w:rPr>
      </w:pPr>
      <w:r>
        <w:rPr>
          <w:rFonts w:ascii="Times New Roman" w:cs="Times New Roman" w:eastAsia="Times New Roman" w:hAnsi="Times New Roman"/>
          <w:sz w:val="22"/>
          <w:szCs w:val="22"/>
          <w:color w:val="auto"/>
        </w:rPr>
        <w:t>such expenses for travel to, from, or through Los Angeles, California that are personal to Executive or will appear as income on Executive's Form W-2.</w:t>
      </w:r>
    </w:p>
    <w:p>
      <w:pPr>
        <w:spacing w:after="0" w:line="185" w:lineRule="exact"/>
        <w:rPr>
          <w:sz w:val="20"/>
          <w:szCs w:val="20"/>
          <w:color w:val="auto"/>
        </w:rPr>
      </w:pPr>
    </w:p>
    <w:p>
      <w:pPr>
        <w:ind w:left="660" w:right="960" w:hanging="4"/>
        <w:spacing w:after="0" w:line="244" w:lineRule="auto"/>
        <w:tabs>
          <w:tab w:leader="none" w:pos="87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expressly amended, modified and supplemented hereby, or as in Amendment No. 1, the terms, provisions and conditions of the Agreement are unchanged and in full force and effect and are hereby ratified and confirmed in all respects.</w:t>
      </w:r>
    </w:p>
    <w:p>
      <w:pPr>
        <w:spacing w:after="0" w:line="200" w:lineRule="exact"/>
        <w:rPr>
          <w:rFonts w:ascii="Times New Roman" w:cs="Times New Roman" w:eastAsia="Times New Roman" w:hAnsi="Times New Roman"/>
          <w:sz w:val="22"/>
          <w:szCs w:val="22"/>
          <w:color w:val="auto"/>
        </w:rPr>
      </w:pPr>
    </w:p>
    <w:p>
      <w:pPr>
        <w:ind w:left="660" w:right="720" w:hanging="4"/>
        <w:spacing w:after="0" w:line="258" w:lineRule="auto"/>
        <w:tabs>
          <w:tab w:leader="none" w:pos="876"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may be executed in counterparts, and each counterpart will have the same force and effect as an original and will constitute an effective, binding agreement on the part of each of the undersigned.</w:t>
      </w:r>
    </w:p>
    <w:p>
      <w:pPr>
        <w:spacing w:after="0" w:line="200" w:lineRule="exact"/>
        <w:rPr>
          <w:sz w:val="20"/>
          <w:szCs w:val="20"/>
          <w:color w:val="auto"/>
        </w:rPr>
      </w:pPr>
    </w:p>
    <w:p>
      <w:pPr>
        <w:spacing w:after="0" w:line="228" w:lineRule="exact"/>
        <w:rPr>
          <w:sz w:val="20"/>
          <w:szCs w:val="20"/>
          <w:color w:val="auto"/>
        </w:rPr>
      </w:pPr>
    </w:p>
    <w:p>
      <w:pPr>
        <w:ind w:left="660" w:right="580" w:firstLine="324"/>
        <w:spacing w:after="0" w:line="258" w:lineRule="auto"/>
        <w:rPr>
          <w:sz w:val="20"/>
          <w:szCs w:val="20"/>
          <w:color w:val="auto"/>
        </w:rPr>
      </w:pPr>
      <w:r>
        <w:rPr>
          <w:rFonts w:ascii="Times New Roman" w:cs="Times New Roman" w:eastAsia="Times New Roman" w:hAnsi="Times New Roman"/>
          <w:sz w:val="22"/>
          <w:szCs w:val="22"/>
          <w:color w:val="auto"/>
        </w:rPr>
        <w:t>IN WITNESS WHEREOF, each of the parties has executed this Agreement, in the case of the Company by a duly authorized officer, as of the day and year written below.</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COMPANY:</w:t>
      </w:r>
    </w:p>
    <w:p>
      <w:pPr>
        <w:spacing w:after="0" w:line="2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ALBANY INTERNATIONAL CORP.</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660" w:type="dxa"/>
        <w:tblCellMar>
          <w:top w:w="0" w:type="dxa"/>
          <w:left w:w="0" w:type="dxa"/>
          <w:bottom w:w="0" w:type="dxa"/>
          <w:right w:w="0" w:type="dxa"/>
        </w:tblCellMar>
      </w:tblPr>
      <w:tr>
        <w:trPr>
          <w:trHeight w:val="253"/>
        </w:trPr>
        <w:tc>
          <w:tcPr>
            <w:tcW w:w="5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By: ____/s/Charles J. Silva, Jr____________________</w:t>
            </w:r>
          </w:p>
        </w:tc>
        <w:tc>
          <w:tcPr>
            <w:tcW w:w="248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6"/>
              </w:rPr>
              <w:t>Date: March 8, 2019</w:t>
            </w:r>
          </w:p>
        </w:tc>
      </w:tr>
      <w:tr>
        <w:trPr>
          <w:trHeight w:val="20"/>
        </w:trPr>
        <w:tc>
          <w:tcPr>
            <w:tcW w:w="360" w:type="dxa"/>
            <w:vAlign w:val="bottom"/>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6"/>
        </w:trPr>
        <w:tc>
          <w:tcPr>
            <w:tcW w:w="478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Name: Charles J. Silva, Jr</w:t>
            </w:r>
          </w:p>
        </w:tc>
        <w:tc>
          <w:tcPr>
            <w:tcW w:w="70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83"/>
        </w:trPr>
        <w:tc>
          <w:tcPr>
            <w:tcW w:w="5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Title: Vice President, General Counsel and Secretary</w:t>
            </w:r>
          </w:p>
        </w:tc>
        <w:tc>
          <w:tcPr>
            <w:tcW w:w="24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66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EXECUTIVE</w:t>
            </w:r>
          </w:p>
        </w:tc>
        <w:tc>
          <w:tcPr>
            <w:tcW w:w="6400" w:type="dxa"/>
            <w:vAlign w:val="bottom"/>
          </w:tcPr>
          <w:p>
            <w:pPr>
              <w:spacing w:after="0"/>
              <w:rPr>
                <w:sz w:val="24"/>
                <w:szCs w:val="24"/>
                <w:color w:val="auto"/>
              </w:rPr>
            </w:pPr>
          </w:p>
        </w:tc>
      </w:tr>
      <w:tr>
        <w:trPr>
          <w:trHeight w:val="434"/>
        </w:trPr>
        <w:tc>
          <w:tcPr>
            <w:tcW w:w="660" w:type="dxa"/>
            <w:vAlign w:val="bottom"/>
          </w:tcPr>
          <w:p>
            <w:pPr>
              <w:spacing w:after="0"/>
              <w:rPr>
                <w:sz w:val="24"/>
                <w:szCs w:val="24"/>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Olivier Jarrault________________________</w:t>
            </w:r>
          </w:p>
        </w:tc>
        <w:tc>
          <w:tcPr>
            <w:tcW w:w="6400" w:type="dxa"/>
            <w:vAlign w:val="bottom"/>
          </w:tcPr>
          <w:p>
            <w:pPr>
              <w:ind w:left="1800"/>
              <w:spacing w:after="0"/>
              <w:rPr>
                <w:sz w:val="20"/>
                <w:szCs w:val="20"/>
                <w:color w:val="auto"/>
              </w:rPr>
            </w:pPr>
            <w:r>
              <w:rPr>
                <w:rFonts w:ascii="Times New Roman" w:cs="Times New Roman" w:eastAsia="Times New Roman" w:hAnsi="Times New Roman"/>
                <w:sz w:val="22"/>
                <w:szCs w:val="22"/>
                <w:color w:val="auto"/>
              </w:rPr>
              <w:t>Date: March 8, 2019</w:t>
            </w:r>
          </w:p>
        </w:tc>
      </w:tr>
      <w:tr>
        <w:trPr>
          <w:trHeight w:val="276"/>
        </w:trPr>
        <w:tc>
          <w:tcPr>
            <w:tcW w:w="660" w:type="dxa"/>
            <w:vAlign w:val="bottom"/>
          </w:tcPr>
          <w:p>
            <w:pPr>
              <w:spacing w:after="0"/>
              <w:rPr>
                <w:sz w:val="24"/>
                <w:szCs w:val="24"/>
                <w:color w:val="auto"/>
              </w:rPr>
            </w:pPr>
          </w:p>
        </w:tc>
        <w:tc>
          <w:tcPr>
            <w:tcW w:w="1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Olivier Jarrault</w:t>
            </w:r>
          </w:p>
        </w:tc>
        <w:tc>
          <w:tcPr>
            <w:tcW w:w="280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770"/>
        </w:trPr>
        <w:tc>
          <w:tcPr>
            <w:tcW w:w="6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640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 xml:space="preserve">Page 2 of </w:t>
            </w:r>
            <w:r>
              <w:rPr>
                <w:rFonts w:ascii="Times New Roman" w:cs="Times New Roman" w:eastAsia="Times New Roman" w:hAnsi="Times New Roman"/>
                <w:sz w:val="22"/>
                <w:szCs w:val="22"/>
                <w:b w:val="1"/>
                <w:bCs w:val="1"/>
                <w:color w:val="auto"/>
              </w:rPr>
              <w:t>2</w:t>
            </w:r>
          </w:p>
        </w:tc>
      </w:tr>
      <w:tr>
        <w:trPr>
          <w:trHeight w:val="68"/>
        </w:trPr>
        <w:tc>
          <w:tcPr>
            <w:tcW w:w="660" w:type="dxa"/>
            <w:vAlign w:val="bottom"/>
            <w:shd w:val="clear" w:color="auto" w:fill="000000"/>
          </w:tcPr>
          <w:p>
            <w:pPr>
              <w:spacing w:after="0"/>
              <w:rPr>
                <w:sz w:val="5"/>
                <w:szCs w:val="5"/>
                <w:color w:val="auto"/>
              </w:rPr>
            </w:pPr>
          </w:p>
        </w:tc>
        <w:tc>
          <w:tcPr>
            <w:tcW w:w="156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c>
          <w:tcPr>
            <w:tcW w:w="6400" w:type="dxa"/>
            <w:vAlign w:val="bottom"/>
            <w:shd w:val="clear" w:color="auto" w:fill="000000"/>
          </w:tcPr>
          <w:p>
            <w:pPr>
              <w:spacing w:after="0"/>
              <w:rPr>
                <w:sz w:val="5"/>
                <w:szCs w:val="5"/>
                <w:color w:val="auto"/>
              </w:rPr>
            </w:pPr>
          </w:p>
        </w:tc>
      </w:tr>
    </w:tbl>
    <w:p>
      <w:pPr>
        <w:sectPr>
          <w:pgSz w:w="11900" w:h="16838" w:orient="portrait"/>
          <w:cols w:equalWidth="0" w:num="1">
            <w:col w:w="11420"/>
          </w:cols>
          <w:pgMar w:left="240" w:top="463"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2"/>
          <w:szCs w:val="22"/>
          <w:i w:val="1"/>
          <w:iCs w:val="1"/>
          <w:color w:val="auto"/>
        </w:rPr>
        <w:t>Exhibit 10(l)(xii)</w:t>
      </w:r>
    </w:p>
    <w:p>
      <w:pPr>
        <w:spacing w:after="0" w:line="23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color w:val="auto"/>
        </w:rPr>
        <w:t>RESTRICTED UNIT AWARD AGREEMENT</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the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ALBANY INTERNATIONAL CORP.</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2003 RESTRICTED STOCK UNIT PLAN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ectPr>
          <w:pgSz w:w="11900" w:h="16838" w:orient="portrait"/>
          <w:cols w:equalWidth="0" w:num="1">
            <w:col w:w="11420"/>
          </w:cols>
          <w:pgMar w:left="240" w:top="110" w:right="239" w:bottom="1440" w:gutter="0" w:footer="0" w:header="0"/>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Participant: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Stephen Nolan</w:t>
      </w:r>
    </w:p>
    <w:p>
      <w:pPr>
        <w:spacing w:after="0" w:line="200" w:lineRule="exact"/>
        <w:rPr>
          <w:sz w:val="20"/>
          <w:szCs w:val="20"/>
          <w:color w:val="auto"/>
        </w:rPr>
      </w:pPr>
    </w:p>
    <w:p>
      <w:pPr>
        <w:sectPr>
          <w:pgSz w:w="11900" w:h="16838" w:orient="portrait"/>
          <w:cols w:equalWidth="0" w:num="2">
            <w:col w:w="1000" w:space="720"/>
            <w:col w:w="9700"/>
          </w:cols>
          <w:pgMar w:left="240" w:top="110"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Award Date:</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April 1, 2019</w:t>
      </w:r>
    </w:p>
    <w:p>
      <w:pPr>
        <w:spacing w:after="0" w:line="200" w:lineRule="exact"/>
        <w:rPr>
          <w:sz w:val="20"/>
          <w:szCs w:val="20"/>
          <w:color w:val="auto"/>
        </w:rPr>
      </w:pPr>
    </w:p>
    <w:p>
      <w:pPr>
        <w:sectPr>
          <w:pgSz w:w="11900" w:h="16838" w:orient="portrait"/>
          <w:cols w:equalWidth="0" w:num="2">
            <w:col w:w="1100" w:space="620"/>
            <w:col w:w="9700"/>
          </w:cols>
          <w:pgMar w:left="240" w:top="110" w:right="239" w:bottom="1440" w:gutter="0" w:footer="0" w:header="0"/>
          <w:type w:val="continuous"/>
        </w:sectPr>
      </w:pP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 Restricted Units Awarded: 4,190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 *</w:t>
      </w:r>
    </w:p>
    <w:p>
      <w:pPr>
        <w:spacing w:after="0" w:line="23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THIS AWARD AGREEMENT, dated as of the Award Date specified above, is entered into by and between Albany International Corp.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Participant specified above, pursuant to the Amended and Restated Albany International Corp. 2003 Restricted Stock Unit Plan, as in effect and as amended from time to time (the “</w:t>
      </w: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and</w:t>
      </w:r>
    </w:p>
    <w:p>
      <w:pPr>
        <w:spacing w:after="0" w:line="20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WHEREAS, as an incentive to encourage the Participant to remain in the employ of the Company and its subsidiaries by affording the Participant a greater interest in the success of the Company and its subsidiaries, the Company desires to grant the Participant the Restricted Units provided herein;</w:t>
      </w:r>
    </w:p>
    <w:p>
      <w:pPr>
        <w:spacing w:after="0" w:line="2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Participant desires to obtain such Restricted Units on the terms and conditions provided for herein;</w:t>
      </w:r>
    </w:p>
    <w:p>
      <w:pPr>
        <w:spacing w:after="0" w:line="23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premises, the mutual covenants herein set forth and other good and valuable considerations receipt of which is hereby acknowledged, the Company and the Participant agree as follows:</w:t>
      </w:r>
    </w:p>
    <w:p>
      <w:pPr>
        <w:spacing w:after="0" w:line="185" w:lineRule="exact"/>
        <w:rPr>
          <w:sz w:val="20"/>
          <w:szCs w:val="20"/>
          <w:color w:val="auto"/>
        </w:rPr>
      </w:pPr>
    </w:p>
    <w:p>
      <w:pPr>
        <w:jc w:val="both"/>
        <w:ind w:firstLine="1305"/>
        <w:spacing w:after="0" w:line="249" w:lineRule="auto"/>
        <w:tabs>
          <w:tab w:leader="none" w:pos="2291"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Incorporation by Reference; Plan Document Receipt</w:t>
      </w:r>
      <w:r>
        <w:rPr>
          <w:rFonts w:ascii="Times New Roman" w:cs="Times New Roman" w:eastAsia="Times New Roman" w:hAnsi="Times New Roman"/>
          <w:sz w:val="21"/>
          <w:szCs w:val="21"/>
          <w:color w:val="auto"/>
        </w:rPr>
        <w:t>. Except as otherwise provided herein, this Award Agreement is subject in all respects to the terms and provisions of the Plan (including, without limitation, any amendments thereto adopted at any time and from time to time and which are expressly intended to apply to the grant of the Restricted Units provided for herein), all of which terms and provisions are made a part of and incorporated in this Award Agreement as if they were expressly set forth herein. Any capitalized term not defined in this Award Agreement shall have the same meaning as is ascribed thereto in the Plan. The Participant hereby acknowledges receipt of a true copy of the Plan and that the Participant has read the Plan</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1</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type w:val="continuous"/>
        </w:sectPr>
      </w:pPr>
    </w:p>
    <w:bookmarkStart w:id="57" w:name="page58"/>
    <w:bookmarkEnd w:id="57"/>
    <w:p>
      <w:pPr>
        <w:ind w:right="20"/>
        <w:spacing w:after="0" w:line="258" w:lineRule="auto"/>
        <w:rPr>
          <w:sz w:val="20"/>
          <w:szCs w:val="20"/>
          <w:color w:val="auto"/>
        </w:rPr>
      </w:pPr>
      <w:r>
        <w:rPr>
          <w:rFonts w:ascii="Times New Roman" w:cs="Times New Roman" w:eastAsia="Times New Roman" w:hAnsi="Times New Roman"/>
          <w:sz w:val="22"/>
          <w:szCs w:val="22"/>
          <w:color w:val="auto"/>
        </w:rPr>
        <w:t>carefully and fully understands its content. In the event of a conflict between the terms of this Award Agreement and the terms of the Plan, the terms of the Plan shall control.</w:t>
      </w:r>
    </w:p>
    <w:p>
      <w:pPr>
        <w:spacing w:after="0" w:line="158" w:lineRule="exact"/>
        <w:rPr>
          <w:sz w:val="20"/>
          <w:szCs w:val="20"/>
          <w:color w:val="auto"/>
        </w:rPr>
      </w:pPr>
    </w:p>
    <w:p>
      <w:pPr>
        <w:jc w:val="both"/>
        <w:ind w:firstLine="1305"/>
        <w:spacing w:after="0" w:line="244" w:lineRule="auto"/>
        <w:tabs>
          <w:tab w:leader="none" w:pos="206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Award of Restricted Units; Credit to Restricted Unit Account</w:t>
      </w:r>
      <w:r>
        <w:rPr>
          <w:rFonts w:ascii="Times New Roman" w:cs="Times New Roman" w:eastAsia="Times New Roman" w:hAnsi="Times New Roman"/>
          <w:sz w:val="22"/>
          <w:szCs w:val="22"/>
          <w:color w:val="auto"/>
        </w:rPr>
        <w:t>. Subject to the terms hereof and the Plan, the Company hereby grants to the Participant, as of the Award Date specified above, the number of Restricted Units specified above. The Company shall record such Restricted Units in the Participant’s Restricted Unit Account.</w:t>
      </w:r>
    </w:p>
    <w:p>
      <w:pPr>
        <w:spacing w:after="0" w:line="173" w:lineRule="exact"/>
        <w:rPr>
          <w:rFonts w:ascii="Times New Roman" w:cs="Times New Roman" w:eastAsia="Times New Roman" w:hAnsi="Times New Roman"/>
          <w:sz w:val="22"/>
          <w:szCs w:val="22"/>
          <w:color w:val="auto"/>
        </w:rPr>
      </w:pPr>
    </w:p>
    <w:p>
      <w:pPr>
        <w:jc w:val="both"/>
        <w:ind w:firstLine="1305"/>
        <w:spacing w:after="0" w:line="244" w:lineRule="auto"/>
        <w:tabs>
          <w:tab w:leader="none" w:pos="2034"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Vesting</w:t>
      </w:r>
      <w:r>
        <w:rPr>
          <w:rFonts w:ascii="Times New Roman" w:cs="Times New Roman" w:eastAsia="Times New Roman" w:hAnsi="Times New Roman"/>
          <w:sz w:val="22"/>
          <w:szCs w:val="22"/>
          <w:color w:val="auto"/>
        </w:rPr>
        <w:t>. As permitted in Section 5.1 of the Plan, the following Vesting Dates shall apply with respect to the Restricted Units (including any additional Restricted Units credited as Cash Dividend Equivalents with respect to such Restricted Units) awarded hereunder and shall supersede any contrary provision in Section 5.1:</w:t>
      </w:r>
    </w:p>
    <w:p>
      <w:pPr>
        <w:spacing w:after="0" w:line="174" w:lineRule="exact"/>
        <w:rPr>
          <w:sz w:val="20"/>
          <w:szCs w:val="20"/>
          <w:color w:val="auto"/>
        </w:rPr>
      </w:pPr>
    </w:p>
    <w:p>
      <w:pPr>
        <w:ind w:left="1620" w:right="60" w:hanging="315"/>
        <w:spacing w:after="0" w:line="238" w:lineRule="auto"/>
        <w:tabs>
          <w:tab w:leader="none" w:pos="16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(33.3%) of such Restricted Units (including any additional Restricted Units credited as Cash Dividend Equivalents with respect to such Restricted Units) shall vest on April 1, 2020, subject to the Participant being employed with the Albany Group on such Vesting Date;</w:t>
      </w:r>
    </w:p>
    <w:p>
      <w:pPr>
        <w:ind w:left="1620" w:right="60" w:hanging="315"/>
        <w:spacing w:after="0" w:line="230" w:lineRule="auto"/>
        <w:tabs>
          <w:tab w:leader="none" w:pos="16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(33.3%) of such Restricted Units (including any additional Restricted Units credited as Cash Dividend Equivalents with respect to such Restricted Units) shall vest on April 1, 2021, subject to the Participant being employed with the Albany Group on such Vesting Date; and</w:t>
      </w:r>
    </w:p>
    <w:p>
      <w:pPr>
        <w:spacing w:after="0" w:line="1" w:lineRule="exact"/>
        <w:rPr>
          <w:rFonts w:ascii="Times New Roman" w:cs="Times New Roman" w:eastAsia="Times New Roman" w:hAnsi="Times New Roman"/>
          <w:sz w:val="22"/>
          <w:szCs w:val="22"/>
          <w:color w:val="auto"/>
        </w:rPr>
      </w:pPr>
    </w:p>
    <w:p>
      <w:pPr>
        <w:ind w:left="1620" w:right="60" w:hanging="315"/>
        <w:spacing w:after="0" w:line="235" w:lineRule="auto"/>
        <w:tabs>
          <w:tab w:leader="none" w:pos="162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One-third (33.3%) of such Restricted Units (including any additional Restricted Units credited as Cash Dividend Equivalents with respect to such Restricted Units) shall vest on April 1, 2022, subject to the Participant being employed with the Albany Group on such Vesting Date.</w:t>
      </w:r>
    </w:p>
    <w:p>
      <w:pPr>
        <w:spacing w:after="0" w:line="205" w:lineRule="exact"/>
        <w:rPr>
          <w:sz w:val="20"/>
          <w:szCs w:val="20"/>
          <w:color w:val="auto"/>
        </w:rPr>
      </w:pPr>
    </w:p>
    <w:p>
      <w:pPr>
        <w:jc w:val="both"/>
        <w:ind w:firstLine="1305"/>
        <w:spacing w:after="0" w:line="244" w:lineRule="auto"/>
        <w:tabs>
          <w:tab w:leader="none" w:pos="203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Special Vesting</w:t>
      </w:r>
      <w:r>
        <w:rPr>
          <w:rFonts w:ascii="Times New Roman" w:cs="Times New Roman" w:eastAsia="Times New Roman" w:hAnsi="Times New Roman"/>
          <w:sz w:val="22"/>
          <w:szCs w:val="22"/>
          <w:color w:val="auto"/>
        </w:rPr>
        <w:t>. The special vesting provisions set forth in Section 5.2 of the Plan shall apply to the Restricted Units (including any additional Restricted Units credited as Cash Dividend Equivalents with respect to such Restricted Units) awarded hereunder.</w:t>
      </w:r>
    </w:p>
    <w:p>
      <w:pPr>
        <w:spacing w:after="0" w:line="173" w:lineRule="exact"/>
        <w:rPr>
          <w:rFonts w:ascii="Times New Roman" w:cs="Times New Roman" w:eastAsia="Times New Roman" w:hAnsi="Times New Roman"/>
          <w:sz w:val="22"/>
          <w:szCs w:val="22"/>
          <w:color w:val="auto"/>
        </w:rPr>
      </w:pPr>
    </w:p>
    <w:p>
      <w:pPr>
        <w:jc w:val="both"/>
        <w:ind w:firstLine="1305"/>
        <w:spacing w:after="0" w:line="234" w:lineRule="auto"/>
        <w:tabs>
          <w:tab w:leader="none" w:pos="196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Settlement; Payment Delay</w:t>
      </w:r>
      <w:r>
        <w:rPr>
          <w:rFonts w:ascii="Times New Roman" w:cs="Times New Roman" w:eastAsia="Times New Roman" w:hAnsi="Times New Roman"/>
          <w:sz w:val="22"/>
          <w:szCs w:val="22"/>
          <w:color w:val="auto"/>
        </w:rPr>
        <w:t>. The Restricted Units (including any additional Restricted Units credited as Cash Dividend Equivalents with respect to such Restricted Units) credited to Participant’s Restricted Unit Account pursuant to this Award Agreement shall be settled in accordance with the provisions of the Plan, including without limitation Section 6.1. Notwithstanding any provision to the contrary, if, pursuant to the provisions of Section 409A of the Internal Revenue Code of 1986, as amended, and the regulations promulgated thereunder (the “Code”), any payment is required to be delayed as a result of the Participant being deemed to be a “specified employee” within the meaning of that term under Section 409A(a)(2)(B) of the Code, then any such payments under the Plan shall not be made prior to the earlier of (A) the expiration of the six month period measured from the date of the “separation from service” (as such term is defined in Treasury Regulations issued under Section 409A of the Code) or (B) the date of the Participant’s death. Upon the expiration of such period, all payments under the Plan delayed pursuant to this paragraph 6 shall be paid to the Participant in a lump sum, and any remaining payments due under the Plan shall be paid or provided in accordance with the normal payment dates specified for them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2</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431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8" w:name="page59"/>
    <w:bookmarkEnd w:id="58"/>
    <w:p>
      <w:pPr>
        <w:jc w:val="both"/>
        <w:ind w:firstLine="1305"/>
        <w:spacing w:after="0" w:line="234" w:lineRule="auto"/>
        <w:tabs>
          <w:tab w:leader="none" w:pos="2399"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Amendment and Waiver</w:t>
      </w:r>
      <w:r>
        <w:rPr>
          <w:rFonts w:ascii="Times New Roman" w:cs="Times New Roman" w:eastAsia="Times New Roman" w:hAnsi="Times New Roman"/>
          <w:sz w:val="22"/>
          <w:szCs w:val="22"/>
          <w:color w:val="auto"/>
        </w:rPr>
        <w:t>. Neither this Award Agreement nor any provision hereof may be amended, modified, changed, discharged, terminated or waived orally, by any course of dealing or purported course of dealing or by any other means except (a) in the case of an amendment, modification, change or waiver that does not impair the rights of the Participant with respect to outstanding Restricted Units or that is deemed by the Committee to be advisable to avoid the imposition of any tax under Section 409A of the Code, by written notice to the Participant or (b) an agreement in writing signed by the Company and the Participant. No such written notice of agreement shall extend to or affect any provision of this Award Agreement not expressly amended, modified, changed, discharged, terminated or waived or impair any right consequent on such a provision. The waiver of or failure to enforce any breach of this Award Agreement shall not be deemed to be a waiver of or acquiescence in any other breach hereof.</w:t>
      </w:r>
    </w:p>
    <w:p>
      <w:pPr>
        <w:spacing w:after="0" w:line="184" w:lineRule="exact"/>
        <w:rPr>
          <w:rFonts w:ascii="Times New Roman" w:cs="Times New Roman" w:eastAsia="Times New Roman" w:hAnsi="Times New Roman"/>
          <w:sz w:val="22"/>
          <w:szCs w:val="22"/>
          <w:color w:val="auto"/>
        </w:rPr>
      </w:pPr>
    </w:p>
    <w:p>
      <w:pPr>
        <w:ind w:left="2240" w:hanging="935"/>
        <w:spacing w:after="0"/>
        <w:tabs>
          <w:tab w:leader="none" w:pos="22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required or permitted under this Award Agreement shall be in writing and shall be</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deemed properly given:</w:t>
      </w:r>
    </w:p>
    <w:p>
      <w:pPr>
        <w:spacing w:after="0" w:line="182" w:lineRule="exact"/>
        <w:rPr>
          <w:sz w:val="20"/>
          <w:szCs w:val="20"/>
          <w:color w:val="auto"/>
        </w:rPr>
      </w:pPr>
    </w:p>
    <w:p>
      <w:pPr>
        <w:jc w:val="both"/>
        <w:ind w:firstLine="1297"/>
        <w:spacing w:after="0" w:line="236" w:lineRule="auto"/>
        <w:rPr>
          <w:sz w:val="20"/>
          <w:szCs w:val="20"/>
          <w:color w:val="auto"/>
        </w:rPr>
      </w:pPr>
      <w:r>
        <w:rPr>
          <w:rFonts w:ascii="Times New Roman" w:cs="Times New Roman" w:eastAsia="Times New Roman" w:hAnsi="Times New Roman"/>
          <w:sz w:val="22"/>
          <w:szCs w:val="22"/>
          <w:color w:val="auto"/>
        </w:rPr>
        <w:t>7.1 in the case of notice to the Company, if delivered in person to the Secretary of the Company, or mailed to the Company to the attention of the Secretary by registered mail (return receipt requested) at 216 Airport Drive, Rochester, New Hampshire, 03867, or at such other address as the Company may from time to time hereafter designate by written notice to the Participant; and</w:t>
      </w:r>
    </w:p>
    <w:p>
      <w:pPr>
        <w:spacing w:after="0" w:line="1" w:lineRule="exact"/>
        <w:rPr>
          <w:sz w:val="20"/>
          <w:szCs w:val="20"/>
          <w:color w:val="auto"/>
        </w:rPr>
      </w:pP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7.2 in the case of notice to the Participant, if delivered to him or her in person, or mailed to him or her by registered mail (return receipt requested) at the last known residence address provided by Participant to the Company or at such other address as the Participant may from time to time hereafter designate by written notice to the Company.</w:t>
      </w:r>
    </w:p>
    <w:p>
      <w:pPr>
        <w:spacing w:after="0" w:line="205" w:lineRule="exact"/>
        <w:rPr>
          <w:sz w:val="20"/>
          <w:szCs w:val="20"/>
          <w:color w:val="auto"/>
        </w:rPr>
      </w:pPr>
    </w:p>
    <w:p>
      <w:pPr>
        <w:ind w:left="2020" w:hanging="715"/>
        <w:spacing w:after="0"/>
        <w:tabs>
          <w:tab w:leader="none" w:pos="202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Award Agreement shall be governed by and construed in accordance with the laws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State of New York.</w:t>
      </w:r>
    </w:p>
    <w:p>
      <w:pPr>
        <w:spacing w:after="0" w:line="182" w:lineRule="exact"/>
        <w:rPr>
          <w:rFonts w:ascii="Times New Roman" w:cs="Times New Roman" w:eastAsia="Times New Roman" w:hAnsi="Times New Roman"/>
          <w:sz w:val="21"/>
          <w:szCs w:val="21"/>
          <w:color w:val="auto"/>
        </w:rPr>
      </w:pPr>
    </w:p>
    <w:p>
      <w:pPr>
        <w:jc w:val="both"/>
        <w:ind w:firstLine="1305"/>
        <w:spacing w:after="0" w:line="244" w:lineRule="auto"/>
        <w:tabs>
          <w:tab w:leader="none" w:pos="202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Agreement; Assignment</w:t>
      </w:r>
      <w:r>
        <w:rPr>
          <w:rFonts w:ascii="Times New Roman" w:cs="Times New Roman" w:eastAsia="Times New Roman" w:hAnsi="Times New Roman"/>
          <w:sz w:val="22"/>
          <w:szCs w:val="22"/>
          <w:color w:val="auto"/>
        </w:rPr>
        <w:t>. This Award Agreement shall inure to the benefit of, be binding upon, and be enforceable by the Company and its successors and assigns. The Participant shall not assign any part of this Award Agreement without the prior express written consent of the Company.</w:t>
      </w:r>
    </w:p>
    <w:p>
      <w:pPr>
        <w:spacing w:after="0" w:line="173" w:lineRule="exact"/>
        <w:rPr>
          <w:rFonts w:ascii="Times New Roman" w:cs="Times New Roman" w:eastAsia="Times New Roman" w:hAnsi="Times New Roman"/>
          <w:sz w:val="22"/>
          <w:szCs w:val="22"/>
          <w:color w:val="auto"/>
        </w:rPr>
      </w:pPr>
    </w:p>
    <w:p>
      <w:pPr>
        <w:ind w:firstLine="1305"/>
        <w:spacing w:after="0" w:line="258" w:lineRule="auto"/>
        <w:tabs>
          <w:tab w:leader="none" w:pos="203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Award Agreement may be executed in one or more counterparts, each of which shall be deemed to be an original, but all of which shall constitute one and the same instrument.</w:t>
      </w:r>
    </w:p>
    <w:p>
      <w:pPr>
        <w:spacing w:after="0" w:line="158" w:lineRule="exact"/>
        <w:rPr>
          <w:rFonts w:ascii="Times New Roman" w:cs="Times New Roman" w:eastAsia="Times New Roman" w:hAnsi="Times New Roman"/>
          <w:sz w:val="22"/>
          <w:szCs w:val="22"/>
          <w:color w:val="auto"/>
        </w:rPr>
      </w:pPr>
    </w:p>
    <w:p>
      <w:pPr>
        <w:ind w:firstLine="1305"/>
        <w:spacing w:after="0" w:line="258" w:lineRule="auto"/>
        <w:tabs>
          <w:tab w:leader="none" w:pos="207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titles and headings of the various sections of this Award Agreement have been inserted for convenience of reference only and shall not be deemed to be a part of this Award Agreement.</w:t>
      </w:r>
    </w:p>
    <w:p>
      <w:pPr>
        <w:spacing w:after="0" w:line="158" w:lineRule="exact"/>
        <w:rPr>
          <w:rFonts w:ascii="Times New Roman" w:cs="Times New Roman" w:eastAsia="Times New Roman" w:hAnsi="Times New Roman"/>
          <w:sz w:val="22"/>
          <w:szCs w:val="22"/>
          <w:color w:val="auto"/>
        </w:rPr>
      </w:pPr>
    </w:p>
    <w:p>
      <w:pPr>
        <w:jc w:val="both"/>
        <w:ind w:firstLine="1305"/>
        <w:spacing w:after="0" w:line="239" w:lineRule="auto"/>
        <w:tabs>
          <w:tab w:leader="none" w:pos="2098"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party hereto shall do and perform (or shall cause to be done and performed) all such further acts and shall execute and deliver all such other agreements, certificates, instruments and documents as any other party hereto reasonably may request in order to carry out the intent and accomplish the purposes of this Award Agreement and the Plan and the consummation of the transactions contemplated thereunder.</w:t>
      </w:r>
    </w:p>
    <w:p>
      <w:pPr>
        <w:spacing w:after="0" w:line="180" w:lineRule="exact"/>
        <w:rPr>
          <w:rFonts w:ascii="Times New Roman" w:cs="Times New Roman" w:eastAsia="Times New Roman" w:hAnsi="Times New Roman"/>
          <w:sz w:val="22"/>
          <w:szCs w:val="22"/>
          <w:color w:val="auto"/>
        </w:rPr>
      </w:pPr>
    </w:p>
    <w:p>
      <w:pPr>
        <w:jc w:val="both"/>
        <w:ind w:firstLine="1305"/>
        <w:spacing w:after="0" w:line="244" w:lineRule="auto"/>
        <w:tabs>
          <w:tab w:leader="none" w:pos="2395"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provisions of this Award Agreement in any jurisdiction shall not affect the validity, legality or enforceability of the remainder of this Award Agreement in such jurisdiction or the validity, legality or enforceability of any provision of this Award Agreement in any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3</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59" w:name="page60"/>
    <w:bookmarkEnd w:id="59"/>
    <w:p>
      <w:pPr>
        <w:spacing w:after="0" w:line="258" w:lineRule="auto"/>
        <w:rPr>
          <w:sz w:val="20"/>
          <w:szCs w:val="20"/>
          <w:color w:val="auto"/>
        </w:rPr>
      </w:pPr>
      <w:r>
        <w:rPr>
          <w:rFonts w:ascii="Times New Roman" w:cs="Times New Roman" w:eastAsia="Times New Roman" w:hAnsi="Times New Roman"/>
          <w:sz w:val="22"/>
          <w:szCs w:val="22"/>
          <w:color w:val="auto"/>
        </w:rPr>
        <w:t>other jurisdiction, it being intended that all rights and obligations of the parties hereunder shall be enforceable to the fullest extent permitted by law.</w:t>
      </w:r>
    </w:p>
    <w:p>
      <w:pPr>
        <w:spacing w:after="0" w:line="158" w:lineRule="exact"/>
        <w:rPr>
          <w:sz w:val="20"/>
          <w:szCs w:val="20"/>
          <w:color w:val="auto"/>
        </w:rPr>
      </w:pPr>
    </w:p>
    <w:p>
      <w:pPr>
        <w:jc w:val="both"/>
        <w:ind w:firstLine="1305"/>
        <w:spacing w:after="0" w:line="262" w:lineRule="auto"/>
        <w:tabs>
          <w:tab w:leader="none" w:pos="2125"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Acceptance of Restricted Units</w:t>
      </w:r>
      <w:r>
        <w:rPr>
          <w:rFonts w:ascii="Times New Roman" w:cs="Times New Roman" w:eastAsia="Times New Roman" w:hAnsi="Times New Roman"/>
          <w:sz w:val="21"/>
          <w:szCs w:val="21"/>
          <w:color w:val="auto"/>
        </w:rPr>
        <w:t>. Unless, within 45 days following the date of this Award Agreement, the Company has received written notice from the Participant rejecting the Restricted Units, this Award Agreement shall be deemed to have been accepted by the Participant and shall constitute a legal and binding agreement between the Participant and the Company.</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the Company has duly executed this Award Agreement as of the Award Date specified above.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ALBANY INTERNATIONAL CORP.</w:t>
      </w:r>
    </w:p>
    <w:p>
      <w:pPr>
        <w:spacing w:after="0" w:line="223" w:lineRule="exact"/>
        <w:rPr>
          <w:sz w:val="20"/>
          <w:szCs w:val="20"/>
          <w:color w:val="auto"/>
        </w:rPr>
      </w:pPr>
    </w:p>
    <w:tbl>
      <w:tblPr>
        <w:tblLayout w:type="fixed"/>
        <w:tblInd w:w="5720" w:type="dxa"/>
        <w:tblCellMar>
          <w:top w:w="0" w:type="dxa"/>
          <w:left w:w="0" w:type="dxa"/>
          <w:bottom w:w="0" w:type="dxa"/>
          <w:right w:w="0" w:type="dxa"/>
        </w:tblCellMar>
      </w:tblPr>
      <w:tr>
        <w:trPr>
          <w:trHeight w:val="25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/s/ Charles J. Silva, Jr</w:t>
            </w:r>
          </w:p>
        </w:tc>
        <w:tc>
          <w:tcPr>
            <w:tcW w:w="0" w:type="dxa"/>
            <w:vAlign w:val="bottom"/>
          </w:tcPr>
          <w:p>
            <w:pPr>
              <w:spacing w:after="0"/>
              <w:rPr>
                <w:sz w:val="1"/>
                <w:szCs w:val="1"/>
                <w:color w:val="auto"/>
              </w:rPr>
            </w:pPr>
          </w:p>
        </w:tc>
      </w:tr>
      <w:tr>
        <w:trPr>
          <w:trHeight w:val="27"/>
        </w:trPr>
        <w:tc>
          <w:tcPr>
            <w:tcW w:w="6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0" w:type="dxa"/>
            <w:vAlign w:val="bottom"/>
            <w:vMerge w:val="continue"/>
          </w:tcPr>
          <w:p>
            <w:pPr>
              <w:spacing w:after="0"/>
              <w:rPr>
                <w:sz w:val="18"/>
                <w:szCs w:val="18"/>
                <w:color w:val="auto"/>
              </w:rPr>
            </w:pPr>
          </w:p>
        </w:tc>
        <w:tc>
          <w:tcPr>
            <w:tcW w:w="50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Charles J. Silva, Jr</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 General Counsel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11430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8"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Stephen M. Nolan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Page </w:t>
      </w:r>
      <w:r>
        <w:rPr>
          <w:rFonts w:ascii="Times New Roman" w:cs="Times New Roman" w:eastAsia="Times New Roman" w:hAnsi="Times New Roman"/>
          <w:sz w:val="22"/>
          <w:szCs w:val="22"/>
          <w:b w:val="1"/>
          <w:bCs w:val="1"/>
          <w:color w:val="auto"/>
        </w:rPr>
        <w:t>4</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9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2"/>
          <w:szCs w:val="22"/>
          <w:i w:val="1"/>
          <w:iCs w:val="1"/>
          <w:color w:val="auto"/>
        </w:rPr>
        <w:t>Exhibit 10(n)(iii)</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INCENTIVE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0" w:firstLine="1297"/>
        <w:spacing w:after="0" w:line="205" w:lineRule="auto"/>
        <w:rPr>
          <w:sz w:val="20"/>
          <w:szCs w:val="20"/>
          <w:color w:val="auto"/>
        </w:rPr>
      </w:pPr>
      <w:r>
        <w:rPr>
          <w:rFonts w:ascii="Times New Roman" w:cs="Times New Roman" w:eastAsia="Times New Roman" w:hAnsi="Times New Roman"/>
          <w:sz w:val="22"/>
          <w:szCs w:val="22"/>
          <w:color w:val="auto"/>
        </w:rPr>
        <w:t>This INCENTIVE AWARD AGREEMENT (the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dated as of the 1</w:t>
      </w:r>
      <w:r>
        <w:rPr>
          <w:rFonts w:ascii="Times New Roman" w:cs="Times New Roman" w:eastAsia="Times New Roman" w:hAnsi="Times New Roman"/>
          <w:sz w:val="36"/>
          <w:szCs w:val="36"/>
          <w:color w:val="auto"/>
          <w:vertAlign w:val="superscript"/>
        </w:rPr>
        <w:t>st</w:t>
      </w:r>
      <w:r>
        <w:rPr>
          <w:rFonts w:ascii="Times New Roman" w:cs="Times New Roman" w:eastAsia="Times New Roman" w:hAnsi="Times New Roman"/>
          <w:sz w:val="22"/>
          <w:szCs w:val="22"/>
          <w:color w:val="auto"/>
        </w:rPr>
        <w:t xml:space="preserve"> day of April, 2019, between Albany International Corp.,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Stephen Nolan (the “</w:t>
      </w: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WHEREAS, the Company adopted and maintains the Albany International Corp. 2017 Incentive Plan (the “</w:t>
      </w:r>
      <w:r>
        <w:rPr>
          <w:rFonts w:ascii="Times New Roman" w:cs="Times New Roman" w:eastAsia="Times New Roman" w:hAnsi="Times New Roman"/>
          <w:sz w:val="21"/>
          <w:szCs w:val="21"/>
          <w:u w:val="single" w:color="auto"/>
          <w:color w:val="auto"/>
        </w:rPr>
        <w:t>Plan</w:t>
      </w:r>
      <w:r>
        <w:rPr>
          <w:rFonts w:ascii="Times New Roman" w:cs="Times New Roman" w:eastAsia="Times New Roman" w:hAnsi="Times New Roman"/>
          <w:sz w:val="21"/>
          <w:szCs w:val="21"/>
          <w:color w:val="auto"/>
        </w:rPr>
        <w:t>”);</w:t>
      </w:r>
    </w:p>
    <w:p>
      <w:pPr>
        <w:spacing w:after="0" w:line="218" w:lineRule="exact"/>
        <w:rPr>
          <w:sz w:val="20"/>
          <w:szCs w:val="20"/>
          <w:color w:val="auto"/>
        </w:rPr>
      </w:pPr>
    </w:p>
    <w:p>
      <w:pPr>
        <w:jc w:val="both"/>
        <w:ind w:right="20" w:firstLine="1297"/>
        <w:spacing w:after="0" w:line="242" w:lineRule="auto"/>
        <w:rPr>
          <w:sz w:val="20"/>
          <w:szCs w:val="20"/>
          <w:color w:val="auto"/>
        </w:rPr>
      </w:pPr>
      <w:r>
        <w:rPr>
          <w:rFonts w:ascii="Times New Roman" w:cs="Times New Roman" w:eastAsia="Times New Roman" w:hAnsi="Times New Roman"/>
          <w:sz w:val="22"/>
          <w:szCs w:val="22"/>
          <w:color w:val="auto"/>
        </w:rPr>
        <w:t>WHEREAS, Section 8 of the Plan provides for the grant of service-based awards to Participants in the Plan, which awards may or may not be equity-based or equity-related awards; and</w:t>
      </w:r>
    </w:p>
    <w:p>
      <w:pPr>
        <w:jc w:val="both"/>
        <w:ind w:firstLine="1297"/>
        <w:spacing w:after="0" w:line="235" w:lineRule="auto"/>
        <w:rPr>
          <w:sz w:val="20"/>
          <w:szCs w:val="20"/>
          <w:color w:val="auto"/>
        </w:rPr>
      </w:pPr>
      <w:r>
        <w:rPr>
          <w:rFonts w:ascii="Times New Roman" w:cs="Times New Roman" w:eastAsia="Times New Roman" w:hAnsi="Times New Roman"/>
          <w:sz w:val="22"/>
          <w:szCs w:val="22"/>
          <w:color w:val="auto"/>
        </w:rPr>
        <w:t>WHEREAS, as an incentive to encourage the Participant to join and remain in the employ of the Company and its subsidiaries by affording the Participant a greater interest in the success of the Company and its subsidiaries, the Company desires to grant the Participant shares of Common Stock as provided herein;</w:t>
      </w:r>
    </w:p>
    <w:p>
      <w:pPr>
        <w:spacing w:after="0" w:line="20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WHEREAS, the Participant desires to obtain such Common Stock on the terms and conditions provided for herein;</w:t>
      </w:r>
    </w:p>
    <w:p>
      <w:pPr>
        <w:spacing w:after="0" w:line="245" w:lineRule="exact"/>
        <w:rPr>
          <w:sz w:val="20"/>
          <w:szCs w:val="20"/>
          <w:color w:val="auto"/>
        </w:rPr>
      </w:pPr>
    </w:p>
    <w:p>
      <w:pPr>
        <w:jc w:val="both"/>
        <w:ind w:firstLine="1297"/>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agreements and obligations hereinafter set forth, the parties hereto agree as follows:</w:t>
      </w:r>
    </w:p>
    <w:p>
      <w:pPr>
        <w:spacing w:after="0" w:line="200" w:lineRule="exact"/>
        <w:rPr>
          <w:sz w:val="20"/>
          <w:szCs w:val="20"/>
          <w:color w:val="auto"/>
        </w:rPr>
      </w:pPr>
    </w:p>
    <w:p>
      <w:pPr>
        <w:spacing w:after="0" w:line="228" w:lineRule="exact"/>
        <w:rPr>
          <w:sz w:val="20"/>
          <w:szCs w:val="20"/>
          <w:color w:val="auto"/>
        </w:rPr>
      </w:pPr>
    </w:p>
    <w:p>
      <w:pPr>
        <w:ind w:left="2040" w:hanging="735"/>
        <w:spacing w:after="0"/>
        <w:tabs>
          <w:tab w:leader="none" w:pos="20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 References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1297"/>
        <w:spacing w:after="0" w:line="258" w:lineRule="auto"/>
        <w:rPr>
          <w:sz w:val="20"/>
          <w:szCs w:val="20"/>
          <w:color w:val="auto"/>
        </w:rPr>
      </w:pPr>
      <w:r>
        <w:rPr>
          <w:rFonts w:ascii="Times New Roman" w:cs="Times New Roman" w:eastAsia="Times New Roman" w:hAnsi="Times New Roman"/>
          <w:sz w:val="22"/>
          <w:szCs w:val="22"/>
          <w:color w:val="auto"/>
        </w:rPr>
        <w:t>As used herein, the following terms shall have the meanings indicated below. Capitalized terms used but not defined herein shall have the meanings assigned to them in the Plan.</w:t>
      </w:r>
    </w:p>
    <w:p>
      <w:pPr>
        <w:spacing w:after="0" w:line="158" w:lineRule="exact"/>
        <w:rPr>
          <w:sz w:val="20"/>
          <w:szCs w:val="20"/>
          <w:color w:val="auto"/>
        </w:rPr>
      </w:pPr>
    </w:p>
    <w:p>
      <w:pPr>
        <w:jc w:val="both"/>
        <w:ind w:firstLine="1305"/>
        <w:spacing w:after="0" w:line="244" w:lineRule="auto"/>
        <w:tabs>
          <w:tab w:leader="none" w:pos="2229"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Beneficiary</w:t>
      </w:r>
      <w:r>
        <w:rPr>
          <w:rFonts w:ascii="Times New Roman" w:cs="Times New Roman" w:eastAsia="Times New Roman" w:hAnsi="Times New Roman"/>
          <w:sz w:val="22"/>
          <w:szCs w:val="22"/>
          <w:color w:val="auto"/>
        </w:rPr>
        <w:t>” shall mean the person(s) designated by the Participant in a written instrument delivered pursuant to the Plan to receive a payment due under the Plan upon the Participant’s death, signed by the Participant and delivered to the Company prior to the Participant’s death or, if no such written instrument is on file, the Participant’s estate.</w:t>
      </w:r>
    </w:p>
    <w:p>
      <w:pPr>
        <w:spacing w:after="0" w:line="173" w:lineRule="exact"/>
        <w:rPr>
          <w:rFonts w:ascii="Times New Roman" w:cs="Times New Roman" w:eastAsia="Times New Roman" w:hAnsi="Times New Roman"/>
          <w:sz w:val="22"/>
          <w:szCs w:val="22"/>
          <w:color w:val="auto"/>
        </w:rPr>
      </w:pPr>
    </w:p>
    <w:p>
      <w:pPr>
        <w:jc w:val="both"/>
        <w:ind w:firstLine="1305"/>
        <w:spacing w:after="0" w:line="239" w:lineRule="auto"/>
        <w:tabs>
          <w:tab w:leader="none" w:pos="2033"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be deemed to exist if a majority of the members of the Board of Directors determine that the Participant has (i) caused substantial harm to the Company with intent to do so or as a result of gross negligence in the performance of his or her duties; (ii) not made a good faith effort to carry out his or her duties; (iii) wrongfully and substantially enriched himself or herself at the expense of the Company; or (iv) been convicted of a felony.</w:t>
      </w:r>
    </w:p>
    <w:p>
      <w:pPr>
        <w:spacing w:after="0" w:line="180" w:lineRule="exact"/>
        <w:rPr>
          <w:rFonts w:ascii="Times New Roman" w:cs="Times New Roman" w:eastAsia="Times New Roman" w:hAnsi="Times New Roman"/>
          <w:sz w:val="22"/>
          <w:szCs w:val="22"/>
          <w:color w:val="auto"/>
        </w:rPr>
      </w:pPr>
    </w:p>
    <w:p>
      <w:pPr>
        <w:ind w:firstLine="1305"/>
        <w:spacing w:after="0" w:line="258" w:lineRule="auto"/>
        <w:tabs>
          <w:tab w:leader="none" w:pos="202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Determination Date</w:t>
      </w:r>
      <w:r>
        <w:rPr>
          <w:rFonts w:ascii="Times New Roman" w:cs="Times New Roman" w:eastAsia="Times New Roman" w:hAnsi="Times New Roman"/>
          <w:sz w:val="22"/>
          <w:szCs w:val="22"/>
          <w:color w:val="auto"/>
        </w:rPr>
        <w:t>” shall mean, with respect to the Service Period, the date on which the Committee shall have determined that the Participant has fulfilled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Requirement of this Award, which date shall not be later than the last day of May following the Service Period.</w:t>
      </w:r>
    </w:p>
    <w:p>
      <w:pPr>
        <w:spacing w:after="0" w:line="206" w:lineRule="exact"/>
        <w:rPr>
          <w:sz w:val="20"/>
          <w:szCs w:val="20"/>
          <w:color w:val="auto"/>
        </w:rPr>
      </w:pPr>
    </w:p>
    <w:p>
      <w:pPr>
        <w:jc w:val="both"/>
        <w:ind w:firstLine="1305"/>
        <w:spacing w:after="0" w:line="239" w:lineRule="auto"/>
        <w:tabs>
          <w:tab w:leader="none" w:pos="2162"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be deemed to exist if (i) by reason of mental or physical illness the Participant has not performed his or her duties for a period of six consecutive months; and (ii) the Participant does not return to the performance of his or her duties within thirty days after written notice is given by Company or one of its subsidiaries that the Participant has been determined by the Committee to be “Disabled” under the Company’s long term disability policy.</w:t>
      </w:r>
    </w:p>
    <w:p>
      <w:pPr>
        <w:spacing w:after="0" w:line="180" w:lineRule="exact"/>
        <w:rPr>
          <w:rFonts w:ascii="Times New Roman" w:cs="Times New Roman" w:eastAsia="Times New Roman" w:hAnsi="Times New Roman"/>
          <w:sz w:val="22"/>
          <w:szCs w:val="22"/>
          <w:color w:val="auto"/>
        </w:rPr>
      </w:pPr>
    </w:p>
    <w:p>
      <w:pPr>
        <w:ind w:left="1940" w:hanging="635"/>
        <w:spacing w:after="0"/>
        <w:tabs>
          <w:tab w:leader="none" w:pos="194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Distribution Date</w:t>
      </w:r>
      <w:r>
        <w:rPr>
          <w:rFonts w:ascii="Times New Roman" w:cs="Times New Roman" w:eastAsia="Times New Roman" w:hAnsi="Times New Roman"/>
          <w:sz w:val="21"/>
          <w:szCs w:val="21"/>
          <w:color w:val="auto"/>
        </w:rPr>
        <w:t>” is the first Business Day on or after May 15 of the year immediately following the end of</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the Service Period.</w:t>
      </w:r>
    </w:p>
    <w:p>
      <w:pPr>
        <w:spacing w:after="0" w:line="182" w:lineRule="exact"/>
        <w:rPr>
          <w:rFonts w:ascii="Times New Roman" w:cs="Times New Roman" w:eastAsia="Times New Roman" w:hAnsi="Times New Roman"/>
          <w:sz w:val="21"/>
          <w:szCs w:val="21"/>
          <w:color w:val="auto"/>
        </w:rPr>
      </w:pPr>
    </w:p>
    <w:p>
      <w:pPr>
        <w:ind w:left="2000" w:hanging="695"/>
        <w:spacing w:after="0"/>
        <w:tabs>
          <w:tab w:leader="none" w:pos="200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Period</w:t>
      </w:r>
      <w:r>
        <w:rPr>
          <w:rFonts w:ascii="Times New Roman" w:cs="Times New Roman" w:eastAsia="Times New Roman" w:hAnsi="Times New Roman"/>
          <w:sz w:val="22"/>
          <w:szCs w:val="22"/>
          <w:color w:val="auto"/>
        </w:rPr>
        <w:t>” shall mean the period that begins on April 1, 2019 and ends on March 31, 2022.</w:t>
      </w:r>
    </w:p>
    <w:p>
      <w:pPr>
        <w:spacing w:after="0" w:line="206"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Requirement</w:t>
      </w:r>
      <w:r>
        <w:rPr>
          <w:rFonts w:ascii="Times New Roman" w:cs="Times New Roman" w:eastAsia="Times New Roman" w:hAnsi="Times New Roman"/>
          <w:sz w:val="22"/>
          <w:szCs w:val="22"/>
          <w:color w:val="auto"/>
        </w:rPr>
        <w:t>” shall be as specified in Section 3.</w:t>
      </w:r>
    </w:p>
    <w:p>
      <w:pPr>
        <w:spacing w:after="0" w:line="206" w:lineRule="exact"/>
        <w:rPr>
          <w:rFonts w:ascii="Times New Roman" w:cs="Times New Roman" w:eastAsia="Times New Roman" w:hAnsi="Times New Roman"/>
          <w:sz w:val="22"/>
          <w:szCs w:val="22"/>
          <w:color w:val="auto"/>
        </w:rPr>
      </w:pPr>
    </w:p>
    <w:p>
      <w:pPr>
        <w:ind w:left="2340" w:hanging="1035"/>
        <w:spacing w:after="0"/>
        <w:tabs>
          <w:tab w:leader="none" w:pos="23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Share Bonus</w:t>
      </w:r>
      <w:r>
        <w:rPr>
          <w:rFonts w:ascii="Times New Roman" w:cs="Times New Roman" w:eastAsia="Times New Roman" w:hAnsi="Times New Roman"/>
          <w:sz w:val="22"/>
          <w:szCs w:val="22"/>
          <w:color w:val="auto"/>
        </w:rPr>
        <w:t>” with respect to the Service Period, shall mean the number of shares of Common Stock</w:t>
      </w:r>
    </w:p>
    <w:p>
      <w:pPr>
        <w:spacing w:after="0" w:line="1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specified in Section 2.</w:t>
      </w:r>
    </w:p>
    <w:p>
      <w:pPr>
        <w:spacing w:after="0" w:line="182" w:lineRule="exact"/>
        <w:rPr>
          <w:sz w:val="20"/>
          <w:szCs w:val="20"/>
          <w:color w:val="auto"/>
        </w:rPr>
      </w:pPr>
    </w:p>
    <w:p>
      <w:pPr>
        <w:ind w:firstLine="1305"/>
        <w:spacing w:after="0" w:line="282" w:lineRule="auto"/>
        <w:tabs>
          <w:tab w:leader="none" w:pos="166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“Establishment of the Share Bonus”</w:t>
      </w:r>
      <w:r>
        <w:rPr>
          <w:rFonts w:ascii="Times New Roman" w:cs="Times New Roman" w:eastAsia="Times New Roman" w:hAnsi="Times New Roman"/>
          <w:sz w:val="21"/>
          <w:szCs w:val="21"/>
          <w:color w:val="auto"/>
        </w:rPr>
        <w:t>. Pursuant to, and subject to, the terms and conditions set forth herein and in the Plan, the Company hereby establishes the Participant’s Share Bonus at 6,285 shares of Common Stock for the Service Period.</w:t>
      </w:r>
    </w:p>
    <w:p>
      <w:pPr>
        <w:spacing w:after="0" w:line="134" w:lineRule="exact"/>
        <w:rPr>
          <w:rFonts w:ascii="Times New Roman" w:cs="Times New Roman" w:eastAsia="Times New Roman" w:hAnsi="Times New Roman"/>
          <w:sz w:val="21"/>
          <w:szCs w:val="21"/>
          <w:color w:val="auto"/>
        </w:rPr>
      </w:pPr>
    </w:p>
    <w:p>
      <w:pPr>
        <w:jc w:val="both"/>
        <w:ind w:firstLine="1305"/>
        <w:spacing w:after="0" w:line="239" w:lineRule="auto"/>
        <w:tabs>
          <w:tab w:leader="none" w:pos="1796"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“Establishment of the Service Requirement”</w:t>
      </w:r>
      <w:r>
        <w:rPr>
          <w:rFonts w:ascii="Times New Roman" w:cs="Times New Roman" w:eastAsia="Times New Roman" w:hAnsi="Times New Roman"/>
          <w:sz w:val="22"/>
          <w:szCs w:val="22"/>
          <w:color w:val="auto"/>
        </w:rPr>
        <w:t>. Pursuant to, and subject to, the terms and conditions set forth herein and in the Plan, the Company hereby establishes the Participant’s Service Requirement as the performance of the duties and obligations of the position of Chief Financial Officer, at the direction of the Company’s CEO and its Board of Directors, in good faith, and to the best of his abilities, during the entire Service Period.</w:t>
      </w:r>
    </w:p>
    <w:p>
      <w:pPr>
        <w:spacing w:after="0" w:line="180" w:lineRule="exact"/>
        <w:rPr>
          <w:rFonts w:ascii="Times New Roman" w:cs="Times New Roman" w:eastAsia="Times New Roman" w:hAnsi="Times New Roman"/>
          <w:sz w:val="22"/>
          <w:szCs w:val="22"/>
          <w:color w:val="auto"/>
        </w:rPr>
      </w:pPr>
    </w:p>
    <w:p>
      <w:pPr>
        <w:ind w:left="1760" w:hanging="455"/>
        <w:spacing w:after="0"/>
        <w:tabs>
          <w:tab w:leader="none" w:pos="176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Determination of Service Requirement</w:t>
      </w:r>
      <w:r>
        <w:rPr>
          <w:rFonts w:ascii="Times New Roman" w:cs="Times New Roman" w:eastAsia="Times New Roman" w:hAnsi="Times New Roman"/>
          <w:sz w:val="22"/>
          <w:szCs w:val="22"/>
          <w:color w:val="auto"/>
        </w:rPr>
        <w:t>. As soon as practicable after the end of the Service Period, and in no</w:t>
      </w:r>
    </w:p>
    <w:p>
      <w:pPr>
        <w:spacing w:after="0" w:line="1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event later than the 15</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1"/>
          <w:szCs w:val="21"/>
          <w:color w:val="auto"/>
        </w:rPr>
        <w:t xml:space="preserve"> day of the first May following the Service Period, the Committee shall determine whether the Participant has adequately fulfilled the Service Requirement. The Committee shall have discretion to reduce (but not increase) the Share Bonus at any time prior to the payment of such bonus to the Participant. The Committee may, but shall not be required to, set forth in Exhibit A hereto such criteria (which may be subjective) to be used as the basis by the Committee to make any such reduction.</w:t>
      </w:r>
    </w:p>
    <w:p>
      <w:pPr>
        <w:spacing w:after="0" w:line="180" w:lineRule="exact"/>
        <w:rPr>
          <w:sz w:val="20"/>
          <w:szCs w:val="20"/>
          <w:color w:val="auto"/>
        </w:rPr>
      </w:pPr>
    </w:p>
    <w:p>
      <w:pPr>
        <w:ind w:left="2040" w:hanging="735"/>
        <w:spacing w:after="0"/>
        <w:tabs>
          <w:tab w:leader="none" w:pos="20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Time and Method of Payment of Bonus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right="1100" w:firstLine="1305"/>
        <w:spacing w:after="0" w:line="282" w:lineRule="auto"/>
        <w:tabs>
          <w:tab w:leader="none" w:pos="2423"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Share Bonus shall be distributed in shares of Common Stock, less applicable taxes and withholdings, which may be satisfied with shares of Common Stock, and shall be distributed on the Distribution Date.</w:t>
      </w:r>
    </w:p>
    <w:p>
      <w:pPr>
        <w:spacing w:after="0" w:line="134" w:lineRule="exact"/>
        <w:rPr>
          <w:rFonts w:ascii="Times New Roman" w:cs="Times New Roman" w:eastAsia="Times New Roman" w:hAnsi="Times New Roman"/>
          <w:sz w:val="21"/>
          <w:szCs w:val="21"/>
          <w:color w:val="auto"/>
        </w:rPr>
      </w:pPr>
    </w:p>
    <w:p>
      <w:pPr>
        <w:ind w:right="320" w:firstLine="1305"/>
        <w:spacing w:after="0" w:line="258" w:lineRule="auto"/>
        <w:tabs>
          <w:tab w:leader="none" w:pos="151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payment is called for hereunder to the Participant at a time when the Participant is deceased, such payment shall be made to the Participant’s Beneficiary.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62" w:name="page63"/>
    <w:bookmarkEnd w:id="62"/>
    <w:p>
      <w:pPr>
        <w:ind w:left="1940" w:hanging="735"/>
        <w:spacing w:after="0"/>
        <w:tabs>
          <w:tab w:leader="none" w:pos="19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Termination of Employment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00" w:right="80" w:firstLine="1305"/>
        <w:spacing w:after="0" w:line="244" w:lineRule="auto"/>
        <w:tabs>
          <w:tab w:leader="none" w:pos="232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Participant’s employment with the Company terminates for any reason during the Service Period, no bonus shall be earned and the Participant shall not be entitled to any payment under Section 5 or have any other rights with respect to the Share Bonus.</w:t>
      </w:r>
    </w:p>
    <w:p>
      <w:pPr>
        <w:spacing w:after="0" w:line="173" w:lineRule="exact"/>
        <w:rPr>
          <w:rFonts w:ascii="Times New Roman" w:cs="Times New Roman" w:eastAsia="Times New Roman" w:hAnsi="Times New Roman"/>
          <w:sz w:val="22"/>
          <w:szCs w:val="22"/>
          <w:color w:val="auto"/>
        </w:rPr>
      </w:pPr>
    </w:p>
    <w:p>
      <w:pPr>
        <w:ind w:left="-100" w:right="60" w:firstLine="1305"/>
        <w:spacing w:after="0" w:line="238" w:lineRule="auto"/>
        <w:tabs>
          <w:tab w:leader="none" w:pos="230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Participant’s employment with the Company terminates at any time after the end of the Service Period for any reason other than termination by the Company for Cause, the Share Bonus Amount shall nevertheless be determined and distributed to the Participant in accordance with the otherwise applicable provisions of this Agreement; provided however, that any unpaid Share Bonus shall be forfeited in its entirety should Participant engage in any business or activity, either on his own or as an employee, which is deemed to be in competition with the Company.</w:t>
      </w:r>
    </w:p>
    <w:p>
      <w:pPr>
        <w:spacing w:after="0" w:line="177" w:lineRule="exact"/>
        <w:rPr>
          <w:rFonts w:ascii="Times New Roman" w:cs="Times New Roman" w:eastAsia="Times New Roman" w:hAnsi="Times New Roman"/>
          <w:sz w:val="22"/>
          <w:szCs w:val="22"/>
          <w:color w:val="auto"/>
        </w:rPr>
      </w:pPr>
    </w:p>
    <w:p>
      <w:pPr>
        <w:ind w:left="-100" w:right="260" w:firstLine="1305"/>
        <w:spacing w:after="0" w:line="244" w:lineRule="auto"/>
        <w:tabs>
          <w:tab w:leader="none" w:pos="2323"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the Company terminates the Participant’s employment for Cause at any time prior to the Distribution Date, any vested but unpaid Share Bonus shall be forfeited and the Participant shall not be entitled to any other payment under Section 5 or have any other rights with respect to the Share Bonus.</w:t>
      </w:r>
    </w:p>
    <w:p>
      <w:pPr>
        <w:spacing w:after="0" w:line="174" w:lineRule="exact"/>
        <w:rPr>
          <w:sz w:val="20"/>
          <w:szCs w:val="20"/>
          <w:color w:val="auto"/>
        </w:rPr>
      </w:pPr>
    </w:p>
    <w:p>
      <w:pPr>
        <w:ind w:left="-100" w:right="180" w:firstLine="1305"/>
        <w:spacing w:after="0" w:line="249" w:lineRule="auto"/>
        <w:tabs>
          <w:tab w:leader="none" w:pos="192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Clawback</w:t>
      </w:r>
      <w:r>
        <w:rPr>
          <w:rFonts w:ascii="Times New Roman" w:cs="Times New Roman" w:eastAsia="Times New Roman" w:hAnsi="Times New Roman"/>
          <w:sz w:val="21"/>
          <w:szCs w:val="21"/>
          <w:color w:val="auto"/>
        </w:rPr>
        <w:t>. In the event that the Company required to prepare an accounting restatement for any fiscal quarter or year commencing after April 1, 2019 due to the material noncompliance of the Company with any financial reporting requirement, and the Board of Directors of the Company (the “Board”) determines that the Participant’s willful commission of an act of fraud or dishonesty or recklessness in the performance of his duties contributed to the noncompliance which resulted in the obligation to restate the Company’s financial statements, the Board of Directors may require the Participant to repay to the Company all or part of the Share Bonus, or forfeit such if not already paid, whether vested or unvested.</w:t>
      </w:r>
    </w:p>
    <w:p>
      <w:pPr>
        <w:spacing w:after="0" w:line="171" w:lineRule="exact"/>
        <w:rPr>
          <w:rFonts w:ascii="Times New Roman" w:cs="Times New Roman" w:eastAsia="Times New Roman" w:hAnsi="Times New Roman"/>
          <w:sz w:val="21"/>
          <w:szCs w:val="21"/>
          <w:color w:val="auto"/>
        </w:rPr>
      </w:pPr>
    </w:p>
    <w:p>
      <w:pPr>
        <w:ind w:left="-100" w:right="120" w:firstLine="1305"/>
        <w:spacing w:after="0" w:line="235" w:lineRule="auto"/>
        <w:tabs>
          <w:tab w:leader="none" w:pos="192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and Waiver</w:t>
      </w:r>
      <w:r>
        <w:rPr>
          <w:rFonts w:ascii="Times New Roman" w:cs="Times New Roman" w:eastAsia="Times New Roman" w:hAnsi="Times New Roman"/>
          <w:sz w:val="22"/>
          <w:szCs w:val="22"/>
          <w:color w:val="auto"/>
        </w:rPr>
        <w:t>. Except as provided in the Plan with respect to determinations of the Committee and subject to the Company’s Board of Directors’ right to amend the Plan, neither this Agreement nor any provision hereof can be changed, modified, amended, discharged, terminated or waived orally or by any course of dealing or purported course of dealing, but only by an agreement in writing signed by the Participant and the Company. No such agreement shall extend to or affect any provision of this Agreement not expressly changed, modified, amended, discharged, terminated or waived or impair any right consequent on such a provision. The waiver of or failure to enforce any breach of this Agreement shall not be deemed to be a waiver or acquiescence in any other breach thereof.</w:t>
      </w:r>
    </w:p>
    <w:p>
      <w:pPr>
        <w:spacing w:after="0" w:line="183" w:lineRule="exact"/>
        <w:rPr>
          <w:rFonts w:ascii="Times New Roman" w:cs="Times New Roman" w:eastAsia="Times New Roman" w:hAnsi="Times New Roman"/>
          <w:sz w:val="22"/>
          <w:szCs w:val="22"/>
          <w:color w:val="auto"/>
        </w:rPr>
      </w:pPr>
    </w:p>
    <w:p>
      <w:pPr>
        <w:jc w:val="both"/>
        <w:ind w:left="-100" w:firstLine="1305"/>
        <w:spacing w:after="0" w:line="238" w:lineRule="auto"/>
        <w:tabs>
          <w:tab w:leader="none" w:pos="192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hereunder shall be in writing, shall be deemed to have been given if delivered in person or by first-class registered or certified mail, return receipt requested, and shall be deemed to have been given when personally delivered or five (5) days after mailing to the following address (or to such other address as either party may have furnished to the others in writing in accordance herewith, except that notices of change of address shall only be effective upon receipt):If to the Company: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11430</wp:posOffset>
            </wp:positionV>
            <wp:extent cx="7246620" cy="431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340" w:top="463" w:right="279" w:bottom="1440" w:gutter="0" w:footer="0" w:header="0"/>
        </w:sectPr>
      </w:pPr>
    </w:p>
    <w:bookmarkStart w:id="63" w:name="page64"/>
    <w:bookmarkEnd w:id="63"/>
    <w:p>
      <w:pPr>
        <w:ind w:left="1300"/>
        <w:spacing w:after="0"/>
        <w:rPr>
          <w:sz w:val="20"/>
          <w:szCs w:val="20"/>
          <w:color w:val="auto"/>
        </w:rPr>
      </w:pPr>
      <w:r>
        <w:rPr>
          <w:rFonts w:ascii="Times New Roman" w:cs="Times New Roman" w:eastAsia="Times New Roman" w:hAnsi="Times New Roman"/>
          <w:sz w:val="22"/>
          <w:szCs w:val="22"/>
          <w:color w:val="auto"/>
        </w:rPr>
        <w:t>Albany International Corp.</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216 Airport Drive</w:t>
      </w:r>
    </w:p>
    <w:p>
      <w:pPr>
        <w:ind w:left="1300"/>
        <w:spacing w:after="0" w:line="230" w:lineRule="auto"/>
        <w:rPr>
          <w:sz w:val="20"/>
          <w:szCs w:val="20"/>
          <w:color w:val="auto"/>
        </w:rPr>
      </w:pPr>
      <w:r>
        <w:rPr>
          <w:rFonts w:ascii="Times New Roman" w:cs="Times New Roman" w:eastAsia="Times New Roman" w:hAnsi="Times New Roman"/>
          <w:sz w:val="22"/>
          <w:szCs w:val="22"/>
          <w:color w:val="auto"/>
        </w:rPr>
        <w:t>Rochester, New Hampshire 03867</w:t>
      </w:r>
    </w:p>
    <w:p>
      <w:pPr>
        <w:ind w:left="1300"/>
        <w:spacing w:after="0" w:line="231" w:lineRule="auto"/>
        <w:rPr>
          <w:sz w:val="20"/>
          <w:szCs w:val="20"/>
          <w:color w:val="auto"/>
        </w:rPr>
      </w:pPr>
      <w:r>
        <w:rPr>
          <w:rFonts w:ascii="Times New Roman" w:cs="Times New Roman" w:eastAsia="Times New Roman" w:hAnsi="Times New Roman"/>
          <w:sz w:val="22"/>
          <w:szCs w:val="22"/>
          <w:color w:val="auto"/>
        </w:rPr>
        <w:t>Fax: (518) 445-2270</w:t>
      </w:r>
    </w:p>
    <w:p>
      <w:pPr>
        <w:ind w:left="1300"/>
        <w:spacing w:after="0"/>
        <w:rPr>
          <w:sz w:val="20"/>
          <w:szCs w:val="20"/>
          <w:color w:val="auto"/>
        </w:rPr>
      </w:pPr>
      <w:r>
        <w:rPr>
          <w:rFonts w:ascii="Times New Roman" w:cs="Times New Roman" w:eastAsia="Times New Roman" w:hAnsi="Times New Roman"/>
          <w:sz w:val="22"/>
          <w:szCs w:val="22"/>
          <w:color w:val="auto"/>
        </w:rPr>
        <w:t>Attention: Legal Department</w:t>
      </w:r>
    </w:p>
    <w:p>
      <w:pPr>
        <w:spacing w:after="0" w:line="20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If to the Participant, to the most recent address of the Participant that the Company has in its records.</w:t>
      </w:r>
    </w:p>
    <w:p>
      <w:pPr>
        <w:spacing w:after="0" w:line="206" w:lineRule="exact"/>
        <w:rPr>
          <w:sz w:val="20"/>
          <w:szCs w:val="20"/>
          <w:color w:val="auto"/>
        </w:rPr>
      </w:pPr>
    </w:p>
    <w:p>
      <w:pPr>
        <w:ind w:left="2020" w:hanging="715"/>
        <w:spacing w:after="0"/>
        <w:tabs>
          <w:tab w:leader="none" w:pos="20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 Acknowledgement</w:t>
      </w:r>
      <w:r>
        <w:rPr>
          <w:rFonts w:ascii="Times New Roman" w:cs="Times New Roman" w:eastAsia="Times New Roman" w:hAnsi="Times New Roman"/>
          <w:sz w:val="22"/>
          <w:szCs w:val="22"/>
          <w:color w:val="auto"/>
        </w:rPr>
        <w:t>. The Participant hereby acknowledges receipt of a copy of the Plan.</w:t>
      </w:r>
    </w:p>
    <w:p>
      <w:pPr>
        <w:spacing w:after="0" w:line="206" w:lineRule="exact"/>
        <w:rPr>
          <w:rFonts w:ascii="Times New Roman" w:cs="Times New Roman" w:eastAsia="Times New Roman" w:hAnsi="Times New Roman"/>
          <w:sz w:val="22"/>
          <w:szCs w:val="22"/>
          <w:color w:val="auto"/>
        </w:rPr>
      </w:pPr>
    </w:p>
    <w:p>
      <w:pPr>
        <w:ind w:right="20" w:firstLine="1305"/>
        <w:spacing w:after="0" w:line="244" w:lineRule="auto"/>
        <w:tabs>
          <w:tab w:leader="none" w:pos="1999"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Incorporation of the Plan</w:t>
      </w:r>
      <w:r>
        <w:rPr>
          <w:rFonts w:ascii="Times New Roman" w:cs="Times New Roman" w:eastAsia="Times New Roman" w:hAnsi="Times New Roman"/>
          <w:sz w:val="22"/>
          <w:szCs w:val="22"/>
          <w:color w:val="auto"/>
        </w:rPr>
        <w:t>. All terms and provisions of the Plan are incorporated herein and made part hereof as if stated herein. If any provision hereof and of the Plan shall be in conflict, the terms of the Plan shall govern. All capitalized terms used herein and not defined herein shall have the meanings assigned to them in the Plan.</w:t>
      </w:r>
    </w:p>
    <w:p>
      <w:pPr>
        <w:spacing w:after="0" w:line="173" w:lineRule="exact"/>
        <w:rPr>
          <w:rFonts w:ascii="Times New Roman" w:cs="Times New Roman" w:eastAsia="Times New Roman" w:hAnsi="Times New Roman"/>
          <w:sz w:val="22"/>
          <w:szCs w:val="22"/>
          <w:color w:val="auto"/>
        </w:rPr>
      </w:pPr>
    </w:p>
    <w:p>
      <w:pPr>
        <w:ind w:firstLine="1305"/>
        <w:spacing w:after="0" w:line="258" w:lineRule="auto"/>
        <w:tabs>
          <w:tab w:leader="none" w:pos="200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or more counterparts, each of which shall be deemed to be an original, but each of which together shall constitute one and the same document.</w:t>
      </w:r>
    </w:p>
    <w:p>
      <w:pPr>
        <w:spacing w:after="0" w:line="158" w:lineRule="exact"/>
        <w:rPr>
          <w:rFonts w:ascii="Times New Roman" w:cs="Times New Roman" w:eastAsia="Times New Roman" w:hAnsi="Times New Roman"/>
          <w:sz w:val="22"/>
          <w:szCs w:val="22"/>
          <w:color w:val="auto"/>
        </w:rPr>
      </w:pPr>
    </w:p>
    <w:p>
      <w:pPr>
        <w:ind w:firstLine="1305"/>
        <w:spacing w:after="0" w:line="244" w:lineRule="auto"/>
        <w:tabs>
          <w:tab w:leader="none" w:pos="200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Choice of Forum</w:t>
      </w:r>
      <w:r>
        <w:rPr>
          <w:rFonts w:ascii="Times New Roman" w:cs="Times New Roman" w:eastAsia="Times New Roman" w:hAnsi="Times New Roman"/>
          <w:sz w:val="22"/>
          <w:szCs w:val="22"/>
          <w:color w:val="auto"/>
        </w:rPr>
        <w:t>. This Agreement shall be governed by and interpreted in accordance with New York law, without regard to its conflicts of law principles, and the parties hereby submit to the jurisdiction of the courts and tribunals of New York.</w:t>
      </w:r>
    </w:p>
    <w:p>
      <w:pPr>
        <w:spacing w:after="0" w:line="173" w:lineRule="exact"/>
        <w:rPr>
          <w:rFonts w:ascii="Times New Roman" w:cs="Times New Roman" w:eastAsia="Times New Roman" w:hAnsi="Times New Roman"/>
          <w:sz w:val="22"/>
          <w:szCs w:val="22"/>
          <w:color w:val="auto"/>
        </w:rPr>
      </w:pPr>
    </w:p>
    <w:p>
      <w:pPr>
        <w:ind w:right="100" w:firstLine="1305"/>
        <w:spacing w:after="0" w:line="238" w:lineRule="auto"/>
        <w:tabs>
          <w:tab w:leader="none" w:pos="200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Binding Effect</w:t>
      </w:r>
      <w:r>
        <w:rPr>
          <w:rFonts w:ascii="Times New Roman" w:cs="Times New Roman" w:eastAsia="Times New Roman" w:hAnsi="Times New Roman"/>
          <w:sz w:val="22"/>
          <w:szCs w:val="22"/>
          <w:color w:val="auto"/>
        </w:rPr>
        <w:t>. This Agreement shall be binding upon, inure to the benefit of, and be enforceable by the heirs, personal representatives and successors of the parties hereto. Nothing expressed or referred to in this Agreement is intended or shall be construed to give any person other than the parties to this Agreement, or their respective heirs, personal representatives or successors, any legal or equitable rights, remedy or claim under or in respect of this Agreement or any provision contained herein.</w:t>
      </w:r>
    </w:p>
    <w:p>
      <w:pPr>
        <w:spacing w:after="0" w:line="177" w:lineRule="exact"/>
        <w:rPr>
          <w:rFonts w:ascii="Times New Roman" w:cs="Times New Roman" w:eastAsia="Times New Roman" w:hAnsi="Times New Roman"/>
          <w:sz w:val="22"/>
          <w:szCs w:val="22"/>
          <w:color w:val="auto"/>
        </w:rPr>
      </w:pPr>
    </w:p>
    <w:p>
      <w:pPr>
        <w:ind w:right="300" w:firstLine="1305"/>
        <w:spacing w:after="0" w:line="244" w:lineRule="auto"/>
        <w:tabs>
          <w:tab w:leader="none" w:pos="200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provision, covenant or restriction of this Agreement is held by a court of competent jurisdiction to be invalid, void or unenforceable, the remainder of the terms, provisions, covenants and restrictions of this Agreement shall remain in full force and effect and shall in no way be affected, impaired or invalidated.</w:t>
      </w:r>
    </w:p>
    <w:p>
      <w:pPr>
        <w:spacing w:after="0" w:line="173" w:lineRule="exact"/>
        <w:rPr>
          <w:rFonts w:ascii="Times New Roman" w:cs="Times New Roman" w:eastAsia="Times New Roman" w:hAnsi="Times New Roman"/>
          <w:sz w:val="22"/>
          <w:szCs w:val="22"/>
          <w:color w:val="auto"/>
        </w:rPr>
      </w:pPr>
    </w:p>
    <w:p>
      <w:pPr>
        <w:ind w:right="440" w:firstLine="1305"/>
        <w:spacing w:after="0" w:line="258" w:lineRule="auto"/>
        <w:tabs>
          <w:tab w:leader="none" w:pos="2007"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 The headings contained in this Agreement are for reference purposes only and shall not affect in any way the meaning or interpretation of this Agreement.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[SIGNATUE PAGE FOLLOWS]</w:t>
      </w:r>
    </w:p>
    <w:p>
      <w:pPr>
        <w:spacing w:after="0" w:line="2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4">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64" w:name="page65"/>
    <w:bookmarkEnd w:id="64"/>
    <w:p>
      <w:pPr>
        <w:ind w:right="200" w:firstLine="1297"/>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Company and the Participant have duly executed this Award Agreement as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Award Date specified above.</w:t>
      </w:r>
    </w:p>
    <w:p>
      <w:pPr>
        <w:spacing w:after="0" w:line="200" w:lineRule="exact"/>
        <w:rPr>
          <w:sz w:val="20"/>
          <w:szCs w:val="20"/>
          <w:color w:val="auto"/>
        </w:rPr>
      </w:pP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ALBANY INTERNATIONAL CORP.</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5160" w:type="dxa"/>
        <w:tblCellMar>
          <w:top w:w="0" w:type="dxa"/>
          <w:left w:w="0" w:type="dxa"/>
          <w:bottom w:w="0" w:type="dxa"/>
          <w:right w:w="0" w:type="dxa"/>
        </w:tblCellMar>
      </w:tblPr>
      <w:tr>
        <w:trPr>
          <w:trHeight w:val="25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/s/ Charles J. Silva, Jr</w:t>
            </w:r>
          </w:p>
        </w:tc>
        <w:tc>
          <w:tcPr>
            <w:tcW w:w="0" w:type="dxa"/>
            <w:vAlign w:val="bottom"/>
          </w:tcPr>
          <w:p>
            <w:pPr>
              <w:spacing w:after="0"/>
              <w:rPr>
                <w:sz w:val="1"/>
                <w:szCs w:val="1"/>
                <w:color w:val="auto"/>
              </w:rPr>
            </w:pPr>
          </w:p>
        </w:tc>
      </w:tr>
      <w:tr>
        <w:trPr>
          <w:trHeight w:val="27"/>
        </w:trPr>
        <w:tc>
          <w:tcPr>
            <w:tcW w:w="12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Name:</w:t>
            </w: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240" w:type="dxa"/>
            <w:vAlign w:val="bottom"/>
            <w:vMerge w:val="continue"/>
          </w:tcPr>
          <w:p>
            <w:pPr>
              <w:spacing w:after="0"/>
              <w:rPr>
                <w:sz w:val="18"/>
                <w:szCs w:val="18"/>
                <w:color w:val="auto"/>
              </w:rPr>
            </w:pPr>
          </w:p>
        </w:tc>
        <w:tc>
          <w:tcPr>
            <w:tcW w:w="502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Charles J. Silva, Jr</w:t>
            </w: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5020" w:type="dxa"/>
            <w:vAlign w:val="bottom"/>
          </w:tcPr>
          <w:p>
            <w:pPr>
              <w:spacing w:after="0"/>
              <w:rPr>
                <w:sz w:val="20"/>
                <w:szCs w:val="20"/>
                <w:color w:val="auto"/>
              </w:rPr>
            </w:pPr>
            <w:r>
              <w:rPr>
                <w:rFonts w:ascii="Times New Roman" w:cs="Times New Roman" w:eastAsia="Times New Roman" w:hAnsi="Times New Roman"/>
                <w:sz w:val="22"/>
                <w:szCs w:val="22"/>
                <w:color w:val="auto"/>
              </w:rPr>
              <w:t>Vice President, General Counsel and Secretary</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Participant</w:t>
      </w:r>
    </w:p>
    <w:p>
      <w:pPr>
        <w:spacing w:after="0" w:line="2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 Stephen M. Nolan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11430</wp:posOffset>
            </wp:positionV>
            <wp:extent cx="397891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5">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Stephen M. Nolan</w:t>
      </w: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6">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420"/>
          </w:cols>
          <w:pgMar w:left="240" w:top="1189" w:right="239" w:bottom="1440" w:gutter="0" w:footer="0" w:header="0"/>
        </w:sectPr>
      </w:pPr>
    </w:p>
    <w:bookmarkStart w:id="65" w:name="page66"/>
    <w:bookmarkEnd w:id="65"/>
    <w:p>
      <w:pPr>
        <w:jc w:val="center"/>
        <w:ind w:left="13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37" w:lineRule="exact"/>
        <w:rPr>
          <w:sz w:val="20"/>
          <w:szCs w:val="20"/>
          <w:color w:val="auto"/>
        </w:rPr>
      </w:pPr>
    </w:p>
    <w:p>
      <w:pPr>
        <w:jc w:val="both"/>
        <w:ind w:right="160" w:firstLine="1297"/>
        <w:spacing w:after="0" w:line="244" w:lineRule="auto"/>
        <w:rPr>
          <w:sz w:val="20"/>
          <w:szCs w:val="20"/>
          <w:color w:val="auto"/>
        </w:rPr>
      </w:pPr>
      <w:r>
        <w:rPr>
          <w:rFonts w:ascii="Times New Roman" w:cs="Times New Roman" w:eastAsia="Times New Roman" w:hAnsi="Times New Roman"/>
          <w:sz w:val="22"/>
          <w:szCs w:val="22"/>
          <w:color w:val="auto"/>
        </w:rPr>
        <w:t>Pursuant to Paragraph 4 of the Incentive Award Agreement, the Committee retains discretion to reduce the Share Bonus payable to the Participant. Without limiting such discretion, the Committee has concluded that it is likely to exercise such discretion in the event it determines, in its sole discretion, that either,</w:t>
      </w:r>
    </w:p>
    <w:p>
      <w:pPr>
        <w:spacing w:after="0" w:line="174" w:lineRule="exact"/>
        <w:rPr>
          <w:sz w:val="20"/>
          <w:szCs w:val="20"/>
          <w:color w:val="auto"/>
        </w:rPr>
      </w:pPr>
    </w:p>
    <w:p>
      <w:pPr>
        <w:ind w:left="2020" w:hanging="715"/>
        <w:spacing w:after="0"/>
        <w:tabs>
          <w:tab w:leader="none" w:pos="2020"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has failed to pursue or make adequate progress in the implementation of the company-wide</w:t>
      </w:r>
    </w:p>
    <w:p>
      <w:pPr>
        <w:spacing w:after="0" w:line="25"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safety measures; or</w:t>
      </w:r>
    </w:p>
    <w:p>
      <w:pPr>
        <w:spacing w:after="0" w:line="182" w:lineRule="exact"/>
        <w:rPr>
          <w:rFonts w:ascii="Times New Roman" w:cs="Times New Roman" w:eastAsia="Times New Roman" w:hAnsi="Times New Roman"/>
          <w:sz w:val="21"/>
          <w:szCs w:val="21"/>
          <w:color w:val="auto"/>
        </w:rPr>
      </w:pPr>
    </w:p>
    <w:p>
      <w:pPr>
        <w:ind w:firstLine="1305"/>
        <w:spacing w:after="0" w:line="258" w:lineRule="auto"/>
        <w:tabs>
          <w:tab w:leader="none" w:pos="202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failed to adequately address the long-term strategic issues facing the Albany Engineered Composites business segment sufficient to advance and ensure its long-term strength and success, including:</w:t>
      </w:r>
    </w:p>
    <w:p>
      <w:pPr>
        <w:spacing w:after="0" w:line="158" w:lineRule="exact"/>
        <w:rPr>
          <w:sz w:val="20"/>
          <w:szCs w:val="20"/>
          <w:color w:val="auto"/>
        </w:rPr>
      </w:pPr>
    </w:p>
    <w:p>
      <w:pPr>
        <w:ind w:left="2060" w:hanging="755"/>
        <w:spacing w:after="0"/>
        <w:tabs>
          <w:tab w:leader="none" w:pos="20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Progress on engineering and manufacturing ramp-up of Safran part;</w:t>
      </w:r>
    </w:p>
    <w:p>
      <w:pPr>
        <w:spacing w:after="0" w:line="206" w:lineRule="exact"/>
        <w:rPr>
          <w:rFonts w:ascii="Times New Roman" w:cs="Times New Roman" w:eastAsia="Times New Roman" w:hAnsi="Times New Roman"/>
          <w:sz w:val="22"/>
          <w:szCs w:val="22"/>
          <w:color w:val="auto"/>
        </w:rPr>
      </w:pPr>
    </w:p>
    <w:p>
      <w:pPr>
        <w:ind w:left="2040" w:hanging="735"/>
        <w:spacing w:after="0"/>
        <w:tabs>
          <w:tab w:leader="none" w:pos="20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Progress on R&amp;T and staffing to address additional business opportunities with priority on Safran;</w:t>
      </w:r>
    </w:p>
    <w:p>
      <w:pPr>
        <w:spacing w:after="0" w:line="206" w:lineRule="exact"/>
        <w:rPr>
          <w:rFonts w:ascii="Times New Roman" w:cs="Times New Roman" w:eastAsia="Times New Roman" w:hAnsi="Times New Roman"/>
          <w:sz w:val="22"/>
          <w:szCs w:val="22"/>
          <w:color w:val="auto"/>
        </w:rPr>
      </w:pPr>
    </w:p>
    <w:p>
      <w:pPr>
        <w:ind w:left="2060" w:hanging="755"/>
        <w:spacing w:after="0"/>
        <w:tabs>
          <w:tab w:leader="none" w:pos="206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Progress on maturation of AEC organization.</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7">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ectPr>
          <w:pgSz w:w="11900" w:h="16838" w:orient="portrait"/>
          <w:cols w:equalWidth="0" w:num="1">
            <w:col w:w="11280"/>
          </w:cols>
          <w:pgMar w:left="240" w:top="459" w:right="379" w:bottom="1440" w:gutter="0" w:footer="0" w:header="0"/>
        </w:sectPr>
      </w:pPr>
    </w:p>
    <w:bookmarkStart w:id="66" w:name="page67"/>
    <w:bookmarkEnd w:id="66"/>
    <w:p>
      <w:pPr>
        <w:jc w:val="center"/>
        <w:ind w:left="660"/>
        <w:spacing w:after="0"/>
        <w:rPr>
          <w:sz w:val="20"/>
          <w:szCs w:val="20"/>
          <w:color w:val="auto"/>
        </w:rPr>
      </w:pPr>
      <w:r>
        <w:rPr>
          <w:rFonts w:ascii="Arial" w:cs="Arial" w:eastAsia="Arial" w:hAnsi="Arial"/>
          <w:sz w:val="18"/>
          <w:szCs w:val="18"/>
          <w:b w:val="1"/>
          <w:bCs w:val="1"/>
          <w:color w:val="auto"/>
        </w:rPr>
        <w:t>EXHIBIT (31.1)</w:t>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PURSUANT TO</w:t>
      </w:r>
    </w:p>
    <w:p>
      <w:pPr>
        <w:jc w:val="center"/>
        <w:ind w:left="66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66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 Olivier M. Jarrault, certify that:</w:t>
      </w:r>
    </w:p>
    <w:p>
      <w:pPr>
        <w:spacing w:after="0" w:line="159"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 have reviewed this report on Form 10-Q of Albany International Corp.;</w:t>
      </w:r>
    </w:p>
    <w:p>
      <w:pPr>
        <w:spacing w:after="0" w:line="190" w:lineRule="exact"/>
        <w:rPr>
          <w:rFonts w:ascii="Arial" w:cs="Arial" w:eastAsia="Arial" w:hAnsi="Arial"/>
          <w:sz w:val="14"/>
          <w:szCs w:val="14"/>
          <w:color w:val="auto"/>
        </w:rPr>
      </w:pPr>
    </w:p>
    <w:p>
      <w:pPr>
        <w:ind w:left="980" w:right="380" w:hanging="324"/>
        <w:spacing w:after="0" w:line="291" w:lineRule="auto"/>
        <w:tabs>
          <w:tab w:leader="none" w:pos="9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4"/>
          <w:szCs w:val="14"/>
          <w:color w:val="auto"/>
        </w:rPr>
      </w:pPr>
    </w:p>
    <w:p>
      <w:pPr>
        <w:ind w:left="980" w:hanging="324"/>
        <w:spacing w:after="0" w:line="291" w:lineRule="auto"/>
        <w:tabs>
          <w:tab w:leader="none" w:pos="9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4"/>
          <w:szCs w:val="14"/>
          <w:color w:val="auto"/>
        </w:rPr>
      </w:pPr>
    </w:p>
    <w:p>
      <w:pPr>
        <w:jc w:val="both"/>
        <w:ind w:left="980" w:right="300" w:hanging="324"/>
        <w:spacing w:after="0" w:line="266" w:lineRule="auto"/>
        <w:tabs>
          <w:tab w:leader="none" w:pos="9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4"/>
          <w:szCs w:val="14"/>
          <w:color w:val="auto"/>
        </w:rPr>
      </w:pPr>
    </w:p>
    <w:p>
      <w:pPr>
        <w:ind w:left="1300" w:right="20" w:hanging="320"/>
        <w:spacing w:after="0" w:line="266" w:lineRule="auto"/>
        <w:tabs>
          <w:tab w:leader="none" w:pos="13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4"/>
          <w:szCs w:val="14"/>
          <w:color w:val="auto"/>
        </w:rPr>
      </w:pPr>
    </w:p>
    <w:p>
      <w:pPr>
        <w:ind w:left="1300" w:hanging="320"/>
        <w:spacing w:after="0" w:line="266" w:lineRule="auto"/>
        <w:tabs>
          <w:tab w:leader="none" w:pos="13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4"/>
          <w:szCs w:val="14"/>
          <w:color w:val="auto"/>
        </w:rPr>
      </w:pPr>
    </w:p>
    <w:p>
      <w:pPr>
        <w:ind w:left="1300" w:right="180" w:hanging="320"/>
        <w:spacing w:after="0" w:line="291" w:lineRule="auto"/>
        <w:tabs>
          <w:tab w:leader="none" w:pos="13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4"/>
          <w:szCs w:val="14"/>
          <w:color w:val="auto"/>
        </w:rPr>
      </w:pPr>
    </w:p>
    <w:p>
      <w:pPr>
        <w:ind w:left="1300" w:hanging="320"/>
        <w:spacing w:after="0" w:line="266" w:lineRule="auto"/>
        <w:tabs>
          <w:tab w:leader="none" w:pos="13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4"/>
          <w:szCs w:val="14"/>
          <w:color w:val="auto"/>
        </w:rPr>
      </w:pPr>
    </w:p>
    <w:p>
      <w:pPr>
        <w:ind w:left="980" w:right="280" w:hanging="324"/>
        <w:spacing w:after="0" w:line="291" w:lineRule="auto"/>
        <w:tabs>
          <w:tab w:leader="none" w:pos="9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4"/>
          <w:szCs w:val="14"/>
          <w:color w:val="auto"/>
        </w:rPr>
      </w:pPr>
    </w:p>
    <w:p>
      <w:pPr>
        <w:ind w:left="1300" w:right="580" w:hanging="320"/>
        <w:spacing w:after="0" w:line="291" w:lineRule="auto"/>
        <w:tabs>
          <w:tab w:leader="none" w:pos="13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4"/>
          <w:szCs w:val="14"/>
          <w:color w:val="auto"/>
        </w:rPr>
      </w:pPr>
    </w:p>
    <w:p>
      <w:pPr>
        <w:ind w:left="1300" w:right="160" w:hanging="320"/>
        <w:spacing w:after="0" w:line="291" w:lineRule="auto"/>
        <w:tabs>
          <w:tab w:leader="none" w:pos="1300" w:val="left"/>
        </w:tabs>
        <w:numPr>
          <w:ilvl w:val="1"/>
          <w:numId w:val="5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Date: May 1, 2019</w:t>
      </w:r>
    </w:p>
    <w:p>
      <w:pPr>
        <w:spacing w:after="0" w:line="177"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u w:val="single" w:color="auto"/>
          <w:color w:val="auto"/>
        </w:rPr>
        <w:t>/s/ Olivier M. Jarrault</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Olivier M. Jarrault</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President and Chief Executive Officer</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(Principal Executive Officer)</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67" w:name="page68"/>
    <w:bookmarkEnd w:id="67"/>
    <w:p>
      <w:pPr>
        <w:jc w:val="center"/>
        <w:ind w:left="660"/>
        <w:spacing w:after="0"/>
        <w:rPr>
          <w:sz w:val="20"/>
          <w:szCs w:val="20"/>
          <w:color w:val="auto"/>
        </w:rPr>
      </w:pPr>
      <w:r>
        <w:rPr>
          <w:rFonts w:ascii="Arial" w:cs="Arial" w:eastAsia="Arial" w:hAnsi="Arial"/>
          <w:sz w:val="18"/>
          <w:szCs w:val="18"/>
          <w:b w:val="1"/>
          <w:bCs w:val="1"/>
          <w:color w:val="auto"/>
        </w:rPr>
        <w:t>EXHIBIT (31.2)</w:t>
      </w:r>
    </w:p>
    <w:p>
      <w:pPr>
        <w:spacing w:after="0" w:line="1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PURSUANT TO</w:t>
      </w:r>
    </w:p>
    <w:p>
      <w:pPr>
        <w:jc w:val="center"/>
        <w:ind w:left="660"/>
        <w:spacing w:after="0" w:line="234" w:lineRule="auto"/>
        <w:rPr>
          <w:sz w:val="20"/>
          <w:szCs w:val="20"/>
          <w:color w:val="auto"/>
        </w:rPr>
      </w:pPr>
      <w:r>
        <w:rPr>
          <w:rFonts w:ascii="Arial" w:cs="Arial" w:eastAsia="Arial" w:hAnsi="Arial"/>
          <w:sz w:val="18"/>
          <w:szCs w:val="18"/>
          <w:b w:val="1"/>
          <w:bCs w:val="1"/>
          <w:color w:val="auto"/>
        </w:rPr>
        <w:t>RULE 13A-14 OF THE SECURITIES EXCHANGE ACT OF 1934,</w:t>
      </w:r>
    </w:p>
    <w:p>
      <w:pPr>
        <w:jc w:val="center"/>
        <w:ind w:left="66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I, Stephen M. Nolan, certify that:</w:t>
      </w:r>
    </w:p>
    <w:p>
      <w:pPr>
        <w:spacing w:after="0" w:line="159"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I have reviewed this report on Form 10-Q of Albany International Corp.;</w:t>
      </w:r>
    </w:p>
    <w:p>
      <w:pPr>
        <w:spacing w:after="0" w:line="190" w:lineRule="exact"/>
        <w:rPr>
          <w:rFonts w:ascii="Arial" w:cs="Arial" w:eastAsia="Arial" w:hAnsi="Arial"/>
          <w:sz w:val="14"/>
          <w:szCs w:val="14"/>
          <w:color w:val="auto"/>
        </w:rPr>
      </w:pPr>
    </w:p>
    <w:p>
      <w:pPr>
        <w:ind w:left="980" w:right="380" w:hanging="324"/>
        <w:spacing w:after="0" w:line="291" w:lineRule="auto"/>
        <w:tabs>
          <w:tab w:leader="none" w:pos="9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4"/>
          <w:szCs w:val="14"/>
          <w:color w:val="auto"/>
        </w:rPr>
      </w:pPr>
    </w:p>
    <w:p>
      <w:pPr>
        <w:ind w:left="980" w:hanging="324"/>
        <w:spacing w:after="0" w:line="291" w:lineRule="auto"/>
        <w:tabs>
          <w:tab w:leader="none" w:pos="9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4"/>
          <w:szCs w:val="14"/>
          <w:color w:val="auto"/>
        </w:rPr>
      </w:pPr>
    </w:p>
    <w:p>
      <w:pPr>
        <w:jc w:val="both"/>
        <w:ind w:left="980" w:right="300" w:hanging="324"/>
        <w:spacing w:after="0" w:line="266" w:lineRule="auto"/>
        <w:tabs>
          <w:tab w:leader="none" w:pos="9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9" w:lineRule="exact"/>
        <w:rPr>
          <w:rFonts w:ascii="Arial" w:cs="Arial" w:eastAsia="Arial" w:hAnsi="Arial"/>
          <w:sz w:val="14"/>
          <w:szCs w:val="14"/>
          <w:color w:val="auto"/>
        </w:rPr>
      </w:pPr>
    </w:p>
    <w:p>
      <w:pPr>
        <w:ind w:left="1300" w:right="20" w:hanging="320"/>
        <w:spacing w:after="0" w:line="266" w:lineRule="auto"/>
        <w:tabs>
          <w:tab w:leader="none" w:pos="13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4"/>
          <w:szCs w:val="14"/>
          <w:color w:val="auto"/>
        </w:rPr>
      </w:pPr>
    </w:p>
    <w:p>
      <w:pPr>
        <w:ind w:left="1300" w:hanging="320"/>
        <w:spacing w:after="0" w:line="266" w:lineRule="auto"/>
        <w:tabs>
          <w:tab w:leader="none" w:pos="13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4"/>
          <w:szCs w:val="14"/>
          <w:color w:val="auto"/>
        </w:rPr>
      </w:pPr>
    </w:p>
    <w:p>
      <w:pPr>
        <w:ind w:left="1300" w:right="180" w:hanging="320"/>
        <w:spacing w:after="0" w:line="291" w:lineRule="auto"/>
        <w:tabs>
          <w:tab w:leader="none" w:pos="13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4"/>
          <w:szCs w:val="14"/>
          <w:color w:val="auto"/>
        </w:rPr>
      </w:pPr>
    </w:p>
    <w:p>
      <w:pPr>
        <w:ind w:left="1300" w:hanging="320"/>
        <w:spacing w:after="0" w:line="266" w:lineRule="auto"/>
        <w:tabs>
          <w:tab w:leader="none" w:pos="13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4"/>
          <w:szCs w:val="14"/>
          <w:color w:val="auto"/>
        </w:rPr>
      </w:pPr>
    </w:p>
    <w:p>
      <w:pPr>
        <w:ind w:left="980" w:right="280" w:hanging="324"/>
        <w:spacing w:after="0" w:line="291" w:lineRule="auto"/>
        <w:tabs>
          <w:tab w:leader="none" w:pos="98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4"/>
          <w:szCs w:val="14"/>
          <w:color w:val="auto"/>
        </w:rPr>
      </w:pPr>
    </w:p>
    <w:p>
      <w:pPr>
        <w:ind w:left="1300" w:right="580" w:hanging="320"/>
        <w:spacing w:after="0" w:line="291" w:lineRule="auto"/>
        <w:tabs>
          <w:tab w:leader="none" w:pos="13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4"/>
          <w:szCs w:val="14"/>
          <w:color w:val="auto"/>
        </w:rPr>
      </w:pPr>
    </w:p>
    <w:p>
      <w:pPr>
        <w:ind w:left="1300" w:right="160" w:hanging="320"/>
        <w:spacing w:after="0" w:line="291" w:lineRule="auto"/>
        <w:tabs>
          <w:tab w:leader="none" w:pos="1300" w:val="left"/>
        </w:tabs>
        <w:numPr>
          <w:ilvl w:val="1"/>
          <w:numId w:val="5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Date: May 1, 2019</w:t>
      </w:r>
    </w:p>
    <w:p>
      <w:pPr>
        <w:spacing w:after="0" w:line="177" w:lineRule="exact"/>
        <w:rPr>
          <w:sz w:val="20"/>
          <w:szCs w:val="20"/>
          <w:color w:val="auto"/>
        </w:rPr>
      </w:pPr>
    </w:p>
    <w:p>
      <w:pPr>
        <w:ind w:left="7440"/>
        <w:spacing w:after="0"/>
        <w:tabs>
          <w:tab w:leader="none" w:pos="776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u w:val="single" w:color="auto"/>
          <w:color w:val="auto"/>
        </w:rPr>
        <w:t>/s/ Stephen M. Nolan</w:t>
      </w:r>
    </w:p>
    <w:p>
      <w:pPr>
        <w:spacing w:after="0" w:line="19"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Stephen M. Nolan</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Chief Financial Officer and Treasurer</w:t>
      </w:r>
    </w:p>
    <w:p>
      <w:pPr>
        <w:spacing w:after="0" w:line="1" w:lineRule="exact"/>
        <w:rPr>
          <w:sz w:val="20"/>
          <w:szCs w:val="20"/>
          <w:color w:val="auto"/>
        </w:rPr>
      </w:pPr>
    </w:p>
    <w:p>
      <w:pPr>
        <w:ind w:left="7780"/>
        <w:spacing w:after="0"/>
        <w:rPr>
          <w:sz w:val="20"/>
          <w:szCs w:val="20"/>
          <w:color w:val="auto"/>
        </w:rPr>
      </w:pPr>
      <w:r>
        <w:rPr>
          <w:rFonts w:ascii="Arial" w:cs="Arial" w:eastAsia="Arial" w:hAnsi="Arial"/>
          <w:sz w:val="14"/>
          <w:szCs w:val="14"/>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68" w:name="page69"/>
    <w:bookmarkEnd w:id="68"/>
    <w:p>
      <w:pPr>
        <w:jc w:val="center"/>
        <w:ind w:left="660"/>
        <w:spacing w:after="0"/>
        <w:rPr>
          <w:sz w:val="20"/>
          <w:szCs w:val="20"/>
          <w:color w:val="auto"/>
        </w:rPr>
      </w:pPr>
      <w:r>
        <w:rPr>
          <w:rFonts w:ascii="Arial" w:cs="Arial" w:eastAsia="Arial" w:hAnsi="Arial"/>
          <w:sz w:val="18"/>
          <w:szCs w:val="18"/>
          <w:b w:val="1"/>
          <w:bCs w:val="1"/>
          <w:color w:val="auto"/>
        </w:rPr>
        <w:t>EXHIBIT (32.1)</w:t>
      </w:r>
    </w:p>
    <w:p>
      <w:pPr>
        <w:spacing w:after="0" w:line="1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CERTIFICATION PURSUANT TO</w:t>
      </w:r>
    </w:p>
    <w:p>
      <w:pPr>
        <w:jc w:val="center"/>
        <w:ind w:left="660"/>
        <w:spacing w:after="0" w:line="234" w:lineRule="auto"/>
        <w:rPr>
          <w:sz w:val="20"/>
          <w:szCs w:val="20"/>
          <w:color w:val="auto"/>
        </w:rPr>
      </w:pPr>
      <w:r>
        <w:rPr>
          <w:rFonts w:ascii="Arial" w:cs="Arial" w:eastAsia="Arial" w:hAnsi="Arial"/>
          <w:sz w:val="18"/>
          <w:szCs w:val="18"/>
          <w:b w:val="1"/>
          <w:bCs w:val="1"/>
          <w:color w:val="auto"/>
        </w:rPr>
        <w:t>18 U.S.C. SECTION 1350,</w:t>
      </w:r>
    </w:p>
    <w:p>
      <w:pPr>
        <w:ind w:left="4780"/>
        <w:spacing w:after="0" w:line="235"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0" w:lineRule="exact"/>
        <w:rPr>
          <w:sz w:val="20"/>
          <w:szCs w:val="20"/>
          <w:color w:val="auto"/>
        </w:rPr>
      </w:pPr>
    </w:p>
    <w:p>
      <w:pPr>
        <w:ind w:firstLine="648"/>
        <w:spacing w:after="0" w:line="248" w:lineRule="auto"/>
        <w:rPr>
          <w:sz w:val="20"/>
          <w:szCs w:val="20"/>
          <w:color w:val="auto"/>
        </w:rPr>
      </w:pPr>
      <w:r>
        <w:rPr>
          <w:rFonts w:ascii="Arial" w:cs="Arial" w:eastAsia="Arial" w:hAnsi="Arial"/>
          <w:sz w:val="18"/>
          <w:szCs w:val="18"/>
          <w:color w:val="auto"/>
        </w:rPr>
        <w:t>In connection with the Quarterly Report of Albany International Corp. (the Company) on Form 10-Q for the period ending March 31, 2019, as filed with the Securities and Exchange Commission on the date hereof (the Report), Olivier M. Jarrault, President and Chief Executive Officer, and Stephen M. Nolan, Chief Financial Officer and Treasurer of the Company, certify, pursuant to 18 U.S.C. § 1350, as adopted pursuant to § 906 of the Sarbanes-Oxley Act of 2002, that:</w:t>
      </w:r>
    </w:p>
    <w:p>
      <w:pPr>
        <w:spacing w:after="0" w:line="171"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and Exchange Act of 1934; and</w:t>
      </w:r>
    </w:p>
    <w:p>
      <w:pPr>
        <w:spacing w:after="0" w:line="211" w:lineRule="exact"/>
        <w:rPr>
          <w:rFonts w:ascii="Arial" w:cs="Arial" w:eastAsia="Arial" w:hAnsi="Arial"/>
          <w:sz w:val="18"/>
          <w:szCs w:val="18"/>
          <w:color w:val="auto"/>
        </w:rPr>
      </w:pPr>
    </w:p>
    <w:p>
      <w:pPr>
        <w:ind w:left="980" w:right="120" w:hanging="324"/>
        <w:spacing w:after="0" w:line="276"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Dated: May 1, 2019</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Olivier M. Jarrault</w:t>
      </w:r>
    </w:p>
    <w:p>
      <w:pPr>
        <w:ind w:left="5200"/>
        <w:spacing w:after="0" w:line="234" w:lineRule="auto"/>
        <w:rPr>
          <w:sz w:val="20"/>
          <w:szCs w:val="20"/>
          <w:color w:val="auto"/>
        </w:rPr>
      </w:pPr>
      <w:r>
        <w:rPr>
          <w:rFonts w:ascii="Arial" w:cs="Arial" w:eastAsia="Arial" w:hAnsi="Arial"/>
          <w:sz w:val="18"/>
          <w:szCs w:val="18"/>
          <w:color w:val="auto"/>
        </w:rPr>
        <w:t>Olivier M. Jarrault</w:t>
      </w:r>
    </w:p>
    <w:p>
      <w:pPr>
        <w:ind w:left="5200"/>
        <w:spacing w:after="0" w:line="235"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Arial" w:cs="Arial" w:eastAsia="Arial" w:hAnsi="Arial"/>
          <w:sz w:val="18"/>
          <w:szCs w:val="18"/>
          <w:u w:val="single" w:color="auto"/>
          <w:color w:val="auto"/>
        </w:rPr>
        <w:t>/s/ Stephen M. Nolan</w:t>
      </w:r>
    </w:p>
    <w:p>
      <w:pPr>
        <w:spacing w:after="0" w:line="1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Stephen M. Nolan</w:t>
      </w:r>
    </w:p>
    <w:p>
      <w:pPr>
        <w:ind w:left="5200"/>
        <w:spacing w:after="0" w:line="234" w:lineRule="auto"/>
        <w:rPr>
          <w:sz w:val="20"/>
          <w:szCs w:val="20"/>
          <w:color w:val="auto"/>
        </w:rPr>
      </w:pPr>
      <w:r>
        <w:rPr>
          <w:rFonts w:ascii="Arial" w:cs="Arial" w:eastAsia="Arial" w:hAnsi="Arial"/>
          <w:sz w:val="18"/>
          <w:szCs w:val="18"/>
          <w:color w:val="auto"/>
        </w:rPr>
        <w:t>Chief Financial Officer and Treasurer</w:t>
      </w:r>
    </w:p>
    <w:p>
      <w:pPr>
        <w:spacing w:after="0" w:line="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80"/>
          </w:cols>
          <w:pgMar w:left="240" w:top="695" w:right="279" w:bottom="1440" w:gutter="0" w:footer="0" w:header="0"/>
        </w:sectPr>
      </w:pPr>
    </w:p>
    <w:bookmarkStart w:id="69" w:name="page70"/>
    <w:bookmarkEnd w:id="69"/>
    <w:p>
      <w:pPr>
        <w:jc w:val="center"/>
        <w:ind w:left="660"/>
        <w:spacing w:after="0"/>
        <w:rPr>
          <w:sz w:val="20"/>
          <w:szCs w:val="20"/>
          <w:color w:val="auto"/>
        </w:rPr>
      </w:pPr>
      <w:r>
        <w:rPr>
          <w:rFonts w:ascii="Arial" w:cs="Arial" w:eastAsia="Arial" w:hAnsi="Arial"/>
          <w:sz w:val="18"/>
          <w:szCs w:val="18"/>
          <w:b w:val="1"/>
          <w:bCs w:val="1"/>
          <w:color w:val="auto"/>
        </w:rPr>
        <w:t>EXHIBIT (99.1)</w:t>
      </w:r>
    </w:p>
    <w:p>
      <w:pPr>
        <w:spacing w:after="0" w:line="21"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MARKET RISK SENSITIVITY – As of March 31, 2019</w:t>
      </w:r>
    </w:p>
    <w:p>
      <w:pPr>
        <w:spacing w:after="0" w:line="176" w:lineRule="exact"/>
        <w:rPr>
          <w:sz w:val="20"/>
          <w:szCs w:val="20"/>
          <w:color w:val="auto"/>
        </w:rPr>
      </w:pPr>
    </w:p>
    <w:p>
      <w:pPr>
        <w:ind w:right="320" w:firstLine="648"/>
        <w:spacing w:after="0" w:line="276" w:lineRule="auto"/>
        <w:rPr>
          <w:sz w:val="20"/>
          <w:szCs w:val="20"/>
          <w:color w:val="auto"/>
        </w:rPr>
      </w:pPr>
      <w:r>
        <w:rPr>
          <w:rFonts w:ascii="Arial" w:cs="Arial" w:eastAsia="Arial" w:hAnsi="Arial"/>
          <w:sz w:val="18"/>
          <w:szCs w:val="18"/>
          <w:color w:val="auto"/>
        </w:rPr>
        <w:t>We have market risk with respect to foreign currency exchange rates and interest rates. The market risk is the potential loss arising from adverse changes in these rates as discussed below.</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 Risk</w:t>
      </w:r>
    </w:p>
    <w:p>
      <w:pPr>
        <w:spacing w:after="0" w:line="187" w:lineRule="exact"/>
        <w:rPr>
          <w:sz w:val="20"/>
          <w:szCs w:val="20"/>
          <w:color w:val="auto"/>
        </w:rPr>
      </w:pPr>
    </w:p>
    <w:p>
      <w:pPr>
        <w:ind w:firstLine="648"/>
        <w:spacing w:after="0" w:line="239" w:lineRule="auto"/>
        <w:rPr>
          <w:sz w:val="20"/>
          <w:szCs w:val="20"/>
          <w:color w:val="auto"/>
        </w:rPr>
      </w:pPr>
      <w:r>
        <w:rPr>
          <w:rFonts w:ascii="Arial" w:cs="Arial" w:eastAsia="Arial" w:hAnsi="Arial"/>
          <w:sz w:val="18"/>
          <w:szCs w:val="18"/>
          <w:color w:val="auto"/>
        </w:rPr>
        <w:t>We have manufacturing plants and sales transactions worldwide and therefore are subject to foreign currency risk. This risk is composed of both potential losses from the translation of foreign currency financial statements and the remeasurement of foreign currency transactions. To manage this risk, we periodically enter into forward exchange contracts either to hedge the net assets of a foreign investment or to provide an economic hedge against future cash flows. The total net assets of non-U.S. operations and long-term intercompany loans denominated in nonfunctional currencies subject to potential loss amount to approximately $547.1 million. The potential loss in fair value resulting from a hypothetical 10% adverse change in quoted foreign currency exchange rates amounts to $ 54.7 million. Furthermore, related to foreign currency transactions, we have exposure to various nonfunctional currency balances totaling $70.2 million. This amount includes, on an absolute basis, exposures to assets and liabilities held in currencies other than our local entity’s functional currency. On a net basis, we had $33.6 million of foreign currency liabilities as of March 31, 2019. As currency rates change, these nonfunctional currency balances are revalued, and the corresponding adjustment is recorded in the income statement. A hypothetical change of 10% in currency rates could result in an adjustment to the income statement of approximately $3.3 million. Actual results may differ.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interest rate fluctuations with respect to our variable rate debt, depending on general economic conditions.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March 31, 2019, we had the following variable rate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123190</wp:posOffset>
            </wp:positionV>
            <wp:extent cx="50685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1">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6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thousands, except interest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12700</wp:posOffset>
            </wp:positionV>
            <wp:extent cx="50685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2">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Long-term debt</w:t>
      </w:r>
    </w:p>
    <w:p>
      <w:pPr>
        <w:ind w:left="660" w:right="2740"/>
        <w:spacing w:after="0" w:line="251" w:lineRule="auto"/>
        <w:rPr>
          <w:sz w:val="20"/>
          <w:szCs w:val="20"/>
          <w:color w:val="auto"/>
        </w:rPr>
      </w:pPr>
      <w:r>
        <w:rPr>
          <w:rFonts w:ascii="Arial" w:cs="Arial" w:eastAsia="Arial" w:hAnsi="Arial"/>
          <w:sz w:val="18"/>
          <w:szCs w:val="18"/>
          <w:color w:val="auto"/>
        </w:rPr>
        <w:t>Credit agreement with borrowings outstanding, net of fixed rate portion, at an $141,000 end of period interest rate of 3.911% in 2019, due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111760</wp:posOffset>
            </wp:positionV>
            <wp:extent cx="50685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3">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$141,000</w:t>
            </w:r>
          </w:p>
        </w:tc>
      </w:tr>
    </w:tbl>
    <w:p>
      <w:pPr>
        <w:spacing w:after="0" w:line="355" w:lineRule="exact"/>
        <w:rPr>
          <w:sz w:val="20"/>
          <w:szCs w:val="20"/>
          <w:color w:val="auto"/>
        </w:rPr>
      </w:pPr>
    </w:p>
    <w:p>
      <w:pPr>
        <w:ind w:right="20" w:firstLine="648"/>
        <w:spacing w:after="0" w:line="248" w:lineRule="auto"/>
        <w:rPr>
          <w:sz w:val="20"/>
          <w:szCs w:val="20"/>
          <w:color w:val="auto"/>
        </w:rPr>
      </w:pPr>
      <w:r>
        <w:rPr>
          <w:rFonts w:ascii="Arial" w:cs="Arial" w:eastAsia="Arial" w:hAnsi="Arial"/>
          <w:sz w:val="18"/>
          <w:szCs w:val="18"/>
          <w:color w:val="auto"/>
        </w:rPr>
        <w:t>Assuming borrowings were outstanding for an entire year, an increase of one percentage point in weighted average interest rates would increase interest expense by $1.4 million. To manage interest rate risk, we may periodically enter into interest rate swap agreements to effectively fix the interest rates on variable debt to a specific rate for a period of time. (See Note 16 to the Consolidated Financial Statements in Item 1,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380"/>
      </w:cols>
      <w:pgMar w:left="240" w:top="11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lvl w:ilvl="1">
      <w:lvlJc w:val="left"/>
      <w:lvlText w:val="(%2)"/>
      <w:numFmt w:val="lowerLetter"/>
      <w:start w:val="1"/>
    </w:lvl>
  </w:abstractNum>
  <w:abstractNum w:abstractNumId="5">
    <w:nsid w:val="2901D82"/>
    <w:multiLevelType w:val="hybridMultilevel"/>
    <w:lvl w:ilvl="0">
      <w:lvlJc w:val="left"/>
      <w:lvlText w:val="%1."/>
      <w:numFmt w:val="decimal"/>
      <w:start w:val="10"/>
    </w:lvl>
    <w:lvl w:ilvl="1">
      <w:lvlJc w:val="left"/>
      <w:lvlText w:val="%2"/>
      <w:numFmt w:val="lowerLetter"/>
      <w:start w:val="1"/>
    </w:lvl>
  </w:abstractNum>
  <w:abstractNum w:abstractNumId="6">
    <w:nsid w:val="3A95F874"/>
    <w:multiLevelType w:val="hybridMultilevel"/>
    <w:lvl w:ilvl="0">
      <w:lvlJc w:val="left"/>
      <w:lvlText w:val="(%1)"/>
      <w:numFmt w:val="lowerLetter"/>
      <w:start w:val="1"/>
    </w:lvl>
  </w:abstractNum>
  <w:abstractNum w:abstractNumId="7">
    <w:nsid w:val="8138641"/>
    <w:multiLevelType w:val="hybridMultilevel"/>
    <w:lvl w:ilvl="0">
      <w:lvlJc w:val="left"/>
      <w:lvlText w:val="(%1)"/>
      <w:numFmt w:val="lowerLetter"/>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lvl w:ilvl="1">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lvl w:ilvl="1">
      <w:lvlJc w:val="left"/>
      <w:lvlText w:val="·"/>
      <w:numFmt w:val="bullet"/>
      <w:start w:val="1"/>
    </w:lvl>
  </w:abstractNum>
  <w:abstractNum w:abstractNumId="17">
    <w:nsid w:val="5577F8E1"/>
    <w:multiLevelType w:val="hybridMultilevel"/>
    <w:lvl w:ilvl="0">
      <w:lvlJc w:val="left"/>
      <w:lvlText w:val="·"/>
      <w:numFmt w:val="bullet"/>
      <w:start w:val="1"/>
    </w:lvl>
    <w:lvl w:ilvl="1">
      <w:lvlJc w:val="left"/>
      <w:lvlText w:val="·"/>
      <w:numFmt w:val="bullet"/>
      <w:start w:val="1"/>
    </w:lvl>
  </w:abstractNum>
  <w:abstractNum w:abstractNumId="18">
    <w:nsid w:val="440BADFC"/>
    <w:multiLevelType w:val="hybridMultilevel"/>
    <w:lvl w:ilvl="0">
      <w:lvlJc w:val="left"/>
      <w:lvlText w:val="·"/>
      <w:numFmt w:val="bullet"/>
      <w:start w:val="1"/>
    </w:lvl>
    <w:lvl w:ilvl="1">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lowerLetter"/>
      <w:start w:val="1"/>
    </w:lvl>
  </w:abstractNum>
  <w:abstractNum w:abstractNumId="23">
    <w:nsid w:val="5C482A97"/>
    <w:multiLevelType w:val="hybridMultilevel"/>
    <w:lvl w:ilvl="0">
      <w:lvlJc w:val="left"/>
      <w:lvlText w:val="(%1)"/>
      <w:numFmt w:val="lowerLetter"/>
      <w:start w:val="2"/>
    </w:lvl>
  </w:abstractNum>
  <w:abstractNum w:abstractNumId="24">
    <w:nsid w:val="2463B9EA"/>
    <w:multiLevelType w:val="hybridMultilevel"/>
    <w:lvl w:ilvl="0">
      <w:lvlJc w:val="left"/>
      <w:lvlText w:val="(%1)"/>
      <w:numFmt w:val="lowerLetter"/>
      <w:start w:val="2"/>
    </w:lvl>
  </w:abstractNum>
  <w:abstractNum w:abstractNumId="25">
    <w:nsid w:val="5E884ADC"/>
    <w:multiLevelType w:val="hybridMultilevel"/>
    <w:lvl w:ilvl="0">
      <w:lvlJc w:val="left"/>
      <w:lvlText w:val="%1"/>
      <w:numFmt w:val="decimal"/>
      <w:start w:val="101"/>
    </w:lvl>
    <w:lvl w:ilvl="1">
      <w:lvlJc w:val="left"/>
      <w:lvlText w:val="(%2)"/>
      <w:numFmt w:val="lowerRoman"/>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lowerLetter"/>
      <w:start w:val="5"/>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2"/>
    </w:lvl>
  </w:abstractNum>
  <w:abstractNum w:abstractNumId="32">
    <w:nsid w:val="6A2342EC"/>
    <w:multiLevelType w:val="hybridMultilevel"/>
    <w:lvl w:ilvl="0">
      <w:lvlJc w:val="left"/>
      <w:lvlText w:val="%1."/>
      <w:numFmt w:val="lowerLetter"/>
      <w:start w:val="1"/>
    </w:lvl>
  </w:abstractNum>
  <w:abstractNum w:abstractNumId="33">
    <w:nsid w:val="2A487CB0"/>
    <w:multiLevelType w:val="hybridMultilevel"/>
    <w:lvl w:ilvl="0">
      <w:lvlJc w:val="left"/>
      <w:lvlText w:val="%1."/>
      <w:numFmt w:val="decimal"/>
      <w:start w:val="4"/>
    </w:lvl>
  </w:abstractNum>
  <w:abstractNum w:abstractNumId="34">
    <w:nsid w:val="1D4ED43B"/>
    <w:multiLevelType w:val="hybridMultilevel"/>
    <w:lvl w:ilvl="0">
      <w:lvlJc w:val="left"/>
      <w:lvlText w:val="%1."/>
      <w:numFmt w:val="decimal"/>
      <w:start w:val="6"/>
    </w:lvl>
  </w:abstractNum>
  <w:abstractNum w:abstractNumId="35">
    <w:nsid w:val="725A06FB"/>
    <w:multiLevelType w:val="hybridMultilevel"/>
    <w:lvl w:ilvl="0">
      <w:lvlJc w:val="left"/>
      <w:lvlText w:val="%1."/>
      <w:numFmt w:val="decimal"/>
      <w:start w:val="8"/>
    </w:lvl>
  </w:abstractNum>
  <w:abstractNum w:abstractNumId="36">
    <w:nsid w:val="2CD89A32"/>
    <w:multiLevelType w:val="hybridMultilevel"/>
    <w:lvl w:ilvl="0">
      <w:lvlJc w:val="left"/>
      <w:lvlText w:val="%1."/>
      <w:numFmt w:val="decimal"/>
      <w:start w:val="14"/>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lowerRoman"/>
      <w:start w:val="1"/>
    </w:lvl>
  </w:abstractNum>
  <w:abstractNum w:abstractNumId="39">
    <w:nsid w:val="4B588F54"/>
    <w:multiLevelType w:val="hybridMultilevel"/>
    <w:lvl w:ilvl="0">
      <w:lvlJc w:val="left"/>
      <w:lvlText w:val="(%1)"/>
      <w:numFmt w:val="lowerRoman"/>
      <w:start w:val="4"/>
    </w:lvl>
  </w:abstractNum>
  <w:abstractNum w:abstractNumId="40">
    <w:nsid w:val="542289EC"/>
    <w:multiLevelType w:val="hybridMultilevel"/>
    <w:lvl w:ilvl="0">
      <w:lvlJc w:val="left"/>
      <w:lvlText w:val="%1."/>
      <w:numFmt w:val="decimal"/>
      <w:start w:val="2"/>
    </w:lvl>
  </w:abstractNum>
  <w:abstractNum w:abstractNumId="41">
    <w:nsid w:val="6DE91B18"/>
    <w:multiLevelType w:val="hybridMultilevel"/>
    <w:lvl w:ilvl="0">
      <w:lvlJc w:val="left"/>
      <w:lvlText w:val="%1."/>
      <w:numFmt w:val="decimal"/>
      <w:start w:val="5"/>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decimal"/>
      <w:start w:val="6"/>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decimal"/>
      <w:start w:val="7"/>
    </w:lvl>
  </w:abstractNum>
  <w:abstractNum w:abstractNumId="46">
    <w:nsid w:val="579478FE"/>
    <w:multiLevelType w:val="hybridMultilevel"/>
    <w:lvl w:ilvl="0">
      <w:lvlJc w:val="left"/>
      <w:lvlText w:val="%1."/>
      <w:numFmt w:val="decimal"/>
      <w:start w:val="10"/>
    </w:lvl>
  </w:abstractNum>
  <w:abstractNum w:abstractNumId="47">
    <w:nsid w:val="749ABB43"/>
    <w:multiLevelType w:val="hybridMultilevel"/>
    <w:lvl w:ilvl="0">
      <w:lvlJc w:val="left"/>
      <w:lvlText w:val="(%1)"/>
      <w:numFmt w:val="decimal"/>
      <w:start w:val="1"/>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lvl w:ilvl="1">
      <w:lvlJc w:val="left"/>
      <w:lvlText w:val="(%2)"/>
      <w:numFmt w:val="lowerLetter"/>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77" Type="http://schemas.openxmlformats.org/officeDocument/2006/relationships/image" Target="media/image42.png"/><Relationship Id="rId83" Type="http://schemas.openxmlformats.org/officeDocument/2006/relationships/image" Target="media/image43.png"/><Relationship Id="rId84" Type="http://schemas.openxmlformats.org/officeDocument/2006/relationships/image" Target="media/image44.png"/><Relationship Id="rId85" Type="http://schemas.openxmlformats.org/officeDocument/2006/relationships/image" Target="media/image45.png"/><Relationship Id="rId86" Type="http://schemas.openxmlformats.org/officeDocument/2006/relationships/image" Target="media/image46.png"/><Relationship Id="rId87" Type="http://schemas.openxmlformats.org/officeDocument/2006/relationships/image" Target="media/image47.png"/><Relationship Id="rId88" Type="http://schemas.openxmlformats.org/officeDocument/2006/relationships/image" Target="media/image48.png"/><Relationship Id="rId89" Type="http://schemas.openxmlformats.org/officeDocument/2006/relationships/image" Target="media/image49.png"/><Relationship Id="rId90" Type="http://schemas.openxmlformats.org/officeDocument/2006/relationships/image" Target="media/image50.png"/><Relationship Id="rId91" Type="http://schemas.openxmlformats.org/officeDocument/2006/relationships/image" Target="media/image51.png"/><Relationship Id="rId92" Type="http://schemas.openxmlformats.org/officeDocument/2006/relationships/image" Target="media/image52.png"/><Relationship Id="rId93" Type="http://schemas.openxmlformats.org/officeDocument/2006/relationships/image" Target="media/image53.png"/><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100" Type="http://schemas.openxmlformats.org/officeDocument/2006/relationships/image" Target="media/image60.png"/><Relationship Id="rId101" Type="http://schemas.openxmlformats.org/officeDocument/2006/relationships/image" Target="media/image61.png"/><Relationship Id="rId102" Type="http://schemas.openxmlformats.org/officeDocument/2006/relationships/image" Target="media/image62.png"/><Relationship Id="rId103" Type="http://schemas.openxmlformats.org/officeDocument/2006/relationships/image" Target="media/image63.png"/><Relationship Id="rId104" Type="http://schemas.openxmlformats.org/officeDocument/2006/relationships/image" Target="media/image64.png"/><Relationship Id="rId49" Type="http://schemas.openxmlformats.org/officeDocument/2006/relationships/hyperlink" Target="http://www.sec.gov/Archives/edgar/data/819793/000089109215004849/e64457ex3-1.htm" TargetMode="External"/><Relationship Id="rId50" Type="http://schemas.openxmlformats.org/officeDocument/2006/relationships/hyperlink" Target="http://www.sec.gov/Archives/edgar/data/819793/000089109211001227/e42325ex3b.htm" TargetMode="External"/><Relationship Id="rId51" Type="http://schemas.openxmlformats.org/officeDocument/2006/relationships/hyperlink" Target="http://www.sec.gov/Archives/edgar/data/819793/000089109217008121/e76441ex10kxix.htm" TargetMode="External"/><Relationship Id="rId52" Type="http://schemas.openxmlformats.org/officeDocument/2006/relationships/hyperlink" Target="http://www.sec.gov/Archives/edgar/data/819793/000089109211005229/e44779ex10iviii.htm" TargetMode="External"/><Relationship Id="rId53" Type="http://schemas.openxmlformats.org/officeDocument/2006/relationships/hyperlink" Target="http://www.sec.gov/Archives/edgar/data/819793/000104746904007489/a2130113z10-k.htm" TargetMode="External"/><Relationship Id="rId54" Type="http://schemas.openxmlformats.org/officeDocument/2006/relationships/hyperlink" Target="http://www.sec.gov/Archives/edgar/data/819793/000089109218001986/e78061ex10-1x.htm" TargetMode="External"/><Relationship Id="rId55" Type="http://schemas.openxmlformats.org/officeDocument/2006/relationships/hyperlink" Target="http://www.sec.gov/Archives/edgar/data/819793/000089109218006336/e2040ex10lix.htm" TargetMode="External"/><Relationship Id="rId56" Type="http://schemas.openxmlformats.org/officeDocument/2006/relationships/hyperlink" Target="http://www.sec.gov/Archives/edgar/data/819793/000089109211003686/e43862ex10mix.htm" TargetMode="External"/><Relationship Id="rId57" Type="http://schemas.openxmlformats.org/officeDocument/2006/relationships/hyperlink" Target="http://www.sec.gov/Archives/edgar/data/819793/000089109211001985/e42848ex10m_xvii.htm" TargetMode="External"/><Relationship Id="rId58" Type="http://schemas.openxmlformats.org/officeDocument/2006/relationships/hyperlink" Target="http://www.sec.gov/Archives/edgar/data/819793/000089109211001985/e42848ex10m_xviii.htm" TargetMode="External"/><Relationship Id="rId59" Type="http://schemas.openxmlformats.org/officeDocument/2006/relationships/hyperlink" Target="http://www.sec.gov/Archives/edgar/data/819793/000089109208000017/e29730ex10ni.txt" TargetMode="External"/><Relationship Id="rId60" Type="http://schemas.openxmlformats.org/officeDocument/2006/relationships/hyperlink" Target="http://www.sec.gov/Archives/edgar/data/819793/000089109217002406/e72960def14a.htm" TargetMode="External"/><Relationship Id="rId61" Type="http://schemas.openxmlformats.org/officeDocument/2006/relationships/hyperlink" Target="http://www.sec.gov/Archives/edgar/data/819793/000089109209004723/e37343ex10ov.htm" TargetMode="External"/><Relationship Id="rId62" Type="http://schemas.openxmlformats.org/officeDocument/2006/relationships/hyperlink" Target="http://www.sec.gov/Archives/edgar/data/819793/000089109216011149/e67649ex10l-viii.htm" TargetMode="External"/><Relationship Id="rId63" Type="http://schemas.openxmlformats.org/officeDocument/2006/relationships/hyperlink" Target="http://www.sec.gov/Archives/edgar/data/819793/000089109205000038/e20283ex10_q.txt" TargetMode="External"/><Relationship Id="rId64" Type="http://schemas.openxmlformats.org/officeDocument/2006/relationships/hyperlink" Target="http://www.sec.gov/Archives/edgar/data/819793/000089109205000979/e20909_ex10r.txt" TargetMode="External"/><Relationship Id="rId65" Type="http://schemas.openxmlformats.org/officeDocument/2006/relationships/hyperlink" Target="http://www.sec.gov/Archives/edgar/data/819793/000089109206000936/e23819ex_10t.txt" TargetMode="External"/><Relationship Id="rId66" Type="http://schemas.openxmlformats.org/officeDocument/2006/relationships/hyperlink" Target="http://www.sec.gov/Archives/edgar/data/819793/000089109218004221/e78842ex10u.htm" TargetMode="External"/><Relationship Id="rId67" Type="http://schemas.openxmlformats.org/officeDocument/2006/relationships/hyperlink" Target="http://www.sec.gov/Archives/edgar/data/819793/000089109218005751/e1706ex10u.htm" TargetMode="External"/><Relationship Id="rId68" Type="http://schemas.openxmlformats.org/officeDocument/2006/relationships/hyperlink" Target="http://www.sec.gov/Archives/edgar/data/819793/000089109214001589/e57527ex10-2.htm" TargetMode="External"/><Relationship Id="rId69" Type="http://schemas.openxmlformats.org/officeDocument/2006/relationships/hyperlink" Target="http://www.sec.gov/Archives/edgar/data/819793/000090342316000897/spa.htm" TargetMode="External"/><Relationship Id="rId70" Type="http://schemas.openxmlformats.org/officeDocument/2006/relationships/hyperlink" Target="http://www.sec.gov/Archives/edgar/data/819793/000089109219002857/e4069-10k.htm" TargetMode="External"/><Relationship Id="rId71" Type="http://schemas.openxmlformats.org/officeDocument/2006/relationships/hyperlink" Target="http://www.sec.gov/Archives/edgar/data/819793/000089109219002857/e4069ex21.htm" TargetMode="External"/><Relationship Id="rId72" Type="http://schemas.openxmlformats.org/officeDocument/2006/relationships/hyperlink" Target="http://www.sec.gov/Archives/edgar/data/819793/000089109219002857/e4069ex23.htm" TargetMode="External"/><Relationship Id="rId73" Type="http://schemas.openxmlformats.org/officeDocument/2006/relationships/hyperlink" Target="http://www.sec.gov/Archives/edgar/data/819793/000089109219002857/e4069ex24.htm" TargetMode="External"/><Relationship Id="rId74" Type="http://schemas.openxmlformats.org/officeDocument/2006/relationships/hyperlink" Target="http://www.sec.gov/Archives/edgar/data/819793/000089109219002857/e4069ex31a.htm" TargetMode="External"/><Relationship Id="rId75" Type="http://schemas.openxmlformats.org/officeDocument/2006/relationships/hyperlink" Target="http://www.sec.gov/Archives/edgar/data/819793/000089109219002857/e4069ex31b.htm" TargetMode="External"/><Relationship Id="rId76" Type="http://schemas.openxmlformats.org/officeDocument/2006/relationships/hyperlink" Target="http://www.sec.gov/Archives/edgar/data/819793/000089109219002857/e4069ex32a.htm" TargetMode="External"/><Relationship Id="rId78" Type="http://schemas.openxmlformats.org/officeDocument/2006/relationships/hyperlink" Target="http://www.sec.gov/Archives/edgar/data/819793/000089109219002857/ain-20181231.xml" TargetMode="External"/><Relationship Id="rId79" Type="http://schemas.openxmlformats.org/officeDocument/2006/relationships/hyperlink" Target="http://www.sec.gov/Archives/edgar/data/819793/000089109219002857/ain-20181231_cal.xml" TargetMode="External"/><Relationship Id="rId80" Type="http://schemas.openxmlformats.org/officeDocument/2006/relationships/hyperlink" Target="http://www.sec.gov/Archives/edgar/data/819793/000089109219002857/ain-20181231_def.xml" TargetMode="External"/><Relationship Id="rId81" Type="http://schemas.openxmlformats.org/officeDocument/2006/relationships/hyperlink" Target="http://www.sec.gov/Archives/edgar/data/819793/000089109219002857/ain-20181231_lab.xml" TargetMode="External"/><Relationship Id="rId82" Type="http://schemas.openxmlformats.org/officeDocument/2006/relationships/hyperlink" Target="http://www.sec.gov/Archives/edgar/data/819793/000089109219002857/ain-20181231_pre.x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2019-12-28T13:13:05Z</dcterms:created>
  <dcterms:modified xsi:type="dcterms:W3CDTF">2019-12-28T13:13:05Z</dcterms:modified>
</cp:coreProperties>
</file>