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SECURITIES AND EXCHANGE COMMISSION</w:t>
      </w:r>
    </w:p>
    <w:p>
      <w:pPr>
        <w:sectPr>
          <w:pgSz w:w="11900" w:h="16838" w:orient="portrait"/>
          <w:cols w:equalWidth="0" w:num="1">
            <w:col w:w="10219"/>
          </w:cols>
          <w:pgMar w:left="240" w:top="218" w:right="1440" w:bottom="1440" w:gutter="0" w:footer="0" w:header="0"/>
        </w:sectPr>
      </w:pPr>
    </w:p>
    <w:p>
      <w:pPr>
        <w:spacing w:after="0" w:line="224"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Washington, D.C.</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ectPr>
          <w:pgSz w:w="11900" w:h="16838" w:orient="portrait"/>
          <w:cols w:equalWidth="0" w:num="2">
            <w:col w:w="4540" w:space="200"/>
            <w:col w:w="5479"/>
          </w:cols>
          <w:pgMar w:left="240" w:top="218" w:right="1440" w:bottom="1440" w:gutter="0" w:footer="0" w:header="0"/>
          <w:type w:val="continuous"/>
        </w:sectPr>
      </w:pPr>
    </w:p>
    <w:p>
      <w:pPr>
        <w:spacing w:after="0" w:line="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2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3)</w:t>
      </w:r>
    </w:p>
    <w:p>
      <w:pPr>
        <w:sectPr>
          <w:pgSz w:w="11900" w:h="16838" w:orient="portrait"/>
          <w:cols w:equalWidth="0" w:num="1">
            <w:col w:w="10219"/>
          </w:cols>
          <w:pgMar w:left="240" w:top="218" w:right="1440" w:bottom="1440" w:gutter="0" w:footer="0" w:header="0"/>
          <w:type w:val="continuous"/>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Albany International Corp</w:t>
      </w:r>
    </w:p>
    <w:p>
      <w:pPr>
        <w:spacing w:after="0" w:line="200" w:lineRule="exact"/>
        <w:rPr>
          <w:sz w:val="24"/>
          <w:szCs w:val="24"/>
          <w:color w:val="auto"/>
        </w:rPr>
      </w:pPr>
    </w:p>
    <w:p>
      <w:pPr>
        <w:sectPr>
          <w:pgSz w:w="11900" w:h="16838" w:orient="portrait"/>
          <w:cols w:equalWidth="0" w:num="2">
            <w:col w:w="2760" w:space="720"/>
            <w:col w:w="6739"/>
          </w:cols>
          <w:pgMar w:left="240" w:top="218"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4"/>
          <w:szCs w:val="24"/>
          <w:color w:val="auto"/>
        </w:rPr>
      </w:pPr>
    </w:p>
    <w:p>
      <w:pPr>
        <w:sectPr>
          <w:pgSz w:w="11900" w:h="16838" w:orient="portrait"/>
          <w:cols w:equalWidth="0" w:num="2">
            <w:col w:w="3060" w:space="420"/>
            <w:col w:w="6739"/>
          </w:cols>
          <w:pgMar w:left="240" w:top="218"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012348-108</w:t>
      </w:r>
    </w:p>
    <w:p>
      <w:pPr>
        <w:spacing w:after="0" w:line="200" w:lineRule="exact"/>
        <w:rPr>
          <w:sz w:val="24"/>
          <w:szCs w:val="24"/>
          <w:color w:val="auto"/>
        </w:rPr>
      </w:pPr>
    </w:p>
    <w:p>
      <w:pPr>
        <w:sectPr>
          <w:pgSz w:w="11900" w:h="16838" w:orient="portrait"/>
          <w:cols w:equalWidth="0" w:num="2">
            <w:col w:w="2760" w:space="720"/>
            <w:col w:w="6739"/>
          </w:cols>
          <w:pgMar w:left="240" w:top="218" w:right="1440" w:bottom="144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012348-108</w:t>
      </w:r>
    </w:p>
    <w:p>
      <w:pPr>
        <w:spacing w:after="0" w:line="200" w:lineRule="exact"/>
        <w:rPr>
          <w:sz w:val="24"/>
          <w:szCs w:val="24"/>
          <w:color w:val="auto"/>
        </w:rPr>
      </w:pPr>
    </w:p>
    <w:p>
      <w:pPr>
        <w:sectPr>
          <w:pgSz w:w="11900" w:h="16838" w:orient="portrait"/>
          <w:cols w:equalWidth="0" w:num="2">
            <w:col w:w="2760" w:space="720"/>
            <w:col w:w="6739"/>
          </w:cols>
          <w:pgMar w:left="240" w:top="218" w:right="1440" w:bottom="1440" w:gutter="0" w:footer="0" w:header="0"/>
          <w:type w:val="continuous"/>
        </w:sectPr>
      </w:pPr>
    </w:p>
    <w:p>
      <w:pPr>
        <w:spacing w:after="0" w:line="24"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SS or IRS Identification Nos. Of Above Person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right="1879"/>
        <w:spacing w:after="0" w:line="402" w:lineRule="auto"/>
        <w:rPr>
          <w:sz w:val="20"/>
          <w:szCs w:val="20"/>
          <w:color w:val="auto"/>
        </w:rPr>
      </w:pPr>
      <w:r>
        <w:rPr>
          <w:rFonts w:ascii="Courier New" w:cs="Courier New" w:eastAsia="Courier New" w:hAnsi="Courier New"/>
          <w:sz w:val="16"/>
          <w:szCs w:val="16"/>
          <w:color w:val="auto"/>
        </w:rPr>
        <w:t>MELLON BANK CORPORATION IRS No. 25-1233834</w:t>
      </w:r>
    </w:p>
    <w:p>
      <w:pPr>
        <w:spacing w:after="0" w:line="1" w:lineRule="exact"/>
        <w:rPr>
          <w:sz w:val="24"/>
          <w:szCs w:val="24"/>
          <w:color w:val="auto"/>
        </w:rPr>
      </w:pPr>
    </w:p>
    <w:p>
      <w:pPr>
        <w:sectPr>
          <w:pgSz w:w="11900" w:h="16838" w:orient="portrait"/>
          <w:cols w:equalWidth="0" w:num="2">
            <w:col w:w="5600" w:space="300"/>
            <w:col w:w="4319"/>
          </w:cols>
          <w:pgMar w:left="240" w:top="218" w:right="1440" w:bottom="1440" w:gutter="0" w:footer="0" w:header="0"/>
          <w:type w:val="continuous"/>
        </w:sect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31" w:lineRule="exact"/>
        <w:rPr>
          <w:sz w:val="24"/>
          <w:szCs w:val="24"/>
          <w:color w:val="auto"/>
        </w:rPr>
      </w:pPr>
    </w:p>
    <w:p>
      <w:pPr>
        <w:jc w:val="right"/>
        <w:ind w:right="1879"/>
        <w:spacing w:after="0"/>
        <w:tabs>
          <w:tab w:leader="none" w:pos="1880" w:val="left"/>
          <w:tab w:leader="none" w:pos="1460" w:val="left"/>
          <w:tab w:leader="none" w:pos="1040" w:val="left"/>
          <w:tab w:leader="none" w:pos="520" w:val="left"/>
          <w:tab w:leader="none" w:pos="100" w:val="left"/>
        </w:tabs>
        <w:rPr>
          <w:sz w:val="20"/>
          <w:szCs w:val="20"/>
          <w:color w:val="auto"/>
        </w:rPr>
      </w:pPr>
      <w:r>
        <w:rPr>
          <w:rFonts w:ascii="Courier New" w:cs="Courier New" w:eastAsia="Courier New" w:hAnsi="Courier New"/>
          <w:sz w:val="18"/>
          <w:szCs w:val="18"/>
          <w:color w:val="auto"/>
        </w:rPr>
        <w:t>(a)</w:t>
        <w:tab/>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8"/>
          <w:szCs w:val="18"/>
          <w:color w:val="auto"/>
        </w:rPr>
        <w:t>)</w:t>
      </w:r>
    </w:p>
    <w:p>
      <w:pPr>
        <w:spacing w:after="0" w:line="169"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58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United States</w:t>
            </w:r>
          </w:p>
        </w:tc>
        <w:tc>
          <w:tcPr>
            <w:tcW w:w="0" w:type="dxa"/>
            <w:vAlign w:val="bottom"/>
          </w:tcPr>
          <w:p>
            <w:pPr>
              <w:spacing w:after="0"/>
              <w:rPr>
                <w:sz w:val="1"/>
                <w:szCs w:val="1"/>
                <w:color w:val="auto"/>
              </w:rPr>
            </w:pPr>
          </w:p>
        </w:tc>
      </w:tr>
      <w:tr>
        <w:trPr>
          <w:trHeight w:val="311"/>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1,187,726</w:t>
            </w:r>
          </w:p>
        </w:tc>
        <w:tc>
          <w:tcPr>
            <w:tcW w:w="0" w:type="dxa"/>
            <w:vAlign w:val="bottom"/>
          </w:tcPr>
          <w:p>
            <w:pPr>
              <w:spacing w:after="0"/>
              <w:rPr>
                <w:sz w:val="1"/>
                <w:szCs w:val="1"/>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29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Shared Voting Power</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100" w:type="dxa"/>
            <w:vAlign w:val="bottom"/>
            <w:vMerge w:val="continue"/>
          </w:tcPr>
          <w:p>
            <w:pPr>
              <w:spacing w:after="0"/>
              <w:rPr>
                <w:sz w:val="17"/>
                <w:szCs w:val="17"/>
                <w:color w:val="auto"/>
              </w:rPr>
            </w:pPr>
          </w:p>
        </w:tc>
        <w:tc>
          <w:tcPr>
            <w:tcW w:w="29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9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1,228,126</w:t>
            </w:r>
          </w:p>
        </w:tc>
        <w:tc>
          <w:tcPr>
            <w:tcW w:w="0" w:type="dxa"/>
            <w:vAlign w:val="bottom"/>
          </w:tcPr>
          <w:p>
            <w:pPr>
              <w:spacing w:after="0"/>
              <w:rPr>
                <w:sz w:val="1"/>
                <w:szCs w:val="1"/>
                <w:color w:val="auto"/>
              </w:rPr>
            </w:pPr>
          </w:p>
        </w:tc>
      </w:tr>
      <w:tr>
        <w:trPr>
          <w:trHeight w:val="296"/>
        </w:trPr>
        <w:tc>
          <w:tcPr>
            <w:tcW w:w="6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158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90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900" w:type="dxa"/>
            <w:vAlign w:val="bottom"/>
          </w:tcPr>
          <w:p>
            <w:pPr>
              <w:ind w:left="260"/>
              <w:spacing w:after="0"/>
              <w:rPr>
                <w:sz w:val="20"/>
                <w:szCs w:val="20"/>
                <w:color w:val="auto"/>
              </w:rPr>
            </w:pPr>
            <w:r>
              <w:rPr>
                <w:rFonts w:ascii="Courier New" w:cs="Courier New" w:eastAsia="Courier New" w:hAnsi="Courier New"/>
                <w:sz w:val="18"/>
                <w:szCs w:val="18"/>
                <w:color w:val="auto"/>
              </w:rPr>
              <w:t>Shared Dispositive Power</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56,900</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6740" w:right="2519" w:hanging="6732"/>
        <w:spacing w:after="0" w:line="330" w:lineRule="auto"/>
        <w:tabs>
          <w:tab w:leader="none" w:pos="84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1,285,026</w:t>
      </w:r>
    </w:p>
    <w:p>
      <w:pPr>
        <w:spacing w:after="0" w:line="35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640" w:type="dxa"/>
            <w:vAlign w:val="bottom"/>
          </w:tcPr>
          <w:p>
            <w:pPr>
              <w:spacing w:after="0"/>
              <w:rPr>
                <w:sz w:val="24"/>
                <w:szCs w:val="24"/>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373"/>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(11)</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5.06</w:t>
            </w:r>
          </w:p>
        </w:tc>
      </w:tr>
      <w:tr>
        <w:trPr>
          <w:trHeight w:val="405"/>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ectPr>
          <w:pgSz w:w="11900" w:h="16838" w:orient="portrait"/>
          <w:cols w:equalWidth="0" w:num="1">
            <w:col w:w="10219"/>
          </w:cols>
          <w:pgMar w:left="240" w:top="218" w:right="1440"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c>
          <w:tcPr>
            <w:tcW w:w="1320" w:type="dxa"/>
            <w:vAlign w:val="bottom"/>
          </w:tcPr>
          <w:p>
            <w:pPr>
              <w:spacing w:after="0"/>
              <w:rPr>
                <w:sz w:val="24"/>
                <w:szCs w:val="24"/>
                <w:color w:val="auto"/>
              </w:rPr>
            </w:pPr>
          </w:p>
        </w:tc>
        <w:tc>
          <w:tcPr>
            <w:tcW w:w="6060" w:type="dxa"/>
            <w:vAlign w:val="bottom"/>
            <w:gridSpan w:val="3"/>
            <w:vMerge w:val="restart"/>
          </w:tcPr>
          <w:p>
            <w:pPr>
              <w:ind w:left="40"/>
              <w:spacing w:after="0"/>
              <w:rPr>
                <w:sz w:val="20"/>
                <w:szCs w:val="20"/>
                <w:color w:val="auto"/>
              </w:rPr>
            </w:pPr>
            <w:r>
              <w:rPr>
                <w:rFonts w:ascii="Courier New" w:cs="Courier New" w:eastAsia="Courier New" w:hAnsi="Courier New"/>
                <w:sz w:val="18"/>
                <w:szCs w:val="18"/>
                <w:color w:val="auto"/>
              </w:rPr>
              <w:t>SECURITIES AND EXCHANGE COMMISSION</w:t>
            </w:r>
          </w:p>
        </w:tc>
        <w:tc>
          <w:tcPr>
            <w:tcW w:w="0" w:type="dxa"/>
            <w:vAlign w:val="bottom"/>
          </w:tcPr>
          <w:p>
            <w:pPr>
              <w:spacing w:after="0"/>
              <w:rPr>
                <w:sz w:val="1"/>
                <w:szCs w:val="1"/>
                <w:color w:val="auto"/>
              </w:rPr>
            </w:pPr>
          </w:p>
        </w:tc>
      </w:tr>
      <w:tr>
        <w:trPr>
          <w:trHeight w:val="109"/>
        </w:trPr>
        <w:tc>
          <w:tcPr>
            <w:tcW w:w="9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Washington, D.C.</w:t>
            </w:r>
          </w:p>
        </w:tc>
        <w:tc>
          <w:tcPr>
            <w:tcW w:w="3600" w:type="dxa"/>
            <w:vAlign w:val="bottom"/>
          </w:tcPr>
          <w:p>
            <w:pPr>
              <w:spacing w:after="0"/>
              <w:rPr>
                <w:sz w:val="20"/>
                <w:szCs w:val="20"/>
                <w:color w:val="auto"/>
              </w:rPr>
            </w:pPr>
            <w:r>
              <w:rPr>
                <w:rFonts w:ascii="Courier New" w:cs="Courier New" w:eastAsia="Courier New" w:hAnsi="Courier New"/>
                <w:sz w:val="18"/>
                <w:szCs w:val="18"/>
                <w:color w:val="auto"/>
              </w:rPr>
              <w:t>20549</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4"/>
                <w:szCs w:val="24"/>
                <w:color w:val="auto"/>
              </w:rPr>
            </w:pPr>
          </w:p>
        </w:tc>
        <w:tc>
          <w:tcPr>
            <w:tcW w:w="1320" w:type="dxa"/>
            <w:vAlign w:val="bottom"/>
            <w:vMerge w:val="restart"/>
          </w:tcPr>
          <w:p>
            <w:pPr>
              <w:ind w:left="620"/>
              <w:spacing w:after="0"/>
              <w:rPr>
                <w:sz w:val="20"/>
                <w:szCs w:val="20"/>
                <w:color w:val="auto"/>
              </w:rPr>
            </w:pPr>
            <w:r>
              <w:rPr>
                <w:rFonts w:ascii="Courier New" w:cs="Courier New" w:eastAsia="Courier New" w:hAnsi="Courier New"/>
                <w:sz w:val="18"/>
                <w:szCs w:val="18"/>
                <w:color w:val="auto"/>
              </w:rPr>
              <w:t>(Under</w:t>
            </w:r>
          </w:p>
        </w:tc>
        <w:tc>
          <w:tcPr>
            <w:tcW w:w="2460" w:type="dxa"/>
            <w:vAlign w:val="bottom"/>
            <w:gridSpan w:val="2"/>
          </w:tcPr>
          <w:p>
            <w:pPr>
              <w:ind w:left="1200"/>
              <w:spacing w:after="0"/>
              <w:rPr>
                <w:sz w:val="20"/>
                <w:szCs w:val="20"/>
                <w:color w:val="auto"/>
              </w:rPr>
            </w:pPr>
            <w:r>
              <w:rPr>
                <w:rFonts w:ascii="Courier New" w:cs="Courier New" w:eastAsia="Courier New" w:hAnsi="Courier New"/>
                <w:sz w:val="18"/>
                <w:szCs w:val="18"/>
                <w:color w:val="auto"/>
                <w:w w:val="95"/>
              </w:rPr>
              <w:t>SCHEDULE 13G</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60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the Securities and Exchange Act of 1934)</w:t>
            </w:r>
          </w:p>
        </w:tc>
        <w:tc>
          <w:tcPr>
            <w:tcW w:w="0" w:type="dxa"/>
            <w:vAlign w:val="bottom"/>
          </w:tcPr>
          <w:p>
            <w:pPr>
              <w:spacing w:after="0"/>
              <w:rPr>
                <w:sz w:val="1"/>
                <w:szCs w:val="1"/>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1(a)</w:t>
            </w:r>
          </w:p>
        </w:tc>
        <w:tc>
          <w:tcPr>
            <w:tcW w:w="27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Issuer:</w:t>
            </w:r>
          </w:p>
        </w:tc>
        <w:tc>
          <w:tcPr>
            <w:tcW w:w="46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Albany International Corp</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1(b)</w:t>
            </w:r>
          </w:p>
        </w:tc>
        <w:tc>
          <w:tcPr>
            <w:tcW w:w="738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600" w:type="dxa"/>
            <w:vAlign w:val="bottom"/>
            <w:gridSpan w:val="2"/>
          </w:tcPr>
          <w:p>
            <w:pPr>
              <w:ind w:left="700"/>
              <w:spacing w:after="0" w:line="203" w:lineRule="exact"/>
              <w:rPr>
                <w:sz w:val="20"/>
                <w:szCs w:val="20"/>
                <w:color w:val="auto"/>
              </w:rPr>
            </w:pPr>
            <w:r>
              <w:rPr>
                <w:rFonts w:ascii="Courier New" w:cs="Courier New" w:eastAsia="Courier New" w:hAnsi="Courier New"/>
                <w:sz w:val="18"/>
                <w:szCs w:val="18"/>
                <w:color w:val="auto"/>
              </w:rPr>
              <w:t>1373 Broadway</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0" w:type="dxa"/>
            <w:vAlign w:val="bottom"/>
            <w:gridSpan w:val="2"/>
          </w:tcPr>
          <w:p>
            <w:pPr>
              <w:ind w:left="700"/>
              <w:spacing w:after="0"/>
              <w:rPr>
                <w:sz w:val="20"/>
                <w:szCs w:val="20"/>
                <w:color w:val="auto"/>
              </w:rPr>
            </w:pPr>
            <w:r>
              <w:rPr>
                <w:rFonts w:ascii="Courier New" w:cs="Courier New" w:eastAsia="Courier New" w:hAnsi="Courier New"/>
                <w:sz w:val="18"/>
                <w:szCs w:val="18"/>
                <w:color w:val="auto"/>
              </w:rPr>
              <w:t>Albany, NY 12204</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2(a)</w:t>
            </w:r>
          </w:p>
        </w:tc>
        <w:tc>
          <w:tcPr>
            <w:tcW w:w="27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Person Filing:</w:t>
            </w:r>
          </w:p>
        </w:tc>
        <w:tc>
          <w:tcPr>
            <w:tcW w:w="46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Mellon Bank Corporation and any other</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6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reporting person(s) identified on the</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second part of the cover page(s).</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2(b)</w:t>
            </w:r>
          </w:p>
        </w:tc>
        <w:tc>
          <w:tcPr>
            <w:tcW w:w="738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 Mellon Bank Corporation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One Mellon Bank Center</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Pittsburgh, Pennsylvania 15258</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0" w:type="dxa"/>
            <w:vAlign w:val="bottom"/>
          </w:tcPr>
          <w:p>
            <w:pPr>
              <w:ind w:left="420"/>
              <w:spacing w:after="0"/>
              <w:rPr>
                <w:sz w:val="20"/>
                <w:szCs w:val="20"/>
                <w:color w:val="auto"/>
              </w:rPr>
            </w:pPr>
            <w:r>
              <w:rPr>
                <w:rFonts w:ascii="Courier New" w:cs="Courier New" w:eastAsia="Courier New" w:hAnsi="Courier New"/>
                <w:sz w:val="18"/>
                <w:szCs w:val="18"/>
                <w:color w:val="auto"/>
              </w:rPr>
              <w:t>(for all reporting persons)</w:t>
            </w:r>
          </w:p>
        </w:tc>
        <w:tc>
          <w:tcPr>
            <w:tcW w:w="0" w:type="dxa"/>
            <w:vAlign w:val="bottom"/>
          </w:tcPr>
          <w:p>
            <w:pPr>
              <w:spacing w:after="0"/>
              <w:rPr>
                <w:sz w:val="1"/>
                <w:szCs w:val="1"/>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2(c)</w:t>
            </w:r>
          </w:p>
        </w:tc>
        <w:tc>
          <w:tcPr>
            <w:tcW w:w="27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Citizenship:</w:t>
            </w:r>
          </w:p>
        </w:tc>
        <w:tc>
          <w:tcPr>
            <w:tcW w:w="1000" w:type="dxa"/>
            <w:vAlign w:val="bottom"/>
          </w:tcPr>
          <w:p>
            <w:pPr>
              <w:spacing w:after="0"/>
              <w:rPr>
                <w:sz w:val="24"/>
                <w:szCs w:val="24"/>
                <w:color w:val="auto"/>
              </w:rPr>
            </w:pPr>
          </w:p>
        </w:tc>
        <w:tc>
          <w:tcPr>
            <w:tcW w:w="3600" w:type="dxa"/>
            <w:vAlign w:val="bottom"/>
          </w:tcPr>
          <w:p>
            <w:pPr>
              <w:ind w:left="540"/>
              <w:spacing w:after="0"/>
              <w:rPr>
                <w:sz w:val="20"/>
                <w:szCs w:val="20"/>
                <w:color w:val="auto"/>
              </w:rPr>
            </w:pPr>
            <w:r>
              <w:rPr>
                <w:rFonts w:ascii="Courier New" w:cs="Courier New" w:eastAsia="Courier New" w:hAnsi="Courier New"/>
                <w:sz w:val="18"/>
                <w:szCs w:val="18"/>
                <w:color w:val="auto"/>
              </w:rPr>
              <w:t>United States</w:t>
            </w:r>
          </w:p>
        </w:tc>
        <w:tc>
          <w:tcPr>
            <w:tcW w:w="0" w:type="dxa"/>
            <w:vAlign w:val="bottom"/>
          </w:tcPr>
          <w:p>
            <w:pPr>
              <w:spacing w:after="0"/>
              <w:rPr>
                <w:sz w:val="1"/>
                <w:szCs w:val="1"/>
                <w:color w:val="auto"/>
              </w:rPr>
            </w:pPr>
          </w:p>
        </w:tc>
      </w:tr>
      <w:tr>
        <w:trPr>
          <w:trHeight w:val="405"/>
        </w:trPr>
        <w:tc>
          <w:tcPr>
            <w:tcW w:w="4740" w:type="dxa"/>
            <w:vAlign w:val="bottom"/>
            <w:gridSpan w:val="4"/>
          </w:tcPr>
          <w:p>
            <w:pPr>
              <w:spacing w:after="0"/>
              <w:rPr>
                <w:sz w:val="20"/>
                <w:szCs w:val="20"/>
                <w:color w:val="auto"/>
              </w:rPr>
            </w:pPr>
            <w:r>
              <w:rPr>
                <w:rFonts w:ascii="Courier New" w:cs="Courier New" w:eastAsia="Courier New" w:hAnsi="Courier New"/>
                <w:sz w:val="18"/>
                <w:szCs w:val="18"/>
                <w:color w:val="auto"/>
              </w:rPr>
              <w:t>Item 2(d)   Title of Class of Securities:</w:t>
            </w:r>
          </w:p>
        </w:tc>
        <w:tc>
          <w:tcPr>
            <w:tcW w:w="3600" w:type="dxa"/>
            <w:vAlign w:val="bottom"/>
          </w:tcPr>
          <w:p>
            <w:pPr>
              <w:ind w:left="540"/>
              <w:spacing w:after="0"/>
              <w:rPr>
                <w:sz w:val="20"/>
                <w:szCs w:val="20"/>
                <w:color w:val="auto"/>
              </w:rPr>
            </w:pPr>
            <w:r>
              <w:rPr>
                <w:rFonts w:ascii="Courier New" w:cs="Courier New" w:eastAsia="Courier New" w:hAnsi="Courier New"/>
                <w:sz w:val="18"/>
                <w:szCs w:val="18"/>
                <w:color w:val="auto"/>
              </w:rPr>
              <w:t>Common Stock</w:t>
            </w:r>
          </w:p>
        </w:tc>
        <w:tc>
          <w:tcPr>
            <w:tcW w:w="0" w:type="dxa"/>
            <w:vAlign w:val="bottom"/>
          </w:tcPr>
          <w:p>
            <w:pPr>
              <w:spacing w:after="0"/>
              <w:rPr>
                <w:sz w:val="1"/>
                <w:szCs w:val="1"/>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2(e)</w:t>
            </w:r>
          </w:p>
        </w:tc>
        <w:tc>
          <w:tcPr>
            <w:tcW w:w="27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CUSIP Number:</w:t>
            </w:r>
          </w:p>
        </w:tc>
        <w:tc>
          <w:tcPr>
            <w:tcW w:w="1000" w:type="dxa"/>
            <w:vAlign w:val="bottom"/>
          </w:tcPr>
          <w:p>
            <w:pPr>
              <w:spacing w:after="0"/>
              <w:rPr>
                <w:sz w:val="24"/>
                <w:szCs w:val="24"/>
                <w:color w:val="auto"/>
              </w:rPr>
            </w:pPr>
          </w:p>
        </w:tc>
        <w:tc>
          <w:tcPr>
            <w:tcW w:w="3600" w:type="dxa"/>
            <w:vAlign w:val="bottom"/>
          </w:tcPr>
          <w:p>
            <w:pPr>
              <w:ind w:left="540"/>
              <w:spacing w:after="0"/>
              <w:rPr>
                <w:sz w:val="20"/>
                <w:szCs w:val="20"/>
                <w:color w:val="auto"/>
              </w:rPr>
            </w:pPr>
            <w:r>
              <w:rPr>
                <w:rFonts w:ascii="Courier New" w:cs="Courier New" w:eastAsia="Courier New" w:hAnsi="Courier New"/>
                <w:sz w:val="18"/>
                <w:szCs w:val="18"/>
                <w:color w:val="auto"/>
              </w:rPr>
              <w:t>012348-108</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38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See Item 12 of cover page(s) ("Type of Reporting</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738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Person") for each reporting person.</w:t>
            </w:r>
          </w:p>
        </w:tc>
        <w:tc>
          <w:tcPr>
            <w:tcW w:w="0" w:type="dxa"/>
            <w:vAlign w:val="bottom"/>
          </w:tcPr>
          <w:p>
            <w:pPr>
              <w:spacing w:after="0"/>
              <w:rPr>
                <w:sz w:val="1"/>
                <w:szCs w:val="1"/>
                <w:color w:val="auto"/>
              </w:rPr>
            </w:pPr>
          </w:p>
        </w:tc>
      </w:tr>
      <w:tr>
        <w:trPr>
          <w:trHeight w:val="405"/>
        </w:trPr>
        <w:tc>
          <w:tcPr>
            <w:tcW w:w="960" w:type="dxa"/>
            <w:vAlign w:val="bottom"/>
          </w:tcPr>
          <w:p>
            <w:pPr>
              <w:spacing w:after="0"/>
              <w:rPr>
                <w:sz w:val="24"/>
                <w:szCs w:val="24"/>
                <w:color w:val="auto"/>
              </w:rPr>
            </w:pPr>
          </w:p>
        </w:tc>
        <w:tc>
          <w:tcPr>
            <w:tcW w:w="1320" w:type="dxa"/>
            <w:vAlign w:val="bottom"/>
          </w:tcPr>
          <w:p>
            <w:pPr>
              <w:ind w:left="740"/>
              <w:spacing w:after="0"/>
              <w:rPr>
                <w:sz w:val="20"/>
                <w:szCs w:val="20"/>
                <w:color w:val="auto"/>
              </w:rPr>
            </w:pPr>
            <w:r>
              <w:rPr>
                <w:rFonts w:ascii="Courier New" w:cs="Courier New" w:eastAsia="Courier New" w:hAnsi="Courier New"/>
                <w:sz w:val="18"/>
                <w:szCs w:val="18"/>
                <w:color w:val="auto"/>
              </w:rPr>
              <w:t>BK =</w:t>
            </w:r>
          </w:p>
        </w:tc>
        <w:tc>
          <w:tcPr>
            <w:tcW w:w="60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Bank as defined in Section 3(a)(6) of the Act</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4"/>
                <w:szCs w:val="24"/>
                <w:color w:val="auto"/>
              </w:rPr>
            </w:pPr>
          </w:p>
        </w:tc>
        <w:tc>
          <w:tcPr>
            <w:tcW w:w="1320" w:type="dxa"/>
            <w:vAlign w:val="bottom"/>
          </w:tcPr>
          <w:p>
            <w:pPr>
              <w:ind w:left="740"/>
              <w:spacing w:after="0"/>
              <w:rPr>
                <w:sz w:val="20"/>
                <w:szCs w:val="20"/>
                <w:color w:val="auto"/>
              </w:rPr>
            </w:pPr>
            <w:r>
              <w:rPr>
                <w:rFonts w:ascii="Courier New" w:cs="Courier New" w:eastAsia="Courier New" w:hAnsi="Courier New"/>
                <w:sz w:val="18"/>
                <w:szCs w:val="18"/>
                <w:color w:val="auto"/>
              </w:rPr>
              <w:t>IV =</w:t>
            </w:r>
          </w:p>
        </w:tc>
        <w:tc>
          <w:tcPr>
            <w:tcW w:w="60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Investment Company registered under Section 8 of the</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Investment Company Act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spacing w:after="0"/>
              <w:rPr>
                <w:sz w:val="24"/>
                <w:szCs w:val="24"/>
                <w:color w:val="auto"/>
              </w:rPr>
            </w:pPr>
          </w:p>
        </w:tc>
        <w:tc>
          <w:tcPr>
            <w:tcW w:w="1320" w:type="dxa"/>
            <w:vAlign w:val="bottom"/>
          </w:tcPr>
          <w:p>
            <w:pPr>
              <w:ind w:left="740"/>
              <w:spacing w:after="0"/>
              <w:rPr>
                <w:sz w:val="20"/>
                <w:szCs w:val="20"/>
                <w:color w:val="auto"/>
              </w:rPr>
            </w:pPr>
            <w:r>
              <w:rPr>
                <w:rFonts w:ascii="Courier New" w:cs="Courier New" w:eastAsia="Courier New" w:hAnsi="Courier New"/>
                <w:sz w:val="18"/>
                <w:szCs w:val="18"/>
                <w:color w:val="auto"/>
              </w:rPr>
              <w:t>IA =</w:t>
            </w:r>
          </w:p>
        </w:tc>
        <w:tc>
          <w:tcPr>
            <w:tcW w:w="60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Investment Adviser registered under Section 203 of the</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Investment Advisers Act of 1940</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4"/>
                <w:szCs w:val="24"/>
                <w:color w:val="auto"/>
              </w:rPr>
            </w:pPr>
          </w:p>
        </w:tc>
        <w:tc>
          <w:tcPr>
            <w:tcW w:w="1320" w:type="dxa"/>
            <w:vAlign w:val="bottom"/>
          </w:tcPr>
          <w:p>
            <w:pPr>
              <w:ind w:left="740"/>
              <w:spacing w:after="0"/>
              <w:rPr>
                <w:sz w:val="20"/>
                <w:szCs w:val="20"/>
                <w:color w:val="auto"/>
              </w:rPr>
            </w:pPr>
            <w:r>
              <w:rPr>
                <w:rFonts w:ascii="Courier New" w:cs="Courier New" w:eastAsia="Courier New" w:hAnsi="Courier New"/>
                <w:sz w:val="18"/>
                <w:szCs w:val="18"/>
                <w:color w:val="auto"/>
              </w:rPr>
              <w:t>EP =</w:t>
            </w:r>
          </w:p>
        </w:tc>
        <w:tc>
          <w:tcPr>
            <w:tcW w:w="60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Employee Benefit Plan, Pension Fund which is subject to</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the provisions of the Employee Retirement Income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Security Act of 1974 or Endowment Fund; see</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Section 240.13-d(1)(b)(1)(ii)(F)</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4"/>
                <w:szCs w:val="24"/>
                <w:color w:val="auto"/>
              </w:rPr>
            </w:pPr>
          </w:p>
        </w:tc>
        <w:tc>
          <w:tcPr>
            <w:tcW w:w="1320" w:type="dxa"/>
            <w:vAlign w:val="bottom"/>
          </w:tcPr>
          <w:p>
            <w:pPr>
              <w:ind w:left="740"/>
              <w:spacing w:after="0"/>
              <w:rPr>
                <w:sz w:val="20"/>
                <w:szCs w:val="20"/>
                <w:color w:val="auto"/>
              </w:rPr>
            </w:pPr>
            <w:r>
              <w:rPr>
                <w:rFonts w:ascii="Courier New" w:cs="Courier New" w:eastAsia="Courier New" w:hAnsi="Courier New"/>
                <w:sz w:val="18"/>
                <w:szCs w:val="18"/>
                <w:color w:val="auto"/>
              </w:rPr>
              <w:t>HC =</w:t>
            </w:r>
          </w:p>
        </w:tc>
        <w:tc>
          <w:tcPr>
            <w:tcW w:w="60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Parent Holding Company, in accordance with Section</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240.13-d(1)(b)(1)(ii)(G)</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20" w:type="dxa"/>
            <w:vAlign w:val="bottom"/>
          </w:tcPr>
          <w:p>
            <w:pPr>
              <w:spacing w:after="0"/>
              <w:rPr>
                <w:sz w:val="20"/>
                <w:szCs w:val="20"/>
                <w:color w:val="auto"/>
              </w:rPr>
            </w:pPr>
            <w:r>
              <w:rPr>
                <w:rFonts w:ascii="Courier New" w:cs="Courier New" w:eastAsia="Courier New" w:hAnsi="Courier New"/>
                <w:sz w:val="18"/>
                <w:szCs w:val="18"/>
                <w:color w:val="auto"/>
              </w:rPr>
              <w:t>Ownership:</w:t>
            </w:r>
          </w:p>
        </w:tc>
        <w:tc>
          <w:tcPr>
            <w:tcW w:w="60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See Items 5 through 9 and 11 of cover page(s)</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as to each reporting person.</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8"/>
          <w:szCs w:val="18"/>
          <w:color w:val="auto"/>
        </w:rPr>
        <w:t>The amount beneficially owned includes, where appropriate, securities not outstanding which are subject to options, warrants, rights or conversion privileges that are exercisable within 60 days. The filing of this Schedule 13G shall not be construed as an admission that Mellon Bank Corporation, or its direct or indirect subsidiaries, including Mellon Bank, N.A., are for the purposes of Section 13(d) or 13(g) of the Act, the beneficial owners of any securities covered by this Schedule 13G.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rPr>
              <w:t>The following information applies if checked:   (</w:t>
            </w:r>
          </w:p>
        </w:tc>
        <w:tc>
          <w:tcPr>
            <w:tcW w:w="1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   Mellon Bank,</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w w:val="95"/>
              </w:rPr>
              <w:t>N.A. is the</w:t>
            </w:r>
          </w:p>
        </w:tc>
        <w:tc>
          <w:tcPr>
            <w:tcW w:w="0" w:type="dxa"/>
            <w:vAlign w:val="bottom"/>
          </w:tcPr>
          <w:p>
            <w:pPr>
              <w:spacing w:after="0"/>
              <w:rPr>
                <w:sz w:val="1"/>
                <w:szCs w:val="1"/>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trustee</w:t>
            </w:r>
          </w:p>
        </w:tc>
        <w:tc>
          <w:tcPr>
            <w:tcW w:w="6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of the issuer's employee benefit plan (the "Plan"), which is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subject to</w:t>
            </w:r>
          </w:p>
        </w:tc>
        <w:tc>
          <w:tcPr>
            <w:tcW w:w="0" w:type="dxa"/>
            <w:vAlign w:val="bottom"/>
          </w:tcPr>
          <w:p>
            <w:pPr>
              <w:spacing w:after="0"/>
              <w:rPr>
                <w:sz w:val="1"/>
                <w:szCs w:val="1"/>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ERISA.</w:t>
            </w:r>
          </w:p>
        </w:tc>
        <w:tc>
          <w:tcPr>
            <w:tcW w:w="5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The securities reported include all shares held 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record by</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Mellon</w:t>
            </w: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Bank, N.A. as trustee of the Plan which have not been allocated to the</w:t>
            </w:r>
          </w:p>
        </w:tc>
        <w:tc>
          <w:tcPr>
            <w:tcW w:w="0" w:type="dxa"/>
            <w:vAlign w:val="bottom"/>
          </w:tcPr>
          <w:p>
            <w:pPr>
              <w:spacing w:after="0"/>
              <w:rPr>
                <w:sz w:val="1"/>
                <w:szCs w:val="1"/>
                <w:color w:val="auto"/>
              </w:rPr>
            </w:pP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individual accounts of employee participants in the</w:t>
            </w:r>
          </w:p>
        </w:tc>
        <w:tc>
          <w:tcPr>
            <w:tcW w:w="3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Plan. The reporting person,</w:t>
            </w:r>
          </w:p>
        </w:tc>
        <w:tc>
          <w:tcPr>
            <w:tcW w:w="0" w:type="dxa"/>
            <w:vAlign w:val="bottom"/>
          </w:tcPr>
          <w:p>
            <w:pPr>
              <w:spacing w:after="0"/>
              <w:rPr>
                <w:sz w:val="1"/>
                <w:szCs w:val="1"/>
                <w:color w:val="auto"/>
              </w:rPr>
            </w:pPr>
          </w:p>
        </w:tc>
      </w:tr>
      <w:tr>
        <w:trPr>
          <w:trHeight w:val="203"/>
        </w:trPr>
        <w:tc>
          <w:tcPr>
            <w:tcW w:w="61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however, disclaims beneficial ownership of all shares that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have been</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allocated</w:t>
            </w:r>
          </w:p>
        </w:tc>
        <w:tc>
          <w:tcPr>
            <w:tcW w:w="0" w:type="dxa"/>
            <w:vAlign w:val="bottom"/>
          </w:tcPr>
          <w:p>
            <w:pPr>
              <w:spacing w:after="0"/>
              <w:rPr>
                <w:sz w:val="1"/>
                <w:szCs w:val="1"/>
                <w:color w:val="auto"/>
              </w:rPr>
            </w:pP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to the individual accounts of employee participants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the</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Plan for which</w:t>
            </w:r>
          </w:p>
        </w:tc>
        <w:tc>
          <w:tcPr>
            <w:tcW w:w="0" w:type="dxa"/>
            <w:vAlign w:val="bottom"/>
          </w:tcPr>
          <w:p>
            <w:pPr>
              <w:spacing w:after="0"/>
              <w:rPr>
                <w:sz w:val="1"/>
                <w:szCs w:val="1"/>
                <w:color w:val="auto"/>
              </w:rPr>
            </w:pPr>
          </w:p>
        </w:tc>
      </w:tr>
      <w:tr>
        <w:trPr>
          <w:trHeight w:val="296"/>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rPr>
              <w:t>directions have been received and followed.</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6420" w:type="dxa"/>
            <w:vAlign w:val="bottom"/>
            <w:gridSpan w:val="3"/>
          </w:tcPr>
          <w:p>
            <w:pPr>
              <w:jc w:val="right"/>
              <w:ind w:right="392"/>
              <w:spacing w:after="0"/>
              <w:rPr>
                <w:sz w:val="20"/>
                <w:szCs w:val="20"/>
                <w:color w:val="auto"/>
              </w:rPr>
            </w:pPr>
            <w:r>
              <w:rPr>
                <w:rFonts w:ascii="Courier New" w:cs="Courier New" w:eastAsia="Courier New" w:hAnsi="Courier New"/>
                <w:sz w:val="18"/>
                <w:szCs w:val="18"/>
                <w:color w:val="auto"/>
                <w:w w:val="99"/>
              </w:rPr>
              <w:t>Ownership of Five Percent or Less of a Class:   If this</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statement is being filed to report the fact that as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date hereof</w:t>
            </w:r>
          </w:p>
        </w:tc>
        <w:tc>
          <w:tcPr>
            <w:tcW w:w="0" w:type="dxa"/>
            <w:vAlign w:val="bottom"/>
          </w:tcPr>
          <w:p>
            <w:pPr>
              <w:spacing w:after="0"/>
              <w:rPr>
                <w:sz w:val="1"/>
                <w:szCs w:val="1"/>
                <w:color w:val="auto"/>
              </w:rPr>
            </w:pPr>
          </w:p>
        </w:tc>
      </w:tr>
      <w:tr>
        <w:trPr>
          <w:trHeight w:val="203"/>
        </w:trPr>
        <w:tc>
          <w:tcPr>
            <w:tcW w:w="61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the reporting person has ceased to be the beneficial owner</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more</w:t>
            </w:r>
          </w:p>
        </w:tc>
        <w:tc>
          <w:tcPr>
            <w:tcW w:w="12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w w:val="98"/>
              </w:rPr>
              <w:t>than five percent of the class of securities, check</w:t>
            </w:r>
          </w:p>
        </w:tc>
        <w:tc>
          <w:tcPr>
            <w:tcW w:w="1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the following  (</w:t>
            </w: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939"/>
        <w:spacing w:after="0" w:line="260" w:lineRule="auto"/>
        <w:rPr>
          <w:sz w:val="20"/>
          <w:szCs w:val="20"/>
          <w:color w:val="auto"/>
        </w:rPr>
      </w:pPr>
      <w:r>
        <w:rPr>
          <w:rFonts w:ascii="Courier New" w:cs="Courier New" w:eastAsia="Courier New" w:hAnsi="Courier New"/>
          <w:sz w:val="18"/>
          <w:szCs w:val="18"/>
          <w:color w:val="auto"/>
        </w:rPr>
        <w:t>Item 6 Ownership of More than Five Percent on Behalf of Another Person: All of the securities are beneficially owned by Mellon Bank Corporation and direct or indirect subsidiaries in their various fiduciary capacities. As a result, another entity in every instance is entitled to dividends or proceeds of sale. The number of individual accounts holding an interest of 5% or more is ( 0 ).</w:t>
      </w:r>
    </w:p>
    <w:p>
      <w:pPr>
        <w:sectPr>
          <w:pgSz w:w="11900" w:h="16838" w:orient="portrait"/>
          <w:cols w:equalWidth="0" w:num="1">
            <w:col w:w="10219"/>
          </w:cols>
          <w:pgMar w:left="240" w:top="285" w:right="1440" w:bottom="0" w:gutter="0" w:footer="0" w:header="0"/>
        </w:sectPr>
      </w:pPr>
    </w:p>
    <w:bookmarkStart w:id="2" w:name="page3"/>
    <w:bookmarkEnd w:id="2"/>
    <w:p>
      <w:pPr>
        <w:spacing w:after="0" w:line="260" w:lineRule="auto"/>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w:t>
      </w:r>
    </w:p>
    <w:p>
      <w:pPr>
        <w:spacing w:after="0" w:line="31"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the Security Being Reported by the Parent Holding Company:</w:t>
      </w:r>
      <w:r>
        <w:rPr>
          <w:sz w:val="20"/>
          <w:szCs w:val="20"/>
          <w:color w:val="auto"/>
        </w:rPr>
        <w:tab/>
      </w:r>
      <w:r>
        <w:rPr>
          <w:rFonts w:ascii="Courier New" w:cs="Courier New" w:eastAsia="Courier New" w:hAnsi="Courier New"/>
          <w:sz w:val="16"/>
          <w:szCs w:val="16"/>
          <w:color w:val="auto"/>
        </w:rPr>
        <w:t>See Exhibit I.</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5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420" w:type="dxa"/>
            <w:vAlign w:val="bottom"/>
          </w:tcPr>
          <w:p>
            <w:pPr>
              <w:ind w:left="120"/>
              <w:spacing w:after="0"/>
              <w:rPr>
                <w:sz w:val="20"/>
                <w:szCs w:val="20"/>
                <w:color w:val="auto"/>
              </w:rPr>
            </w:pPr>
            <w:r>
              <w:rPr>
                <w:rFonts w:ascii="Courier New" w:cs="Courier New" w:eastAsia="Courier New" w:hAnsi="Courier New"/>
                <w:sz w:val="18"/>
                <w:szCs w:val="18"/>
                <w:color w:val="auto"/>
                <w:w w:val="86"/>
              </w:rPr>
              <w:t>N/A</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11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Notice of</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Dissolution of Group:</w:t>
            </w:r>
          </w:p>
        </w:tc>
        <w:tc>
          <w:tcPr>
            <w:tcW w:w="420" w:type="dxa"/>
            <w:vAlign w:val="bottom"/>
          </w:tcPr>
          <w:p>
            <w:pPr>
              <w:ind w:left="120"/>
              <w:spacing w:after="0"/>
              <w:rPr>
                <w:sz w:val="20"/>
                <w:szCs w:val="20"/>
                <w:color w:val="auto"/>
              </w:rPr>
            </w:pPr>
            <w:r>
              <w:rPr>
                <w:rFonts w:ascii="Courier New" w:cs="Courier New" w:eastAsia="Courier New" w:hAnsi="Courier New"/>
                <w:sz w:val="18"/>
                <w:szCs w:val="18"/>
                <w:color w:val="auto"/>
                <w:w w:val="86"/>
              </w:rPr>
              <w:t>N/A</w:t>
            </w:r>
          </w:p>
        </w:tc>
      </w:tr>
      <w:tr>
        <w:trPr>
          <w:trHeight w:val="311"/>
        </w:trPr>
        <w:tc>
          <w:tcPr>
            <w:tcW w:w="7480" w:type="dxa"/>
            <w:vAlign w:val="bottom"/>
            <w:gridSpan w:val="4"/>
          </w:tcPr>
          <w:p>
            <w:pPr>
              <w:spacing w:after="0"/>
              <w:rPr>
                <w:sz w:val="20"/>
                <w:szCs w:val="20"/>
                <w:color w:val="auto"/>
              </w:rPr>
            </w:pPr>
            <w:r>
              <w:rPr>
                <w:rFonts w:ascii="Courier New" w:cs="Courier New" w:eastAsia="Courier New" w:hAnsi="Courier New"/>
                <w:sz w:val="18"/>
                <w:szCs w:val="18"/>
                <w:color w:val="auto"/>
              </w:rPr>
              <w:t>Item 10   Certification:   By signing below I certify that, to the</w:t>
            </w:r>
          </w:p>
        </w:tc>
        <w:tc>
          <w:tcPr>
            <w:tcW w:w="420" w:type="dxa"/>
            <w:vAlign w:val="bottom"/>
          </w:tcPr>
          <w:p>
            <w:pPr>
              <w:spacing w:after="0"/>
              <w:rPr>
                <w:sz w:val="24"/>
                <w:szCs w:val="24"/>
                <w:color w:val="auto"/>
              </w:rPr>
            </w:pPr>
          </w:p>
        </w:tc>
      </w:tr>
      <w:tr>
        <w:trPr>
          <w:trHeight w:val="203"/>
        </w:trPr>
        <w:tc>
          <w:tcPr>
            <w:tcW w:w="7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best of my knowledge and belief, the securities referred to above were</w:t>
            </w:r>
          </w:p>
        </w:tc>
        <w:tc>
          <w:tcPr>
            <w:tcW w:w="42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ordinary course of business and were not acquired for</w:t>
            </w:r>
          </w:p>
        </w:tc>
        <w:tc>
          <w:tcPr>
            <w:tcW w:w="420" w:type="dxa"/>
            <w:vAlign w:val="bottom"/>
          </w:tcPr>
          <w:p>
            <w:pPr>
              <w:spacing w:after="0"/>
              <w:rPr>
                <w:sz w:val="17"/>
                <w:szCs w:val="17"/>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purpose</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and</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do not have the effect of changing or influencing</w:t>
            </w:r>
          </w:p>
        </w:tc>
        <w:tc>
          <w:tcPr>
            <w:tcW w:w="420" w:type="dxa"/>
            <w:vAlign w:val="bottom"/>
          </w:tcPr>
          <w:p>
            <w:pPr>
              <w:spacing w:after="0"/>
              <w:rPr>
                <w:sz w:val="17"/>
                <w:szCs w:val="17"/>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control</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issuer of such securities and were not acquired in</w:t>
            </w:r>
          </w:p>
        </w:tc>
        <w:tc>
          <w:tcPr>
            <w:tcW w:w="420" w:type="dxa"/>
            <w:vAlign w:val="bottom"/>
          </w:tcPr>
          <w:p>
            <w:pPr>
              <w:spacing w:after="0"/>
              <w:rPr>
                <w:sz w:val="17"/>
                <w:szCs w:val="17"/>
                <w:color w:val="auto"/>
              </w:rPr>
            </w:pPr>
          </w:p>
        </w:tc>
      </w:tr>
      <w:tr>
        <w:trPr>
          <w:trHeight w:val="203"/>
        </w:trPr>
        <w:tc>
          <w:tcPr>
            <w:tcW w:w="2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connection with or</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participant in any transaction having such</w:t>
            </w:r>
          </w:p>
        </w:tc>
        <w:tc>
          <w:tcPr>
            <w:tcW w:w="420" w:type="dxa"/>
            <w:vAlign w:val="bottom"/>
          </w:tcPr>
          <w:p>
            <w:pPr>
              <w:spacing w:after="0"/>
              <w:rPr>
                <w:sz w:val="17"/>
                <w:szCs w:val="17"/>
                <w:color w:val="auto"/>
              </w:rPr>
            </w:pPr>
          </w:p>
        </w:tc>
      </w:t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purposes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or</w:t>
            </w:r>
          </w:p>
        </w:tc>
        <w:tc>
          <w:tcPr>
            <w:tcW w:w="780" w:type="dxa"/>
            <w:vAlign w:val="bottom"/>
          </w:tcPr>
          <w:p>
            <w:pPr>
              <w:ind w:left="60"/>
              <w:spacing w:after="0"/>
              <w:rPr>
                <w:sz w:val="20"/>
                <w:szCs w:val="20"/>
                <w:color w:val="auto"/>
              </w:rPr>
            </w:pPr>
            <w:r>
              <w:rPr>
                <w:rFonts w:ascii="Courier New" w:cs="Courier New" w:eastAsia="Courier New" w:hAnsi="Courier New"/>
                <w:sz w:val="18"/>
                <w:szCs w:val="18"/>
                <w:color w:val="auto"/>
                <w:w w:val="92"/>
              </w:rPr>
              <w:t>effect.</w:t>
            </w:r>
          </w:p>
        </w:tc>
        <w:tc>
          <w:tcPr>
            <w:tcW w:w="54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219"/>
          </w:cols>
          <w:pgMar w:left="240" w:top="28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right="3039"/>
        <w:spacing w:after="0" w:line="27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 This filing is signed by Mellon Bank Corporation on behalf of all reporting entities pursuant to Rule</w:t>
      </w:r>
    </w:p>
    <w:p>
      <w:pPr>
        <w:spacing w:after="0" w:line="3" w:lineRule="exact"/>
        <w:rPr>
          <w:sz w:val="20"/>
          <w:szCs w:val="20"/>
          <w:color w:val="auto"/>
        </w:rPr>
      </w:pPr>
    </w:p>
    <w:p>
      <w:pPr>
        <w:ind w:right="2839"/>
        <w:spacing w:after="0" w:line="309" w:lineRule="auto"/>
        <w:rPr>
          <w:sz w:val="20"/>
          <w:szCs w:val="20"/>
          <w:color w:val="auto"/>
        </w:rPr>
      </w:pPr>
      <w:r>
        <w:rPr>
          <w:rFonts w:ascii="Courier New" w:cs="Courier New" w:eastAsia="Courier New" w:hAnsi="Courier New"/>
          <w:sz w:val="18"/>
          <w:szCs w:val="18"/>
          <w:color w:val="auto"/>
        </w:rPr>
        <w:t>13d-1(f)(1) promulgated under the Securities and Exchange Act of 1934, as amended.</w:t>
      </w:r>
    </w:p>
    <w:p>
      <w:pPr>
        <w:spacing w:after="0" w:line="5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15,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BANK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WILLIAM L. DAWSON, JR.</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William L. Dawson, Jr.</w:t>
      </w:r>
    </w:p>
    <w:p>
      <w:pPr>
        <w:ind w:left="640"/>
        <w:spacing w:after="0"/>
        <w:rPr>
          <w:sz w:val="20"/>
          <w:szCs w:val="20"/>
          <w:color w:val="auto"/>
        </w:rPr>
      </w:pPr>
      <w:r>
        <w:rPr>
          <w:rFonts w:ascii="Courier New" w:cs="Courier New" w:eastAsia="Courier New" w:hAnsi="Courier New"/>
          <w:sz w:val="18"/>
          <w:szCs w:val="18"/>
          <w:color w:val="auto"/>
        </w:rPr>
        <w:t>Senior Vice President</w:t>
      </w:r>
    </w:p>
    <w:p>
      <w:pPr>
        <w:ind w:left="640"/>
        <w:spacing w:after="0" w:line="238" w:lineRule="auto"/>
        <w:rPr>
          <w:sz w:val="20"/>
          <w:szCs w:val="20"/>
          <w:color w:val="auto"/>
        </w:rPr>
      </w:pPr>
      <w:r>
        <w:rPr>
          <w:rFonts w:ascii="Courier New" w:cs="Courier New" w:eastAsia="Courier New" w:hAnsi="Courier New"/>
          <w:sz w:val="18"/>
          <w:szCs w:val="18"/>
          <w:color w:val="auto"/>
        </w:rPr>
        <w:t>Mellon Bank, N.A.</w:t>
      </w:r>
    </w:p>
    <w:p>
      <w:pPr>
        <w:ind w:left="640"/>
        <w:spacing w:after="0"/>
        <w:rPr>
          <w:sz w:val="20"/>
          <w:szCs w:val="20"/>
          <w:color w:val="auto"/>
        </w:rPr>
      </w:pPr>
      <w:r>
        <w:rPr>
          <w:rFonts w:ascii="Courier New" w:cs="Courier New" w:eastAsia="Courier New" w:hAnsi="Courier New"/>
          <w:sz w:val="18"/>
          <w:szCs w:val="18"/>
          <w:color w:val="auto"/>
        </w:rPr>
        <w:t>Attorney-In-Fact for</w:t>
      </w:r>
    </w:p>
    <w:p>
      <w:pPr>
        <w:ind w:left="640"/>
        <w:spacing w:after="0"/>
        <w:rPr>
          <w:sz w:val="20"/>
          <w:szCs w:val="20"/>
          <w:color w:val="auto"/>
        </w:rPr>
      </w:pPr>
      <w:r>
        <w:rPr>
          <w:rFonts w:ascii="Courier New" w:cs="Courier New" w:eastAsia="Courier New" w:hAnsi="Courier New"/>
          <w:sz w:val="18"/>
          <w:szCs w:val="18"/>
          <w:color w:val="auto"/>
        </w:rPr>
        <w:t>Mellon Bank Corporation</w:t>
      </w:r>
    </w:p>
    <w:p>
      <w:pPr>
        <w:sectPr>
          <w:pgSz w:w="11900" w:h="16838" w:orient="portrait"/>
          <w:cols w:equalWidth="0" w:num="1">
            <w:col w:w="10219"/>
          </w:cols>
          <w:pgMar w:left="240" w:top="285"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4"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Mellon Bank Corporation, as marked (X):</w:t>
      </w:r>
    </w:p>
    <w:p>
      <w:pPr>
        <w:spacing w:after="0" w:line="269" w:lineRule="exact"/>
        <w:rPr>
          <w:sz w:val="20"/>
          <w:szCs w:val="20"/>
          <w:color w:val="auto"/>
        </w:rPr>
      </w:pPr>
    </w:p>
    <w:p>
      <w:pPr>
        <w:ind w:right="2519" w:firstLine="8"/>
        <w:spacing w:after="0" w:line="34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w:t>
      </w:r>
    </w:p>
    <w:p>
      <w:pPr>
        <w:spacing w:after="0" w:line="18"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Boston Safe Deposit and Trust Company</w:t>
      </w:r>
    </w:p>
    <w:p>
      <w:pPr>
        <w:spacing w:after="0" w:line="29" w:lineRule="exact"/>
        <w:rPr>
          <w:sz w:val="20"/>
          <w:szCs w:val="20"/>
          <w:color w:val="auto"/>
        </w:rPr>
      </w:pPr>
    </w:p>
    <w:p>
      <w:pPr>
        <w:ind w:left="1280" w:hanging="429"/>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Trust of California</w:t>
      </w:r>
    </w:p>
    <w:p>
      <w:pPr>
        <w:ind w:left="1280" w:hanging="429"/>
        <w:spacing w:after="0" w:line="238"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Trust of New York</w:t>
      </w:r>
    </w:p>
    <w:p>
      <w:pPr>
        <w:ind w:left="1700" w:right="2099" w:hanging="842"/>
        <w:spacing w:after="0" w:line="238" w:lineRule="auto"/>
        <w:tabs>
          <w:tab w:leader="none" w:pos="168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8"/>
          <w:szCs w:val="18"/>
          <w:color w:val="auto"/>
        </w:rPr>
        <w:t>Mellon Bank, N.A. (also parent holding company of the Dreyfus Corporation and Mellon Equity Associates)</w:t>
      </w:r>
    </w:p>
    <w:p>
      <w:pPr>
        <w:ind w:left="1280" w:hanging="429"/>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Bank (Delaware) National Association</w:t>
      </w:r>
    </w:p>
    <w:p>
      <w:pPr>
        <w:ind w:left="1280" w:hanging="429"/>
        <w:spacing w:after="0" w:line="238"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Bank (MD)</w:t>
      </w:r>
    </w:p>
    <w:p>
      <w:pPr>
        <w:ind w:left="1280" w:hanging="429"/>
        <w:spacing w:after="0"/>
        <w:tabs>
          <w:tab w:leader="none" w:pos="12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Trust Florida</w:t>
      </w:r>
    </w:p>
    <w:p>
      <w:pPr>
        <w:ind w:left="1280" w:hanging="429"/>
        <w:spacing w:after="0"/>
        <w:tabs>
          <w:tab w:leader="none" w:pos="12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F.S.B.</w:t>
      </w:r>
    </w:p>
    <w:p>
      <w:pPr>
        <w:spacing w:after="0" w:line="169" w:lineRule="exact"/>
        <w:rPr>
          <w:rFonts w:ascii="Courier New" w:cs="Courier New" w:eastAsia="Courier New" w:hAnsi="Courier New"/>
          <w:sz w:val="18"/>
          <w:szCs w:val="18"/>
          <w:color w:val="auto"/>
        </w:rPr>
      </w:pPr>
    </w:p>
    <w:p>
      <w:pPr>
        <w:ind w:right="2199" w:firstLine="8"/>
        <w:spacing w:after="0" w:line="292"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3(e) Investment Advisor registered under Section 203 of the Investment Advisers Act of 1940."</w:t>
      </w:r>
    </w:p>
    <w:p>
      <w:pPr>
        <w:spacing w:after="0" w:line="66" w:lineRule="exact"/>
        <w:rPr>
          <w:sz w:val="20"/>
          <w:szCs w:val="20"/>
          <w:color w:val="auto"/>
        </w:rPr>
      </w:pPr>
    </w:p>
    <w:p>
      <w:pPr>
        <w:ind w:left="1280" w:hanging="429"/>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Franklin Portfolio Associates Trust</w:t>
      </w:r>
    </w:p>
    <w:p>
      <w:pPr>
        <w:spacing w:after="0" w:line="29" w:lineRule="exact"/>
        <w:rPr>
          <w:sz w:val="20"/>
          <w:szCs w:val="20"/>
          <w:color w:val="auto"/>
        </w:rPr>
      </w:pPr>
    </w:p>
    <w:p>
      <w:pPr>
        <w:ind w:left="1280" w:hanging="429"/>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Laurel Capital Advisors</w:t>
      </w:r>
    </w:p>
    <w:p>
      <w:pPr>
        <w:ind w:left="1060" w:hanging="209"/>
        <w:spacing w:after="0" w:line="238"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Mellon Capital Management Corporation</w:t>
      </w:r>
    </w:p>
    <w:p>
      <w:pPr>
        <w:ind w:left="1060" w:hanging="209"/>
        <w:spacing w:after="0" w:line="238"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Mellon Equity Associates</w:t>
      </w:r>
    </w:p>
    <w:p>
      <w:pPr>
        <w:ind w:left="1280" w:hanging="429"/>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Boston Safe Advisors</w:t>
      </w:r>
    </w:p>
    <w:p>
      <w:pPr>
        <w:spacing w:after="0" w:line="169" w:lineRule="exact"/>
        <w:rPr>
          <w:sz w:val="20"/>
          <w:szCs w:val="20"/>
          <w:color w:val="auto"/>
        </w:rPr>
      </w:pPr>
    </w:p>
    <w:p>
      <w:pPr>
        <w:ind w:left="1700" w:right="2739" w:hanging="849"/>
        <w:spacing w:after="0" w:line="257" w:lineRule="auto"/>
        <w:tabs>
          <w:tab w:leader="none" w:pos="106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Dreyfus Corporation (also parent holding company of Dreyfus Investment Advisors, Inc.)</w:t>
      </w:r>
    </w:p>
    <w:p>
      <w:pPr>
        <w:ind w:left="1280" w:hanging="429"/>
        <w:spacing w:after="0"/>
        <w:tabs>
          <w:tab w:leader="none" w:pos="12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Dreyfus Investment Advisors, Inc.</w:t>
      </w:r>
    </w:p>
    <w:p>
      <w:pPr>
        <w:spacing w:after="0" w:line="169" w:lineRule="exact"/>
        <w:rPr>
          <w:rFonts w:ascii="Courier New" w:cs="Courier New" w:eastAsia="Courier New" w:hAnsi="Courier New"/>
          <w:sz w:val="18"/>
          <w:szCs w:val="18"/>
          <w:color w:val="auto"/>
        </w:rPr>
      </w:pPr>
    </w:p>
    <w:p>
      <w:pPr>
        <w:ind w:right="2319" w:firstLine="8"/>
        <w:spacing w:after="0" w:line="292"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legal entities listed below is "Item 3(g) Parent Holdings Company, in accordance with Section 240.13d-I(b)(ii)(G).</w:t>
      </w:r>
    </w:p>
    <w:p>
      <w:pPr>
        <w:spacing w:after="0" w:line="6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Mellon Bank Corporation</w:t>
      </w:r>
    </w:p>
    <w:p>
      <w:pPr>
        <w:spacing w:after="0" w:line="31" w:lineRule="exact"/>
        <w:rPr>
          <w:sz w:val="20"/>
          <w:szCs w:val="20"/>
          <w:color w:val="auto"/>
        </w:rPr>
      </w:pPr>
    </w:p>
    <w:p>
      <w:pPr>
        <w:ind w:left="1700" w:right="2419" w:hanging="842"/>
        <w:spacing w:after="0" w:line="238" w:lineRule="auto"/>
        <w:tabs>
          <w:tab w:leader="none" w:pos="168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8"/>
          <w:szCs w:val="18"/>
          <w:color w:val="auto"/>
        </w:rPr>
        <w:t>Boston Group Holdings, Inc. (parent holding company of The Boston Company, Inc.)</w:t>
      </w:r>
    </w:p>
    <w:p>
      <w:pPr>
        <w:spacing w:after="0" w:line="1" w:lineRule="exact"/>
        <w:rPr>
          <w:sz w:val="20"/>
          <w:szCs w:val="20"/>
          <w:color w:val="auto"/>
        </w:rPr>
      </w:pPr>
    </w:p>
    <w:p>
      <w:pPr>
        <w:ind w:left="1700" w:right="1879" w:hanging="849"/>
        <w:spacing w:after="0" w:line="238" w:lineRule="auto"/>
        <w:tabs>
          <w:tab w:leader="none" w:pos="106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Boston Company, Inc. (parent holding company of Boston Safe Advisors, Inc., The Boston Company Asset Management, Inc.,</w:t>
      </w:r>
    </w:p>
    <w:p>
      <w:pPr>
        <w:spacing w:after="0" w:line="1" w:lineRule="exact"/>
        <w:rPr>
          <w:sz w:val="20"/>
          <w:szCs w:val="20"/>
          <w:color w:val="auto"/>
        </w:rPr>
      </w:pPr>
    </w:p>
    <w:p>
      <w:pPr>
        <w:ind w:left="1700" w:right="1999"/>
        <w:spacing w:after="0" w:line="268" w:lineRule="auto"/>
        <w:rPr>
          <w:sz w:val="20"/>
          <w:szCs w:val="20"/>
          <w:color w:val="auto"/>
        </w:rPr>
      </w:pPr>
      <w:r>
        <w:rPr>
          <w:rFonts w:ascii="Courier New" w:cs="Courier New" w:eastAsia="Courier New" w:hAnsi="Courier New"/>
          <w:sz w:val="16"/>
          <w:szCs w:val="16"/>
          <w:color w:val="auto"/>
        </w:rPr>
        <w:t>Boston Safe Deposit and Trust Company, Mellon Trust of California, Mellon Trust of New York and Mellon Trust Florida)</w:t>
      </w:r>
    </w:p>
    <w:p>
      <w:pPr>
        <w:ind w:left="1700" w:right="2099" w:hanging="849"/>
        <w:spacing w:after="0" w:line="238" w:lineRule="auto"/>
        <w:tabs>
          <w:tab w:leader="none" w:pos="106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MBC Investment Corporation (parent holding company of Laurel Capital Advisors, Franklin Portfolio Associates, Mellon Bank, F.S.B. and Mellon Capital Management Corporation)</w:t>
      </w:r>
    </w:p>
    <w:p>
      <w:pPr>
        <w:spacing w:after="0" w:line="1" w:lineRule="exact"/>
        <w:rPr>
          <w:sz w:val="20"/>
          <w:szCs w:val="20"/>
          <w:color w:val="auto"/>
        </w:rPr>
      </w:pPr>
    </w:p>
    <w:p>
      <w:pPr>
        <w:ind w:left="1700" w:right="2319" w:hanging="849"/>
        <w:spacing w:after="0" w:line="309" w:lineRule="auto"/>
        <w:tabs>
          <w:tab w:leader="none" w:pos="127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Financial Corporation (MD)(parent holding company of Mellon Bank (MD)</w:t>
      </w:r>
    </w:p>
    <w:p>
      <w:pPr>
        <w:spacing w:after="0" w:line="51" w:lineRule="exact"/>
        <w:rPr>
          <w:sz w:val="20"/>
          <w:szCs w:val="20"/>
          <w:color w:val="auto"/>
        </w:rPr>
      </w:pPr>
    </w:p>
    <w:p>
      <w:pPr>
        <w:ind w:right="1999"/>
        <w:spacing w:after="0" w:line="252" w:lineRule="auto"/>
        <w:rPr>
          <w:sz w:val="20"/>
          <w:szCs w:val="20"/>
          <w:color w:val="auto"/>
        </w:rPr>
      </w:pPr>
      <w:r>
        <w:rPr>
          <w:rFonts w:ascii="Courier New" w:cs="Courier New" w:eastAsia="Courier New" w:hAnsi="Courier New"/>
          <w:sz w:val="18"/>
          <w:szCs w:val="18"/>
          <w:color w:val="auto"/>
        </w:rPr>
        <w:t>NOTE: All of the legal entities listed under (A) and (B) above are direct or indirect subsidiaries of Mellon Bank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Mellon Bank Corporation's reporting person page. (Do not add the shares or percent of class reported on each joint reporting person page on the attached Schedule 13G to determine the total percent of class for Mellon Bank Corporation.)</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2"/>
    </w:lvl>
  </w:abstractNum>
  <w:abstractNum w:abstractNumId="1">
    <w:nsid w:val="4DB127F8"/>
    <w:multiLevelType w:val="hybridMultilevel"/>
    <w:lvl w:ilvl="0">
      <w:lvlJc w:val="left"/>
      <w:lvlText w:val="(%1)"/>
      <w:numFmt w:val="decimal"/>
      <w:start w:val="3"/>
    </w:lvl>
  </w:abstractNum>
  <w:abstractNum w:abstractNumId="2">
    <w:nsid w:val="216231B"/>
    <w:multiLevelType w:val="hybridMultilevel"/>
    <w:lvl w:ilvl="0">
      <w:lvlJc w:val="left"/>
      <w:lvlText w:val="(%1)"/>
      <w:numFmt w:val="decimal"/>
      <w:start w:val="9"/>
    </w:lvl>
  </w:abstractNum>
  <w:abstractNum w:abstractNumId="3">
    <w:nsid w:val="1F16E9E8"/>
    <w:multiLevelType w:val="hybridMultilevel"/>
    <w:lvl w:ilvl="0">
      <w:lvlJc w:val="left"/>
      <w:lvlText w:val="(%1)"/>
      <w:numFmt w:val="upperLetter"/>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upperLetter"/>
      <w:start w:val="1"/>
    </w:lvl>
    <w:lvl w:ilvl="1">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upperLetter"/>
      <w:start w:val="2"/>
    </w:lvl>
    <w:lvl w:ilvl="1">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2019-12-12T07:23:03Z</dcterms:created>
  <dcterms:modified xsi:type="dcterms:W3CDTF">2019-12-12T07:23:03Z</dcterms:modified>
</cp:coreProperties>
</file>