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05" w:lineRule="exact"/>
        <w:rPr>
          <w:sz w:val="24"/>
          <w:szCs w:val="24"/>
          <w:color w:val="auto"/>
        </w:rPr>
      </w:pPr>
    </w:p>
    <w:p>
      <w:pPr>
        <w:ind w:left="3960" w:right="2340" w:hanging="3957"/>
        <w:spacing w:after="0" w:line="504" w:lineRule="auto"/>
        <w:tabs>
          <w:tab w:leader="none" w:pos="256"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 xml:space="preserve">For the quarterly period ended: </w:t>
      </w:r>
      <w:r>
        <w:rPr>
          <w:rFonts w:ascii="Arial" w:cs="Arial" w:eastAsia="Arial" w:hAnsi="Arial"/>
          <w:sz w:val="17"/>
          <w:szCs w:val="17"/>
          <w:u w:val="single" w:color="auto"/>
          <w:color w:val="auto"/>
        </w:rPr>
        <w:t>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 TRANSITION REPORT PURSUANT TO SECTION 13 OR 15(d) OF THE SECURITIES EXCHANGE ACT OF 1934</w:t>
      </w:r>
    </w:p>
    <w:p>
      <w:pPr>
        <w:spacing w:after="0" w:line="227" w:lineRule="exact"/>
        <w:rPr>
          <w:sz w:val="24"/>
          <w:szCs w:val="24"/>
          <w:color w:val="auto"/>
        </w:rPr>
      </w:pPr>
    </w:p>
    <w:p>
      <w:pPr>
        <w:ind w:left="3500"/>
        <w:spacing w:after="0"/>
        <w:rPr>
          <w:sz w:val="20"/>
          <w:szCs w:val="20"/>
          <w:color w:val="auto"/>
        </w:rPr>
      </w:pPr>
      <w:r>
        <w:rPr>
          <w:rFonts w:ascii="Arial" w:cs="Arial" w:eastAsia="Arial" w:hAnsi="Arial"/>
          <w:sz w:val="17"/>
          <w:szCs w:val="17"/>
          <w:color w:val="auto"/>
        </w:rPr>
        <w:t>For the transition period from __________ to 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1-10026</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u w:val="single" w:color="auto"/>
          <w:color w:val="auto"/>
        </w:rPr>
        <w:t>ALBANY INTERNATIONAL CORP.</w:t>
      </w:r>
    </w:p>
    <w:p>
      <w:pPr>
        <w:jc w:val="center"/>
        <w:spacing w:after="0" w:line="237" w:lineRule="auto"/>
        <w:rPr>
          <w:sz w:val="20"/>
          <w:szCs w:val="20"/>
          <w:color w:val="auto"/>
        </w:rPr>
      </w:pPr>
      <w:r>
        <w:rPr>
          <w:rFonts w:ascii="Arial" w:cs="Arial" w:eastAsia="Arial" w:hAnsi="Arial"/>
          <w:sz w:val="17"/>
          <w:szCs w:val="17"/>
          <w:color w:val="auto"/>
        </w:rPr>
        <w:t>(Exact name of registrant as specified in its charter)</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20" w:type="dxa"/>
            <w:vAlign w:val="bottom"/>
            <w:gridSpan w:val="4"/>
          </w:tcPr>
          <w:p>
            <w:pPr>
              <w:jc w:val="center"/>
              <w:ind w:right="1340"/>
              <w:spacing w:after="0"/>
              <w:rPr>
                <w:sz w:val="20"/>
                <w:szCs w:val="20"/>
                <w:color w:val="auto"/>
              </w:rPr>
            </w:pPr>
            <w:r>
              <w:rPr>
                <w:rFonts w:ascii="Arial" w:cs="Arial" w:eastAsia="Arial" w:hAnsi="Arial"/>
                <w:sz w:val="17"/>
                <w:szCs w:val="17"/>
                <w:color w:val="auto"/>
              </w:rPr>
              <w:t>Delaware</w:t>
            </w:r>
          </w:p>
        </w:tc>
        <w:tc>
          <w:tcPr>
            <w:tcW w:w="4780" w:type="dxa"/>
            <w:vAlign w:val="bottom"/>
          </w:tcPr>
          <w:p>
            <w:pPr>
              <w:jc w:val="right"/>
              <w:ind w:right="1814"/>
              <w:spacing w:after="0"/>
              <w:rPr>
                <w:sz w:val="20"/>
                <w:szCs w:val="20"/>
                <w:color w:val="auto"/>
              </w:rPr>
            </w:pPr>
            <w:r>
              <w:rPr>
                <w:rFonts w:ascii="Arial" w:cs="Arial" w:eastAsia="Arial" w:hAnsi="Arial"/>
                <w:sz w:val="17"/>
                <w:szCs w:val="17"/>
                <w:color w:val="auto"/>
              </w:rPr>
              <w:t>14-0462060</w:t>
            </w:r>
          </w:p>
        </w:tc>
      </w:tr>
      <w:tr>
        <w:trPr>
          <w:trHeight w:val="186"/>
        </w:trPr>
        <w:tc>
          <w:tcPr>
            <w:tcW w:w="20" w:type="dxa"/>
            <w:vAlign w:val="bottom"/>
          </w:tcPr>
          <w:p>
            <w:pPr>
              <w:spacing w:after="0"/>
              <w:rPr>
                <w:sz w:val="16"/>
                <w:szCs w:val="16"/>
                <w:color w:val="auto"/>
              </w:rPr>
            </w:pPr>
          </w:p>
        </w:tc>
        <w:tc>
          <w:tcPr>
            <w:tcW w:w="5240" w:type="dxa"/>
            <w:vAlign w:val="bottom"/>
            <w:tcBorders>
              <w:top w:val="single" w:sz="8" w:color="auto"/>
            </w:tcBorders>
            <w:gridSpan w:val="3"/>
          </w:tcPr>
          <w:p>
            <w:pPr>
              <w:jc w:val="center"/>
              <w:spacing w:after="0" w:line="185" w:lineRule="exact"/>
              <w:rPr>
                <w:sz w:val="20"/>
                <w:szCs w:val="20"/>
                <w:color w:val="auto"/>
              </w:rPr>
            </w:pPr>
            <w:r>
              <w:rPr>
                <w:rFonts w:ascii="Arial" w:cs="Arial" w:eastAsia="Arial" w:hAnsi="Arial"/>
                <w:sz w:val="17"/>
                <w:szCs w:val="17"/>
                <w:color w:val="auto"/>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60"/>
              <w:spacing w:after="0" w:line="185" w:lineRule="exact"/>
              <w:rPr>
                <w:sz w:val="20"/>
                <w:szCs w:val="20"/>
                <w:color w:val="auto"/>
              </w:rPr>
            </w:pPr>
            <w:r>
              <w:rPr>
                <w:rFonts w:ascii="Arial" w:cs="Arial" w:eastAsia="Arial" w:hAnsi="Arial"/>
                <w:sz w:val="17"/>
                <w:szCs w:val="17"/>
                <w:color w:val="auto"/>
              </w:rPr>
              <w:t>(IRS Employer Identification No.)</w:t>
            </w:r>
          </w:p>
        </w:tc>
      </w:tr>
      <w:tr>
        <w:trPr>
          <w:trHeight w:val="206"/>
        </w:trPr>
        <w:tc>
          <w:tcPr>
            <w:tcW w:w="20" w:type="dxa"/>
            <w:vAlign w:val="bottom"/>
          </w:tcPr>
          <w:p>
            <w:pPr>
              <w:spacing w:after="0"/>
              <w:rPr>
                <w:sz w:val="17"/>
                <w:szCs w:val="17"/>
                <w:color w:val="auto"/>
              </w:rPr>
            </w:pPr>
          </w:p>
        </w:tc>
        <w:tc>
          <w:tcPr>
            <w:tcW w:w="6620" w:type="dxa"/>
            <w:vAlign w:val="bottom"/>
            <w:gridSpan w:val="4"/>
          </w:tcPr>
          <w:p>
            <w:pPr>
              <w:ind w:left="1480"/>
              <w:spacing w:after="0"/>
              <w:rPr>
                <w:sz w:val="20"/>
                <w:szCs w:val="20"/>
                <w:color w:val="auto"/>
              </w:rPr>
            </w:pPr>
            <w:r>
              <w:rPr>
                <w:rFonts w:ascii="Arial" w:cs="Arial" w:eastAsia="Arial" w:hAnsi="Arial"/>
                <w:sz w:val="17"/>
                <w:szCs w:val="17"/>
                <w:color w:val="auto"/>
              </w:rPr>
              <w:t>incorporation or organization)</w:t>
            </w:r>
          </w:p>
        </w:tc>
        <w:tc>
          <w:tcPr>
            <w:tcW w:w="4780" w:type="dxa"/>
            <w:vAlign w:val="bottom"/>
          </w:tcPr>
          <w:p>
            <w:pPr>
              <w:spacing w:after="0"/>
              <w:rPr>
                <w:sz w:val="17"/>
                <w:szCs w:val="17"/>
                <w:color w:val="auto"/>
              </w:rPr>
            </w:pPr>
          </w:p>
        </w:tc>
      </w:tr>
      <w:tr>
        <w:trPr>
          <w:trHeight w:val="376"/>
        </w:trPr>
        <w:tc>
          <w:tcPr>
            <w:tcW w:w="20" w:type="dxa"/>
            <w:vAlign w:val="bottom"/>
          </w:tcPr>
          <w:p>
            <w:pPr>
              <w:spacing w:after="0"/>
              <w:rPr>
                <w:sz w:val="24"/>
                <w:szCs w:val="24"/>
                <w:color w:val="auto"/>
              </w:rPr>
            </w:pPr>
          </w:p>
        </w:tc>
        <w:tc>
          <w:tcPr>
            <w:tcW w:w="6620" w:type="dxa"/>
            <w:vAlign w:val="bottom"/>
            <w:gridSpan w:val="4"/>
          </w:tcPr>
          <w:p>
            <w:pPr>
              <w:jc w:val="center"/>
              <w:ind w:right="1340"/>
              <w:spacing w:after="0"/>
              <w:rPr>
                <w:sz w:val="20"/>
                <w:szCs w:val="20"/>
                <w:color w:val="auto"/>
              </w:rPr>
            </w:pPr>
            <w:r>
              <w:rPr>
                <w:rFonts w:ascii="Arial" w:cs="Arial" w:eastAsia="Arial" w:hAnsi="Arial"/>
                <w:sz w:val="17"/>
                <w:szCs w:val="17"/>
                <w:color w:val="auto"/>
              </w:rPr>
              <w:t>216 Airport Drive, Rochester, New Hampshire</w:t>
            </w:r>
          </w:p>
        </w:tc>
        <w:tc>
          <w:tcPr>
            <w:tcW w:w="4780" w:type="dxa"/>
            <w:vAlign w:val="bottom"/>
          </w:tcPr>
          <w:p>
            <w:pPr>
              <w:jc w:val="right"/>
              <w:ind w:right="2034"/>
              <w:spacing w:after="0"/>
              <w:rPr>
                <w:sz w:val="20"/>
                <w:szCs w:val="20"/>
                <w:color w:val="auto"/>
              </w:rPr>
            </w:pPr>
            <w:r>
              <w:rPr>
                <w:rFonts w:ascii="Arial" w:cs="Arial" w:eastAsia="Arial" w:hAnsi="Arial"/>
                <w:sz w:val="17"/>
                <w:szCs w:val="17"/>
                <w:color w:val="auto"/>
              </w:rPr>
              <w:t>03867</w:t>
            </w:r>
          </w:p>
        </w:tc>
      </w:tr>
      <w:tr>
        <w:trPr>
          <w:trHeight w:val="186"/>
        </w:trPr>
        <w:tc>
          <w:tcPr>
            <w:tcW w:w="20" w:type="dxa"/>
            <w:vAlign w:val="bottom"/>
          </w:tcPr>
          <w:p>
            <w:pPr>
              <w:spacing w:after="0"/>
              <w:rPr>
                <w:sz w:val="16"/>
                <w:szCs w:val="16"/>
                <w:color w:val="auto"/>
              </w:rPr>
            </w:pPr>
          </w:p>
        </w:tc>
        <w:tc>
          <w:tcPr>
            <w:tcW w:w="5240" w:type="dxa"/>
            <w:vAlign w:val="bottom"/>
            <w:tcBorders>
              <w:top w:val="single" w:sz="8" w:color="auto"/>
            </w:tcBorders>
            <w:gridSpan w:val="3"/>
          </w:tcPr>
          <w:p>
            <w:pPr>
              <w:jc w:val="center"/>
              <w:spacing w:after="0" w:line="185" w:lineRule="exact"/>
              <w:rPr>
                <w:sz w:val="20"/>
                <w:szCs w:val="20"/>
                <w:color w:val="auto"/>
              </w:rPr>
            </w:pPr>
            <w:r>
              <w:rPr>
                <w:rFonts w:ascii="Arial" w:cs="Arial" w:eastAsia="Arial" w:hAnsi="Arial"/>
                <w:sz w:val="17"/>
                <w:szCs w:val="17"/>
                <w:color w:val="auto"/>
              </w:rPr>
              <w:t>(Address of principal executive offices)</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960"/>
              <w:spacing w:after="0" w:line="185" w:lineRule="exact"/>
              <w:rPr>
                <w:sz w:val="20"/>
                <w:szCs w:val="20"/>
                <w:color w:val="auto"/>
              </w:rPr>
            </w:pPr>
            <w:r>
              <w:rPr>
                <w:rFonts w:ascii="Arial" w:cs="Arial" w:eastAsia="Arial" w:hAnsi="Arial"/>
                <w:sz w:val="17"/>
                <w:szCs w:val="17"/>
                <w:color w:val="auto"/>
              </w:rPr>
              <w:t>(Zip Code)</w:t>
            </w:r>
          </w:p>
        </w:tc>
      </w:tr>
      <w:tr>
        <w:trPr>
          <w:trHeight w:val="169"/>
        </w:trPr>
        <w:tc>
          <w:tcPr>
            <w:tcW w:w="6640" w:type="dxa"/>
            <w:vAlign w:val="bottom"/>
            <w:gridSpan w:val="5"/>
          </w:tcPr>
          <w:p>
            <w:pPr>
              <w:spacing w:after="0" w:line="168" w:lineRule="exact"/>
              <w:rPr>
                <w:sz w:val="20"/>
                <w:szCs w:val="20"/>
                <w:color w:val="auto"/>
              </w:rPr>
            </w:pPr>
            <w:r>
              <w:rPr>
                <w:rFonts w:ascii="Arial" w:cs="Arial" w:eastAsia="Arial" w:hAnsi="Arial"/>
                <w:sz w:val="17"/>
                <w:szCs w:val="17"/>
                <w:color w:val="auto"/>
              </w:rPr>
              <w:t>Registrant’s telephone number, including area code 603-330-5850</w:t>
            </w:r>
          </w:p>
        </w:tc>
        <w:tc>
          <w:tcPr>
            <w:tcW w:w="47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pacing w:after="0" w:line="115" w:lineRule="exact"/>
        <w:rPr>
          <w:sz w:val="24"/>
          <w:szCs w:val="24"/>
          <w:color w:val="auto"/>
        </w:rPr>
      </w:pPr>
    </w:p>
    <w:p>
      <w:pPr>
        <w:ind w:right="60"/>
        <w:spacing w:after="0" w:line="24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93" w:lineRule="exact"/>
        <w:rPr>
          <w:sz w:val="24"/>
          <w:szCs w:val="24"/>
          <w:color w:val="auto"/>
        </w:rPr>
      </w:pPr>
    </w:p>
    <w:p>
      <w:pPr>
        <w:ind w:right="240"/>
        <w:spacing w:after="0" w:line="243"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19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20" w:type="dxa"/>
            <w:vAlign w:val="bottom"/>
          </w:tcPr>
          <w:p>
            <w:pPr>
              <w:ind w:left="560"/>
              <w:spacing w:after="0"/>
              <w:rPr>
                <w:sz w:val="20"/>
                <w:szCs w:val="20"/>
                <w:color w:val="auto"/>
              </w:rPr>
            </w:pPr>
            <w:r>
              <w:rPr>
                <w:rFonts w:ascii="Arial" w:cs="Arial" w:eastAsia="Arial" w:hAnsi="Arial"/>
                <w:sz w:val="17"/>
                <w:szCs w:val="17"/>
                <w:color w:val="auto"/>
              </w:rPr>
              <w:t>[ √ ]</w:t>
            </w:r>
          </w:p>
        </w:tc>
        <w:tc>
          <w:tcPr>
            <w:tcW w:w="4000" w:type="dxa"/>
            <w:vAlign w:val="bottom"/>
          </w:tcPr>
          <w:p>
            <w:pPr>
              <w:ind w:left="1260"/>
              <w:spacing w:after="0"/>
              <w:rPr>
                <w:sz w:val="20"/>
                <w:szCs w:val="20"/>
                <w:color w:val="auto"/>
              </w:rPr>
            </w:pPr>
            <w:r>
              <w:rPr>
                <w:rFonts w:ascii="Arial" w:cs="Arial" w:eastAsia="Arial" w:hAnsi="Arial"/>
                <w:sz w:val="17"/>
                <w:szCs w:val="17"/>
                <w:color w:val="auto"/>
              </w:rPr>
              <w:t>Accelerated filer</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2260" w:type="dxa"/>
            <w:vAlign w:val="bottom"/>
          </w:tcPr>
          <w:p>
            <w:pPr>
              <w:spacing w:after="0" w:line="194" w:lineRule="exact"/>
              <w:rPr>
                <w:sz w:val="20"/>
                <w:szCs w:val="20"/>
                <w:color w:val="auto"/>
              </w:rPr>
            </w:pPr>
            <w:r>
              <w:rPr>
                <w:rFonts w:ascii="Arial" w:cs="Arial" w:eastAsia="Arial" w:hAnsi="Arial"/>
                <w:sz w:val="17"/>
                <w:szCs w:val="17"/>
                <w:color w:val="auto"/>
              </w:rPr>
              <w:t>Non-accelerated filer</w:t>
            </w:r>
          </w:p>
        </w:tc>
        <w:tc>
          <w:tcPr>
            <w:tcW w:w="2120" w:type="dxa"/>
            <w:vAlign w:val="bottom"/>
          </w:tcPr>
          <w:p>
            <w:pPr>
              <w:ind w:left="560"/>
              <w:spacing w:after="0" w:line="194" w:lineRule="exact"/>
              <w:rPr>
                <w:sz w:val="20"/>
                <w:szCs w:val="20"/>
                <w:color w:val="auto"/>
              </w:rPr>
            </w:pPr>
            <w:r>
              <w:rPr>
                <w:rFonts w:ascii="Arial" w:cs="Arial" w:eastAsia="Arial" w:hAnsi="Arial"/>
                <w:sz w:val="17"/>
                <w:szCs w:val="17"/>
                <w:color w:val="auto"/>
              </w:rPr>
              <w:t>[  ]</w:t>
            </w:r>
          </w:p>
        </w:tc>
        <w:tc>
          <w:tcPr>
            <w:tcW w:w="4000" w:type="dxa"/>
            <w:vAlign w:val="bottom"/>
          </w:tcPr>
          <w:p>
            <w:pPr>
              <w:ind w:left="1260"/>
              <w:spacing w:after="0" w:line="194" w:lineRule="exact"/>
              <w:rPr>
                <w:sz w:val="20"/>
                <w:szCs w:val="20"/>
                <w:color w:val="auto"/>
              </w:rPr>
            </w:pPr>
            <w:r>
              <w:rPr>
                <w:rFonts w:ascii="Arial" w:cs="Arial" w:eastAsia="Arial" w:hAnsi="Arial"/>
                <w:sz w:val="17"/>
                <w:szCs w:val="17"/>
                <w:color w:val="auto"/>
              </w:rPr>
              <w:t>Smaller reporting company</w:t>
            </w:r>
          </w:p>
        </w:tc>
        <w:tc>
          <w:tcPr>
            <w:tcW w:w="8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206"/>
        </w:trPr>
        <w:tc>
          <w:tcPr>
            <w:tcW w:w="2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0" w:type="dxa"/>
            <w:vAlign w:val="bottom"/>
          </w:tcPr>
          <w:p>
            <w:pPr>
              <w:ind w:left="126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4" w:lineRule="exact"/>
        <w:rPr>
          <w:sz w:val="24"/>
          <w:szCs w:val="24"/>
          <w:color w:val="auto"/>
        </w:rPr>
      </w:pPr>
    </w:p>
    <w:p>
      <w:pPr>
        <w:ind w:right="200"/>
        <w:spacing w:after="0" w:line="25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4" w:lineRule="exact"/>
        <w:rPr>
          <w:sz w:val="24"/>
          <w:szCs w:val="24"/>
          <w:color w:val="auto"/>
        </w:rPr>
      </w:pPr>
    </w:p>
    <w:p>
      <w:pPr>
        <w:spacing w:after="0"/>
        <w:tabs>
          <w:tab w:leader="none" w:pos="92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w:t>
      </w:r>
      <w:r>
        <w:rPr>
          <w:sz w:val="20"/>
          <w:szCs w:val="20"/>
          <w:color w:val="auto"/>
        </w:rPr>
        <w:tab/>
      </w:r>
      <w:r>
        <w:rPr>
          <w:rFonts w:ascii="Arial" w:cs="Arial" w:eastAsia="Arial" w:hAnsi="Arial"/>
          <w:sz w:val="16"/>
          <w:szCs w:val="16"/>
          <w:color w:val="auto"/>
        </w:rPr>
        <w:t>] No [ √ ]</w:t>
      </w:r>
    </w:p>
    <w:p>
      <w:pPr>
        <w:spacing w:after="0" w:line="192"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29.0 million shares of Class A Common Stock and 3.2 million shares of Class B Common Stock outstanding as of July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529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3302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jc w:val="center"/>
        <w:ind w:left="620"/>
        <w:spacing w:after="0"/>
        <w:rPr>
          <w:sz w:val="20"/>
          <w:szCs w:val="20"/>
          <w:color w:val="auto"/>
        </w:rPr>
      </w:pPr>
      <w:r>
        <w:rPr>
          <w:rFonts w:ascii="Arial" w:cs="Arial" w:eastAsia="Arial" w:hAnsi="Arial"/>
          <w:sz w:val="17"/>
          <w:szCs w:val="17"/>
          <w:b w:val="1"/>
          <w:bCs w:val="1"/>
          <w:color w:val="auto"/>
        </w:rPr>
        <w:t>ALBANY INTERNATIONAL CORP.</w:t>
      </w:r>
    </w:p>
    <w:p>
      <w:pPr>
        <w:spacing w:after="0" w:line="1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TABLE OF CONTENTS</w:t>
      </w: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80" w:type="dxa"/>
            <w:vAlign w:val="bottom"/>
          </w:tcPr>
          <w:p>
            <w:pPr>
              <w:ind w:left="1980"/>
              <w:spacing w:after="0"/>
              <w:rPr>
                <w:sz w:val="20"/>
                <w:szCs w:val="20"/>
                <w:color w:val="auto"/>
              </w:rPr>
            </w:pPr>
            <w:r>
              <w:rPr>
                <w:rFonts w:ascii="Arial" w:cs="Arial" w:eastAsia="Arial" w:hAnsi="Arial"/>
                <w:sz w:val="17"/>
                <w:szCs w:val="17"/>
                <w:color w:val="auto"/>
                <w:w w:val="95"/>
              </w:rPr>
              <w:t>Page No.</w:t>
            </w:r>
          </w:p>
        </w:tc>
        <w:tc>
          <w:tcPr>
            <w:tcW w:w="0" w:type="dxa"/>
            <w:vAlign w:val="bottom"/>
          </w:tcPr>
          <w:p>
            <w:pPr>
              <w:spacing w:after="0"/>
              <w:rPr>
                <w:sz w:val="1"/>
                <w:szCs w:val="1"/>
                <w:color w:val="auto"/>
              </w:rPr>
            </w:pPr>
          </w:p>
        </w:tc>
      </w:tr>
      <w:tr>
        <w:trPr>
          <w:trHeight w:val="387"/>
        </w:trPr>
        <w:tc>
          <w:tcPr>
            <w:tcW w:w="8200" w:type="dxa"/>
            <w:vAlign w:val="bottom"/>
            <w:gridSpan w:val="20"/>
          </w:tcPr>
          <w:p>
            <w:pPr>
              <w:spacing w:after="0"/>
              <w:rPr>
                <w:sz w:val="20"/>
                <w:szCs w:val="20"/>
                <w:color w:val="auto"/>
              </w:rPr>
            </w:pPr>
            <w:r>
              <w:rPr>
                <w:rFonts w:ascii="Arial" w:cs="Arial" w:eastAsia="Arial" w:hAnsi="Arial"/>
                <w:sz w:val="17"/>
                <w:szCs w:val="17"/>
                <w:b w:val="1"/>
                <w:bCs w:val="1"/>
                <w:color w:val="auto"/>
              </w:rPr>
              <w:t>Part I Financial information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8"/>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Item 1. Financial Statements</w:t>
              </w:r>
            </w:hyperlink>
          </w:p>
        </w:tc>
        <w:tc>
          <w:tcPr>
            <w:tcW w:w="2680" w:type="dxa"/>
            <w:vAlign w:val="bottom"/>
          </w:tcPr>
          <w:p>
            <w:pPr>
              <w:jc w:val="center"/>
              <w:ind w:left="1974"/>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80" w:type="dxa"/>
            <w:vAlign w:val="bottom"/>
            <w:vMerge w:val="restart"/>
          </w:tcPr>
          <w:p>
            <w:pPr>
              <w:jc w:val="center"/>
              <w:ind w:left="1974"/>
              <w:spacing w:after="0" w:line="194" w:lineRule="exact"/>
              <w:rPr>
                <w:sz w:val="20"/>
                <w:szCs w:val="20"/>
                <w:color w:val="auto"/>
              </w:rPr>
            </w:pPr>
            <w:r>
              <w:rPr>
                <w:rFonts w:ascii="Arial" w:cs="Arial" w:eastAsia="Arial" w:hAnsi="Arial"/>
                <w:sz w:val="17"/>
                <w:szCs w:val="17"/>
                <w:color w:val="auto"/>
              </w:rPr>
              <w:t>3</w:t>
            </w: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17"/>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Consolidated statements of income – three and six months ended June 30, 2018 and 2017</w:t>
              </w:r>
            </w:hyperlink>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80" w:type="dxa"/>
            <w:vAlign w:val="bottom"/>
            <w:vMerge w:val="restart"/>
          </w:tcPr>
          <w:p>
            <w:pPr>
              <w:jc w:val="center"/>
              <w:ind w:left="1974"/>
              <w:spacing w:after="0" w:line="194" w:lineRule="exact"/>
              <w:rPr>
                <w:sz w:val="20"/>
                <w:szCs w:val="20"/>
                <w:color w:val="auto"/>
              </w:rPr>
            </w:pPr>
            <w:r>
              <w:rPr>
                <w:rFonts w:ascii="Arial" w:cs="Arial" w:eastAsia="Arial" w:hAnsi="Arial"/>
                <w:sz w:val="17"/>
                <w:szCs w:val="17"/>
                <w:color w:val="auto"/>
              </w:rPr>
              <w:t>4</w:t>
            </w: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tcBorders>
              <w:bottom w:val="single" w:sz="8" w:color="0000EE"/>
            </w:tcBorders>
            <w:gridSpan w:val="17"/>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Consolidated statements of comprehensive income/(loss) – three and six months ended June 30, 2018 and 2017</w:t>
              </w:r>
            </w:hyperlink>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00" w:type="dxa"/>
            <w:vAlign w:val="bottom"/>
            <w:tcBorders>
              <w:bottom w:val="single" w:sz="8" w:color="0000EE"/>
            </w:tcBorders>
            <w:gridSpan w:val="13"/>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Consolidated balance sheets as of June 30, 2018 and December 31, 2017</w:t>
              </w:r>
            </w:hyperlink>
          </w:p>
        </w:tc>
        <w:tc>
          <w:tcPr>
            <w:tcW w:w="2620" w:type="dxa"/>
            <w:vAlign w:val="bottom"/>
            <w:gridSpan w:val="4"/>
          </w:tcPr>
          <w:p>
            <w:pPr>
              <w:spacing w:after="0"/>
              <w:rPr>
                <w:sz w:val="15"/>
                <w:szCs w:val="15"/>
                <w:color w:val="auto"/>
              </w:rPr>
            </w:pPr>
          </w:p>
        </w:tc>
        <w:tc>
          <w:tcPr>
            <w:tcW w:w="2680" w:type="dxa"/>
            <w:vAlign w:val="bottom"/>
          </w:tcPr>
          <w:p>
            <w:pPr>
              <w:jc w:val="center"/>
              <w:ind w:left="1974"/>
              <w:spacing w:after="0" w:line="174"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40" w:type="dxa"/>
            <w:vAlign w:val="bottom"/>
            <w:tcBorders>
              <w:bottom w:val="single" w:sz="8" w:color="0000EE"/>
            </w:tcBorders>
            <w:gridSpan w:val="15"/>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Consolidated statements of cash flows – three and six months ended June 30, 2018 and 2017</w:t>
              </w:r>
            </w:hyperlink>
          </w:p>
        </w:tc>
        <w:tc>
          <w:tcPr>
            <w:tcW w:w="1280" w:type="dxa"/>
            <w:vAlign w:val="bottom"/>
            <w:gridSpan w:val="2"/>
          </w:tcPr>
          <w:p>
            <w:pPr>
              <w:spacing w:after="0"/>
              <w:rPr>
                <w:sz w:val="15"/>
                <w:szCs w:val="15"/>
                <w:color w:val="auto"/>
              </w:rPr>
            </w:pPr>
          </w:p>
        </w:tc>
        <w:tc>
          <w:tcPr>
            <w:tcW w:w="2680" w:type="dxa"/>
            <w:vAlign w:val="bottom"/>
          </w:tcPr>
          <w:p>
            <w:pPr>
              <w:jc w:val="center"/>
              <w:ind w:left="1974"/>
              <w:spacing w:after="0" w:line="174"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Borders>
              <w:bottom w:val="single" w:sz="8" w:color="0000EE"/>
            </w:tcBorders>
            <w:gridSpan w:val="10"/>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Notes to consolidated financial statements</w:t>
              </w:r>
            </w:hyperlink>
          </w:p>
        </w:tc>
        <w:tc>
          <w:tcPr>
            <w:tcW w:w="4820" w:type="dxa"/>
            <w:vAlign w:val="bottom"/>
            <w:gridSpan w:val="7"/>
          </w:tcPr>
          <w:p>
            <w:pPr>
              <w:spacing w:after="0"/>
              <w:rPr>
                <w:sz w:val="15"/>
                <w:szCs w:val="15"/>
                <w:color w:val="auto"/>
              </w:rPr>
            </w:pPr>
          </w:p>
        </w:tc>
        <w:tc>
          <w:tcPr>
            <w:tcW w:w="2680" w:type="dxa"/>
            <w:vAlign w:val="bottom"/>
          </w:tcPr>
          <w:p>
            <w:pPr>
              <w:jc w:val="center"/>
              <w:ind w:left="1974"/>
              <w:spacing w:after="0" w:line="17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20" w:type="dxa"/>
            <w:vAlign w:val="bottom"/>
            <w:tcBorders>
              <w:bottom w:val="single" w:sz="8" w:color="0000EE"/>
            </w:tcBorders>
            <w:gridSpan w:val="17"/>
          </w:tcPr>
          <w:p>
            <w:pPr>
              <w:spacing w:after="0"/>
              <w:rPr>
                <w:rFonts w:ascii="Arial" w:cs="Arial" w:eastAsia="Arial" w:hAnsi="Arial"/>
                <w:sz w:val="15"/>
                <w:szCs w:val="15"/>
                <w:color w:val="0000EE"/>
              </w:rPr>
            </w:pPr>
            <w:hyperlink w:anchor="page40">
              <w:r>
                <w:rPr>
                  <w:rFonts w:ascii="Arial" w:cs="Arial" w:eastAsia="Arial" w:hAnsi="Arial"/>
                  <w:sz w:val="15"/>
                  <w:szCs w:val="15"/>
                  <w:color w:val="0000EE"/>
                </w:rPr>
                <w:t>Item 2. Management’s Discussion and Analysis of Financial Condition and Results of Operations</w:t>
              </w:r>
            </w:hyperlink>
          </w:p>
        </w:tc>
        <w:tc>
          <w:tcPr>
            <w:tcW w:w="1240" w:type="dxa"/>
            <w:vAlign w:val="bottom"/>
          </w:tcPr>
          <w:p>
            <w:pPr>
              <w:spacing w:after="0"/>
              <w:rPr>
                <w:sz w:val="15"/>
                <w:szCs w:val="15"/>
                <w:color w:val="auto"/>
              </w:rPr>
            </w:pPr>
          </w:p>
        </w:tc>
        <w:tc>
          <w:tcPr>
            <w:tcW w:w="2680" w:type="dxa"/>
            <w:vAlign w:val="bottom"/>
          </w:tcPr>
          <w:p>
            <w:pPr>
              <w:jc w:val="center"/>
              <w:ind w:left="1994"/>
              <w:spacing w:after="0" w:line="174"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bottom w:val="single" w:sz="8" w:color="0000EE"/>
            </w:tcBorders>
            <w:gridSpan w:val="7"/>
          </w:tcPr>
          <w:p>
            <w:pPr>
              <w:spacing w:after="0" w:line="161" w:lineRule="exact"/>
              <w:rPr>
                <w:rFonts w:ascii="Arial" w:cs="Arial" w:eastAsia="Arial" w:hAnsi="Arial"/>
                <w:sz w:val="15"/>
                <w:szCs w:val="15"/>
                <w:color w:val="0000EE"/>
              </w:rPr>
            </w:pPr>
            <w:hyperlink w:anchor="page40">
              <w:r>
                <w:rPr>
                  <w:rFonts w:ascii="Arial" w:cs="Arial" w:eastAsia="Arial" w:hAnsi="Arial"/>
                  <w:sz w:val="15"/>
                  <w:szCs w:val="15"/>
                  <w:color w:val="0000EE"/>
                </w:rPr>
                <w:t>Forward-looking statements</w:t>
              </w:r>
            </w:hyperlink>
          </w:p>
        </w:tc>
        <w:tc>
          <w:tcPr>
            <w:tcW w:w="5900" w:type="dxa"/>
            <w:vAlign w:val="bottom"/>
            <w:gridSpan w:val="11"/>
          </w:tcPr>
          <w:p>
            <w:pPr>
              <w:spacing w:after="0"/>
              <w:rPr>
                <w:sz w:val="13"/>
                <w:szCs w:val="13"/>
                <w:color w:val="auto"/>
              </w:rPr>
            </w:pPr>
          </w:p>
        </w:tc>
        <w:tc>
          <w:tcPr>
            <w:tcW w:w="2680" w:type="dxa"/>
            <w:vAlign w:val="bottom"/>
            <w:vMerge w:val="restart"/>
          </w:tcPr>
          <w:p>
            <w:pPr>
              <w:jc w:val="center"/>
              <w:ind w:left="1994"/>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bottom w:val="single" w:sz="8" w:color="0000EE"/>
            </w:tcBorders>
            <w:gridSpan w:val="12"/>
          </w:tcPr>
          <w:p>
            <w:pPr>
              <w:spacing w:after="0" w:line="161" w:lineRule="exact"/>
              <w:rPr>
                <w:rFonts w:ascii="Arial" w:cs="Arial" w:eastAsia="Arial" w:hAnsi="Arial"/>
                <w:sz w:val="15"/>
                <w:szCs w:val="15"/>
                <w:color w:val="0000EE"/>
              </w:rPr>
            </w:pPr>
            <w:hyperlink w:anchor="page62">
              <w:r>
                <w:rPr>
                  <w:rFonts w:ascii="Arial" w:cs="Arial" w:eastAsia="Arial" w:hAnsi="Arial"/>
                  <w:sz w:val="15"/>
                  <w:szCs w:val="15"/>
                  <w:color w:val="0000EE"/>
                </w:rPr>
                <w:t>Item 3. Quantitative and Qualitative Disclosures about Market Risk</w:t>
              </w:r>
            </w:hyperlink>
          </w:p>
        </w:tc>
        <w:tc>
          <w:tcPr>
            <w:tcW w:w="3300" w:type="dxa"/>
            <w:vAlign w:val="bottom"/>
            <w:gridSpan w:val="6"/>
          </w:tcPr>
          <w:p>
            <w:pPr>
              <w:spacing w:after="0"/>
              <w:rPr>
                <w:sz w:val="13"/>
                <w:szCs w:val="13"/>
                <w:color w:val="auto"/>
              </w:rPr>
            </w:pP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bottom w:val="single" w:sz="8" w:color="0000EE"/>
            </w:tcBorders>
            <w:gridSpan w:val="9"/>
          </w:tcPr>
          <w:p>
            <w:pPr>
              <w:spacing w:after="0"/>
              <w:rPr>
                <w:rFonts w:ascii="Arial" w:cs="Arial" w:eastAsia="Arial" w:hAnsi="Arial"/>
                <w:sz w:val="15"/>
                <w:szCs w:val="15"/>
                <w:color w:val="0000EE"/>
              </w:rPr>
            </w:pPr>
            <w:hyperlink w:anchor="page62">
              <w:r>
                <w:rPr>
                  <w:rFonts w:ascii="Arial" w:cs="Arial" w:eastAsia="Arial" w:hAnsi="Arial"/>
                  <w:sz w:val="15"/>
                  <w:szCs w:val="15"/>
                  <w:color w:val="0000EE"/>
                </w:rPr>
                <w:t>Item 4. Controls and Procedures</w:t>
              </w:r>
            </w:hyperlink>
          </w:p>
        </w:tc>
        <w:tc>
          <w:tcPr>
            <w:tcW w:w="5620" w:type="dxa"/>
            <w:vAlign w:val="bottom"/>
            <w:gridSpan w:val="9"/>
          </w:tcPr>
          <w:p>
            <w:pPr>
              <w:spacing w:after="0"/>
              <w:rPr>
                <w:sz w:val="15"/>
                <w:szCs w:val="15"/>
                <w:color w:val="auto"/>
              </w:rPr>
            </w:pPr>
          </w:p>
        </w:tc>
        <w:tc>
          <w:tcPr>
            <w:tcW w:w="2680" w:type="dxa"/>
            <w:vAlign w:val="bottom"/>
          </w:tcPr>
          <w:p>
            <w:pPr>
              <w:jc w:val="center"/>
              <w:ind w:left="1994"/>
              <w:spacing w:after="0" w:line="174"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367"/>
        </w:trPr>
        <w:tc>
          <w:tcPr>
            <w:tcW w:w="1980" w:type="dxa"/>
            <w:vAlign w:val="bottom"/>
            <w:tcBorders>
              <w:bottom w:val="single" w:sz="8" w:color="0000EE"/>
            </w:tcBorders>
            <w:gridSpan w:val="6"/>
          </w:tcPr>
          <w:p>
            <w:pPr>
              <w:spacing w:after="0"/>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Part II Other Information</w:t>
              </w:r>
            </w:hyperlink>
          </w:p>
        </w:tc>
        <w:tc>
          <w:tcPr>
            <w:tcW w:w="6220" w:type="dxa"/>
            <w:vAlign w:val="bottom"/>
            <w:gridSpan w:val="14"/>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20" w:type="dxa"/>
            <w:vAlign w:val="bottom"/>
          </w:tcPr>
          <w:p>
            <w:pPr>
              <w:spacing w:after="0"/>
              <w:rPr>
                <w:sz w:val="24"/>
                <w:szCs w:val="24"/>
                <w:color w:val="auto"/>
              </w:rPr>
            </w:pPr>
          </w:p>
        </w:tc>
        <w:tc>
          <w:tcPr>
            <w:tcW w:w="7880" w:type="dxa"/>
            <w:vAlign w:val="bottom"/>
            <w:gridSpan w:val="19"/>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Item 1. Legal Proceedings</w:t>
              </w:r>
            </w:hyperlink>
          </w:p>
        </w:tc>
        <w:tc>
          <w:tcPr>
            <w:tcW w:w="2680" w:type="dxa"/>
            <w:vAlign w:val="bottom"/>
          </w:tcPr>
          <w:p>
            <w:pPr>
              <w:jc w:val="center"/>
              <w:ind w:left="1994"/>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780" w:type="dxa"/>
            <w:vAlign w:val="bottom"/>
            <w:tcBorders>
              <w:top w:val="single" w:sz="8" w:color="0000EE"/>
            </w:tcBorders>
            <w:gridSpan w:val="6"/>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Item 1A. Risk Factors</w:t>
              </w:r>
            </w:hyperlink>
          </w:p>
        </w:tc>
        <w:tc>
          <w:tcPr>
            <w:tcW w:w="6080" w:type="dxa"/>
            <w:vAlign w:val="bottom"/>
            <w:gridSpan w:val="12"/>
          </w:tcPr>
          <w:p>
            <w:pPr>
              <w:spacing w:after="0"/>
              <w:rPr>
                <w:sz w:val="15"/>
                <w:szCs w:val="15"/>
                <w:color w:val="auto"/>
              </w:rPr>
            </w:pPr>
          </w:p>
        </w:tc>
        <w:tc>
          <w:tcPr>
            <w:tcW w:w="2680" w:type="dxa"/>
            <w:vAlign w:val="bottom"/>
          </w:tcPr>
          <w:p>
            <w:pPr>
              <w:jc w:val="center"/>
              <w:ind w:left="1994"/>
              <w:spacing w:after="0" w:line="174"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680" w:type="dxa"/>
            <w:vAlign w:val="bottom"/>
            <w:vMerge w:val="restart"/>
          </w:tcPr>
          <w:p>
            <w:pPr>
              <w:jc w:val="center"/>
              <w:ind w:left="1994"/>
              <w:spacing w:after="0" w:line="194" w:lineRule="exact"/>
              <w:rPr>
                <w:sz w:val="20"/>
                <w:szCs w:val="20"/>
                <w:color w:val="auto"/>
              </w:rPr>
            </w:pPr>
            <w:r>
              <w:rPr>
                <w:rFonts w:ascii="Arial" w:cs="Arial" w:eastAsia="Arial" w:hAnsi="Arial"/>
                <w:sz w:val="17"/>
                <w:szCs w:val="17"/>
                <w:color w:val="auto"/>
              </w:rPr>
              <w:t>63</w:t>
            </w: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bottom w:val="single" w:sz="8" w:color="0000EE"/>
            </w:tcBorders>
            <w:gridSpan w:val="13"/>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Item 2. Unregistered Sales of Equity Securities and Use of Proceeds</w:t>
              </w:r>
            </w:hyperlink>
          </w:p>
        </w:tc>
        <w:tc>
          <w:tcPr>
            <w:tcW w:w="3160" w:type="dxa"/>
            <w:vAlign w:val="bottom"/>
            <w:gridSpan w:val="5"/>
          </w:tcPr>
          <w:p>
            <w:pPr>
              <w:spacing w:after="0"/>
              <w:rPr>
                <w:sz w:val="15"/>
                <w:szCs w:val="15"/>
                <w:color w:val="auto"/>
              </w:rPr>
            </w:pP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Borders>
              <w:bottom w:val="single" w:sz="8" w:color="0000EE"/>
            </w:tcBorders>
            <w:gridSpan w:val="10"/>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Item 3. Defaults upon Senior Securities</w:t>
              </w:r>
            </w:hyperlink>
          </w:p>
        </w:tc>
        <w:tc>
          <w:tcPr>
            <w:tcW w:w="5160" w:type="dxa"/>
            <w:vAlign w:val="bottom"/>
            <w:gridSpan w:val="8"/>
          </w:tcPr>
          <w:p>
            <w:pPr>
              <w:spacing w:after="0"/>
              <w:rPr>
                <w:sz w:val="15"/>
                <w:szCs w:val="15"/>
                <w:color w:val="auto"/>
              </w:rPr>
            </w:pPr>
          </w:p>
        </w:tc>
        <w:tc>
          <w:tcPr>
            <w:tcW w:w="2680" w:type="dxa"/>
            <w:vAlign w:val="bottom"/>
          </w:tcPr>
          <w:p>
            <w:pPr>
              <w:jc w:val="center"/>
              <w:ind w:left="1994"/>
              <w:spacing w:after="0" w:line="174"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gridSpan w:val="18"/>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Item 4. Mine Safety Disclosures</w:t>
              </w:r>
            </w:hyperlink>
          </w:p>
        </w:tc>
        <w:tc>
          <w:tcPr>
            <w:tcW w:w="2680" w:type="dxa"/>
            <w:vAlign w:val="bottom"/>
          </w:tcPr>
          <w:p>
            <w:pPr>
              <w:jc w:val="center"/>
              <w:ind w:left="1994"/>
              <w:spacing w:after="0" w:line="174"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Borders>
              <w:top w:val="single" w:sz="8" w:color="0000EE"/>
            </w:tcBorders>
            <w:gridSpan w:val="8"/>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Item 5. Other Information</w:t>
              </w:r>
            </w:hyperlink>
          </w:p>
        </w:tc>
        <w:tc>
          <w:tcPr>
            <w:tcW w:w="5680" w:type="dxa"/>
            <w:vAlign w:val="bottom"/>
            <w:gridSpan w:val="10"/>
          </w:tcPr>
          <w:p>
            <w:pPr>
              <w:spacing w:after="0"/>
              <w:rPr>
                <w:sz w:val="15"/>
                <w:szCs w:val="15"/>
                <w:color w:val="auto"/>
              </w:rPr>
            </w:pPr>
          </w:p>
        </w:tc>
        <w:tc>
          <w:tcPr>
            <w:tcW w:w="2680" w:type="dxa"/>
            <w:vAlign w:val="bottom"/>
          </w:tcPr>
          <w:p>
            <w:pPr>
              <w:jc w:val="center"/>
              <w:ind w:left="1994"/>
              <w:spacing w:after="0" w:line="174"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Borders>
              <w:top w:val="single" w:sz="8" w:color="0000EE"/>
            </w:tcBorders>
            <w:gridSpan w:val="5"/>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Item 6. Exhibits</w:t>
              </w:r>
            </w:hyperlink>
          </w:p>
        </w:tc>
        <w:tc>
          <w:tcPr>
            <w:tcW w:w="6140" w:type="dxa"/>
            <w:vAlign w:val="bottom"/>
            <w:gridSpan w:val="13"/>
          </w:tcPr>
          <w:p>
            <w:pPr>
              <w:spacing w:after="0"/>
              <w:rPr>
                <w:sz w:val="15"/>
                <w:szCs w:val="15"/>
                <w:color w:val="auto"/>
              </w:rPr>
            </w:pPr>
          </w:p>
        </w:tc>
        <w:tc>
          <w:tcPr>
            <w:tcW w:w="2680" w:type="dxa"/>
            <w:vAlign w:val="bottom"/>
          </w:tcPr>
          <w:p>
            <w:pPr>
              <w:jc w:val="center"/>
              <w:ind w:left="1994"/>
              <w:spacing w:after="0" w:line="174"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15875</wp:posOffset>
            </wp:positionV>
            <wp:extent cx="725297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0880"/>
          </w:cols>
          <w:pgMar w:left="340" w:top="1162"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120" w:type="dxa"/>
            <w:vAlign w:val="bottom"/>
            <w:gridSpan w:val="7"/>
          </w:tcPr>
          <w:p>
            <w:pPr>
              <w:spacing w:after="0"/>
              <w:rPr>
                <w:sz w:val="20"/>
                <w:szCs w:val="20"/>
                <w:color w:val="auto"/>
              </w:rPr>
            </w:pPr>
            <w:r>
              <w:rPr>
                <w:rFonts w:ascii="Arial" w:cs="Arial" w:eastAsia="Arial" w:hAnsi="Arial"/>
                <w:sz w:val="17"/>
                <w:szCs w:val="17"/>
                <w:b w:val="1"/>
                <w:bCs w:val="1"/>
                <w:color w:val="auto"/>
              </w:rPr>
              <w:t>ITEM 1. FINANCIAL STATEMENTS</w:t>
            </w:r>
          </w:p>
        </w:tc>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9"/>
              </w:rPr>
              <w:t>ALBANY INTERNATIONAL CORP.</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jc w:val="center"/>
              <w:spacing w:after="0" w:line="194" w:lineRule="exact"/>
              <w:rPr>
                <w:sz w:val="20"/>
                <w:szCs w:val="20"/>
                <w:color w:val="auto"/>
              </w:rPr>
            </w:pPr>
            <w:r>
              <w:rPr>
                <w:rFonts w:ascii="Arial" w:cs="Arial" w:eastAsia="Arial" w:hAnsi="Arial"/>
                <w:sz w:val="17"/>
                <w:szCs w:val="17"/>
                <w:color w:val="auto"/>
                <w:w w:val="99"/>
              </w:rPr>
              <w:t>CONSOLIDATED STATEMENTS OF INCOME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jc w:val="center"/>
              <w:spacing w:after="0" w:line="194" w:lineRule="exact"/>
              <w:rPr>
                <w:sz w:val="20"/>
                <w:szCs w:val="20"/>
                <w:color w:val="auto"/>
              </w:rPr>
            </w:pPr>
            <w:r>
              <w:rPr>
                <w:rFonts w:ascii="Arial" w:cs="Arial" w:eastAsia="Arial" w:hAnsi="Arial"/>
                <w:sz w:val="17"/>
                <w:szCs w:val="17"/>
                <w:color w:val="auto"/>
              </w:rPr>
              <w:t>(in thousands, except per share amounts)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6"/>
            <w:vMerge w:val="restart"/>
          </w:tcPr>
          <w:p>
            <w:pPr>
              <w:jc w:val="center"/>
              <w:ind w:right="20"/>
              <w:spacing w:after="0"/>
              <w:rPr>
                <w:sz w:val="20"/>
                <w:szCs w:val="20"/>
                <w:color w:val="auto"/>
              </w:rPr>
            </w:pPr>
            <w:r>
              <w:rPr>
                <w:rFonts w:ascii="Arial" w:cs="Arial" w:eastAsia="Arial" w:hAnsi="Arial"/>
                <w:sz w:val="17"/>
                <w:szCs w:val="17"/>
                <w:color w:val="auto"/>
              </w:rPr>
              <w:t>Three Months Ended</w:t>
            </w:r>
          </w:p>
        </w:tc>
        <w:tc>
          <w:tcPr>
            <w:tcW w:w="5260" w:type="dxa"/>
            <w:vAlign w:val="bottom"/>
          </w:tcPr>
          <w:p>
            <w:pPr>
              <w:jc w:val="center"/>
              <w:spacing w:after="0"/>
              <w:rPr>
                <w:sz w:val="20"/>
                <w:szCs w:val="20"/>
                <w:color w:val="auto"/>
              </w:rPr>
            </w:pPr>
            <w:r>
              <w:rPr>
                <w:rFonts w:ascii="Arial" w:cs="Arial" w:eastAsia="Arial" w:hAnsi="Arial"/>
                <w:sz w:val="17"/>
                <w:szCs w:val="17"/>
                <w:color w:val="auto"/>
                <w:w w:val="99"/>
              </w:rPr>
              <w:t>(unaudited)</w:t>
            </w:r>
          </w:p>
        </w:tc>
        <w:tc>
          <w:tcPr>
            <w:tcW w:w="3040" w:type="dxa"/>
            <w:vAlign w:val="bottom"/>
            <w:gridSpan w:val="6"/>
            <w:vMerge w:val="restart"/>
          </w:tcPr>
          <w:p>
            <w:pPr>
              <w:jc w:val="center"/>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gridSpan w:val="6"/>
            <w:vMerge w:val="continue"/>
          </w:tcPr>
          <w:p>
            <w:pPr>
              <w:spacing w:after="0"/>
              <w:rPr>
                <w:sz w:val="15"/>
                <w:szCs w:val="15"/>
                <w:color w:val="auto"/>
              </w:rPr>
            </w:pPr>
          </w:p>
        </w:tc>
        <w:tc>
          <w:tcPr>
            <w:tcW w:w="52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gridSpan w:val="4"/>
          </w:tcPr>
          <w:p>
            <w:pPr>
              <w:jc w:val="center"/>
              <w:ind w:left="934"/>
              <w:spacing w:after="0"/>
              <w:rPr>
                <w:sz w:val="20"/>
                <w:szCs w:val="20"/>
                <w:color w:val="auto"/>
              </w:rPr>
            </w:pPr>
            <w:r>
              <w:rPr>
                <w:rFonts w:ascii="Arial" w:cs="Arial" w:eastAsia="Arial" w:hAnsi="Arial"/>
                <w:sz w:val="17"/>
                <w:szCs w:val="17"/>
                <w:color w:val="auto"/>
              </w:rPr>
              <w:t>June 30,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20" w:type="dxa"/>
            <w:vAlign w:val="bottom"/>
            <w:gridSpan w:val="4"/>
          </w:tcPr>
          <w:p>
            <w:pPr>
              <w:jc w:val="center"/>
              <w:ind w:left="954"/>
              <w:spacing w:after="0"/>
              <w:rPr>
                <w:sz w:val="20"/>
                <w:szCs w:val="20"/>
                <w:color w:val="auto"/>
              </w:rPr>
            </w:pPr>
            <w:r>
              <w:rPr>
                <w:rFonts w:ascii="Arial" w:cs="Arial" w:eastAsia="Arial" w:hAnsi="Arial"/>
                <w:sz w:val="17"/>
                <w:szCs w:val="17"/>
                <w:color w:val="auto"/>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60" w:type="dxa"/>
            <w:vAlign w:val="bottom"/>
            <w:gridSpan w:val="2"/>
          </w:tcPr>
          <w:p>
            <w:pPr>
              <w:jc w:val="right"/>
              <w:ind w:right="294"/>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29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29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6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$256,225</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$215,571</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Net sales</w:t>
            </w:r>
          </w:p>
        </w:tc>
        <w:tc>
          <w:tcPr>
            <w:tcW w:w="13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$486,206</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$414,848</w:t>
            </w:r>
          </w:p>
        </w:tc>
        <w:tc>
          <w:tcPr>
            <w:tcW w:w="0" w:type="dxa"/>
            <w:vAlign w:val="bottom"/>
          </w:tcPr>
          <w:p>
            <w:pPr>
              <w:spacing w:after="0"/>
              <w:rPr>
                <w:sz w:val="1"/>
                <w:szCs w:val="1"/>
                <w:color w:val="auto"/>
              </w:rPr>
            </w:pPr>
          </w:p>
        </w:tc>
      </w:tr>
      <w:tr>
        <w:trPr>
          <w:trHeight w:val="206"/>
        </w:trPr>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164,047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152,393</w:t>
            </w:r>
          </w:p>
        </w:tc>
        <w:tc>
          <w:tcPr>
            <w:tcW w:w="5260" w:type="dxa"/>
            <w:vAlign w:val="bottom"/>
          </w:tcPr>
          <w:p>
            <w:pPr>
              <w:ind w:left="420"/>
              <w:spacing w:after="0"/>
              <w:rPr>
                <w:sz w:val="20"/>
                <w:szCs w:val="20"/>
                <w:color w:val="auto"/>
              </w:rPr>
            </w:pPr>
            <w:r>
              <w:rPr>
                <w:rFonts w:ascii="Arial" w:cs="Arial" w:eastAsia="Arial" w:hAnsi="Arial"/>
                <w:sz w:val="17"/>
                <w:szCs w:val="17"/>
                <w:color w:val="auto"/>
              </w:rPr>
              <w:t>Cost of goods sold</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312,377</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275,642</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92,178</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63,178</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Gross profit</w:t>
            </w:r>
          </w:p>
        </w:tc>
        <w:tc>
          <w:tcPr>
            <w:tcW w:w="13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173,829</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139,206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36,707</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41,314</w:t>
            </w:r>
          </w:p>
        </w:tc>
        <w:tc>
          <w:tcPr>
            <w:tcW w:w="5260" w:type="dxa"/>
            <w:vAlign w:val="bottom"/>
          </w:tcPr>
          <w:p>
            <w:pPr>
              <w:ind w:left="480"/>
              <w:spacing w:after="0" w:line="194" w:lineRule="exact"/>
              <w:rPr>
                <w:sz w:val="20"/>
                <w:szCs w:val="20"/>
                <w:color w:val="auto"/>
              </w:rPr>
            </w:pPr>
            <w:r>
              <w:rPr>
                <w:rFonts w:ascii="Arial" w:cs="Arial" w:eastAsia="Arial" w:hAnsi="Arial"/>
                <w:sz w:val="17"/>
                <w:szCs w:val="17"/>
                <w:color w:val="auto"/>
              </w:rPr>
              <w:t>Selling, general, and administrative expenses</w:t>
            </w:r>
          </w:p>
        </w:tc>
        <w:tc>
          <w:tcPr>
            <w:tcW w:w="13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78,637</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81,721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10,198</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9,973</w:t>
            </w:r>
          </w:p>
        </w:tc>
        <w:tc>
          <w:tcPr>
            <w:tcW w:w="5260" w:type="dxa"/>
            <w:vAlign w:val="bottom"/>
            <w:shd w:val="clear" w:color="auto" w:fill="BFBFBF"/>
          </w:tcPr>
          <w:p>
            <w:pPr>
              <w:ind w:left="480"/>
              <w:spacing w:after="0" w:line="194" w:lineRule="exact"/>
              <w:rPr>
                <w:sz w:val="20"/>
                <w:szCs w:val="20"/>
                <w:color w:val="auto"/>
              </w:rPr>
            </w:pPr>
            <w:r>
              <w:rPr>
                <w:rFonts w:ascii="Arial" w:cs="Arial" w:eastAsia="Arial" w:hAnsi="Arial"/>
                <w:sz w:val="17"/>
                <w:szCs w:val="17"/>
                <w:color w:val="auto"/>
              </w:rPr>
              <w:t>Technical and research expenses</w:t>
            </w:r>
          </w:p>
        </w:tc>
        <w:tc>
          <w:tcPr>
            <w:tcW w:w="13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20,515</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20,235</w:t>
            </w:r>
          </w:p>
        </w:tc>
        <w:tc>
          <w:tcPr>
            <w:tcW w:w="0" w:type="dxa"/>
            <w:vAlign w:val="bottom"/>
          </w:tcPr>
          <w:p>
            <w:pPr>
              <w:spacing w:after="0"/>
              <w:rPr>
                <w:sz w:val="1"/>
                <w:szCs w:val="1"/>
                <w:color w:val="auto"/>
              </w:rPr>
            </w:pPr>
          </w:p>
        </w:tc>
      </w:tr>
      <w:tr>
        <w:trPr>
          <w:trHeight w:val="206"/>
        </w:trPr>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2,589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2,036</w:t>
            </w:r>
          </w:p>
        </w:tc>
        <w:tc>
          <w:tcPr>
            <w:tcW w:w="5260" w:type="dxa"/>
            <w:vAlign w:val="bottom"/>
          </w:tcPr>
          <w:p>
            <w:pPr>
              <w:ind w:left="480"/>
              <w:spacing w:after="0"/>
              <w:rPr>
                <w:sz w:val="20"/>
                <w:szCs w:val="20"/>
                <w:color w:val="auto"/>
              </w:rPr>
            </w:pPr>
            <w:r>
              <w:rPr>
                <w:rFonts w:ascii="Arial" w:cs="Arial" w:eastAsia="Arial" w:hAnsi="Arial"/>
                <w:sz w:val="17"/>
                <w:szCs w:val="17"/>
                <w:color w:val="auto"/>
              </w:rPr>
              <w:t>Restructuring expenses, net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11,162</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4,717</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42,684</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9,855</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Operating income</w:t>
            </w:r>
          </w:p>
        </w:tc>
        <w:tc>
          <w:tcPr>
            <w:tcW w:w="13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63,515</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32,533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4,621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4,285</w:t>
            </w:r>
          </w:p>
        </w:tc>
        <w:tc>
          <w:tcPr>
            <w:tcW w:w="5260" w:type="dxa"/>
            <w:vAlign w:val="bottom"/>
          </w:tcPr>
          <w:p>
            <w:pPr>
              <w:ind w:left="480"/>
              <w:spacing w:after="0" w:line="194" w:lineRule="exact"/>
              <w:rPr>
                <w:sz w:val="20"/>
                <w:szCs w:val="20"/>
                <w:color w:val="auto"/>
              </w:rPr>
            </w:pPr>
            <w:r>
              <w:rPr>
                <w:rFonts w:ascii="Arial" w:cs="Arial" w:eastAsia="Arial" w:hAnsi="Arial"/>
                <w:sz w:val="17"/>
                <w:szCs w:val="17"/>
                <w:color w:val="auto"/>
              </w:rPr>
              <w:t>Interest expense, net</w:t>
            </w:r>
          </w:p>
        </w:tc>
        <w:tc>
          <w:tcPr>
            <w:tcW w:w="13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8,909</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8,613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gridSpan w:val="2"/>
            <w:shd w:val="clear" w:color="auto" w:fill="BFBFBF"/>
          </w:tcPr>
          <w:p>
            <w:pPr>
              <w:jc w:val="right"/>
              <w:ind w:right="120"/>
              <w:spacing w:after="0"/>
              <w:rPr>
                <w:sz w:val="20"/>
                <w:szCs w:val="20"/>
                <w:color w:val="auto"/>
              </w:rPr>
            </w:pPr>
            <w:r>
              <w:rPr>
                <w:rFonts w:ascii="Arial" w:cs="Arial" w:eastAsia="Arial" w:hAnsi="Arial"/>
                <w:sz w:val="17"/>
                <w:szCs w:val="17"/>
                <w:color w:val="auto"/>
              </w:rPr>
              <w:t>726</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gridSpan w:val="2"/>
            <w:shd w:val="clear" w:color="auto" w:fill="BFBFBF"/>
          </w:tcPr>
          <w:p>
            <w:pPr>
              <w:jc w:val="right"/>
              <w:ind w:right="120"/>
              <w:spacing w:after="0"/>
              <w:rPr>
                <w:sz w:val="20"/>
                <w:szCs w:val="20"/>
                <w:color w:val="auto"/>
              </w:rPr>
            </w:pPr>
            <w:r>
              <w:rPr>
                <w:rFonts w:ascii="Arial" w:cs="Arial" w:eastAsia="Arial" w:hAnsi="Arial"/>
                <w:sz w:val="17"/>
                <w:szCs w:val="17"/>
                <w:color w:val="auto"/>
              </w:rPr>
              <w:t>2,558</w:t>
            </w:r>
          </w:p>
        </w:tc>
        <w:tc>
          <w:tcPr>
            <w:tcW w:w="5260" w:type="dxa"/>
            <w:vAlign w:val="bottom"/>
            <w:shd w:val="clear" w:color="auto" w:fill="BFBFBF"/>
          </w:tcPr>
          <w:p>
            <w:pPr>
              <w:ind w:left="480"/>
              <w:spacing w:after="0"/>
              <w:rPr>
                <w:sz w:val="20"/>
                <w:szCs w:val="20"/>
                <w:color w:val="auto"/>
              </w:rPr>
            </w:pPr>
            <w:r>
              <w:rPr>
                <w:rFonts w:ascii="Arial" w:cs="Arial" w:eastAsia="Arial" w:hAnsi="Arial"/>
                <w:sz w:val="17"/>
                <w:szCs w:val="17"/>
                <w:color w:val="auto"/>
              </w:rPr>
              <w:t>Other expense, net</w:t>
            </w:r>
          </w:p>
        </w:tc>
        <w:tc>
          <w:tcPr>
            <w:tcW w:w="13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2,178</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3,384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37,337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3,012</w:t>
            </w:r>
          </w:p>
        </w:tc>
        <w:tc>
          <w:tcPr>
            <w:tcW w:w="5260" w:type="dxa"/>
            <w:vAlign w:val="bottom"/>
          </w:tcPr>
          <w:p>
            <w:pPr>
              <w:ind w:left="420"/>
              <w:spacing w:after="0"/>
              <w:rPr>
                <w:sz w:val="20"/>
                <w:szCs w:val="20"/>
                <w:color w:val="auto"/>
              </w:rPr>
            </w:pPr>
            <w:r>
              <w:rPr>
                <w:rFonts w:ascii="Arial" w:cs="Arial" w:eastAsia="Arial" w:hAnsi="Arial"/>
                <w:sz w:val="17"/>
                <w:szCs w:val="17"/>
                <w:color w:val="auto"/>
              </w:rPr>
              <w:t>Income before income taxes</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52,428</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20,536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gridSpan w:val="2"/>
            <w:shd w:val="clear" w:color="auto" w:fill="BFBFBF"/>
          </w:tcPr>
          <w:p>
            <w:pPr>
              <w:jc w:val="right"/>
              <w:ind w:right="120"/>
              <w:spacing w:after="0"/>
              <w:rPr>
                <w:sz w:val="20"/>
                <w:szCs w:val="20"/>
                <w:color w:val="auto"/>
              </w:rPr>
            </w:pPr>
            <w:r>
              <w:rPr>
                <w:rFonts w:ascii="Arial" w:cs="Arial" w:eastAsia="Arial" w:hAnsi="Arial"/>
                <w:sz w:val="17"/>
                <w:szCs w:val="17"/>
                <w:color w:val="auto"/>
              </w:rPr>
              <w:t>7,031</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gridSpan w:val="2"/>
            <w:shd w:val="clear" w:color="auto" w:fill="BFBFBF"/>
          </w:tcPr>
          <w:p>
            <w:pPr>
              <w:jc w:val="right"/>
              <w:ind w:right="120"/>
              <w:spacing w:after="0"/>
              <w:rPr>
                <w:sz w:val="20"/>
                <w:szCs w:val="20"/>
                <w:color w:val="auto"/>
              </w:rPr>
            </w:pPr>
            <w:r>
              <w:rPr>
                <w:rFonts w:ascii="Arial" w:cs="Arial" w:eastAsia="Arial" w:hAnsi="Arial"/>
                <w:sz w:val="17"/>
                <w:szCs w:val="17"/>
                <w:color w:val="auto"/>
              </w:rPr>
              <w:t>1,779</w:t>
            </w:r>
          </w:p>
        </w:tc>
        <w:tc>
          <w:tcPr>
            <w:tcW w:w="5260" w:type="dxa"/>
            <w:vAlign w:val="bottom"/>
            <w:shd w:val="clear" w:color="auto" w:fill="BFBFBF"/>
          </w:tcPr>
          <w:p>
            <w:pPr>
              <w:ind w:left="480"/>
              <w:spacing w:after="0"/>
              <w:rPr>
                <w:sz w:val="20"/>
                <w:szCs w:val="20"/>
                <w:color w:val="auto"/>
              </w:rPr>
            </w:pPr>
            <w:r>
              <w:rPr>
                <w:rFonts w:ascii="Arial" w:cs="Arial" w:eastAsia="Arial" w:hAnsi="Arial"/>
                <w:sz w:val="17"/>
                <w:szCs w:val="17"/>
                <w:color w:val="auto"/>
              </w:rPr>
              <w:t>Income tax expense</w:t>
            </w:r>
          </w:p>
        </w:tc>
        <w:tc>
          <w:tcPr>
            <w:tcW w:w="13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11,640</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30,306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1,233</w:t>
            </w:r>
          </w:p>
        </w:tc>
        <w:tc>
          <w:tcPr>
            <w:tcW w:w="526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40,788</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12,207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gridSpan w:val="2"/>
            <w:shd w:val="clear" w:color="auto" w:fill="BFBFBF"/>
          </w:tcPr>
          <w:p>
            <w:pPr>
              <w:jc w:val="right"/>
              <w:ind w:right="60"/>
              <w:spacing w:after="0"/>
              <w:rPr>
                <w:sz w:val="20"/>
                <w:szCs w:val="20"/>
                <w:color w:val="auto"/>
              </w:rPr>
            </w:pPr>
            <w:r>
              <w:rPr>
                <w:rFonts w:ascii="Arial" w:cs="Arial" w:eastAsia="Arial" w:hAnsi="Arial"/>
                <w:sz w:val="17"/>
                <w:szCs w:val="17"/>
                <w:color w:val="auto"/>
              </w:rPr>
              <w:t>(59)</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gridSpan w:val="2"/>
            <w:shd w:val="clear" w:color="auto" w:fill="BFBFBF"/>
          </w:tcPr>
          <w:p>
            <w:pPr>
              <w:jc w:val="right"/>
              <w:ind w:right="120"/>
              <w:spacing w:after="0"/>
              <w:rPr>
                <w:sz w:val="20"/>
                <w:szCs w:val="20"/>
                <w:color w:val="auto"/>
              </w:rPr>
            </w:pPr>
            <w:r>
              <w:rPr>
                <w:rFonts w:ascii="Arial" w:cs="Arial" w:eastAsia="Arial" w:hAnsi="Arial"/>
                <w:sz w:val="17"/>
                <w:szCs w:val="17"/>
                <w:color w:val="auto"/>
              </w:rPr>
              <w:t>116</w:t>
            </w:r>
          </w:p>
        </w:tc>
        <w:tc>
          <w:tcPr>
            <w:tcW w:w="5260" w:type="dxa"/>
            <w:vAlign w:val="bottom"/>
            <w:shd w:val="clear" w:color="auto" w:fill="BFBFBF"/>
          </w:tcPr>
          <w:p>
            <w:pPr>
              <w:ind w:left="420"/>
              <w:spacing w:after="0"/>
              <w:rPr>
                <w:sz w:val="20"/>
                <w:szCs w:val="20"/>
                <w:color w:val="auto"/>
              </w:rPr>
            </w:pPr>
            <w:r>
              <w:rPr>
                <w:rFonts w:ascii="Arial" w:cs="Arial" w:eastAsia="Arial" w:hAnsi="Arial"/>
                <w:sz w:val="17"/>
                <w:szCs w:val="17"/>
                <w:color w:val="auto"/>
              </w:rPr>
              <w:t>Net income/(loss) attributable to the noncontrolling interest</w:t>
            </w:r>
          </w:p>
        </w:tc>
        <w:tc>
          <w:tcPr>
            <w:tcW w:w="1260" w:type="dxa"/>
            <w:vAlign w:val="bottom"/>
            <w:shd w:val="clear" w:color="auto" w:fill="BFBFB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7"/>
                <w:szCs w:val="17"/>
                <w:color w:val="auto"/>
              </w:rPr>
              <w:t>Net income attributable to the Company</w:t>
            </w: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$30,365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$1,117</w:t>
            </w:r>
          </w:p>
        </w:tc>
        <w:tc>
          <w:tcPr>
            <w:tcW w:w="5260" w:type="dxa"/>
            <w:vAlign w:val="bottom"/>
            <w:vMerge w:val="continue"/>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$40,610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$11,956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260" w:type="dxa"/>
            <w:vAlign w:val="bottom"/>
            <w:shd w:val="clear" w:color="auto" w:fill="BFBFBF"/>
          </w:tcPr>
          <w:p>
            <w:pPr>
              <w:ind w:left="420"/>
              <w:spacing w:after="0" w:line="193" w:lineRule="exact"/>
              <w:rPr>
                <w:sz w:val="20"/>
                <w:szCs w:val="20"/>
                <w:color w:val="auto"/>
              </w:rPr>
            </w:pPr>
            <w:r>
              <w:rPr>
                <w:rFonts w:ascii="Arial" w:cs="Arial" w:eastAsia="Arial" w:hAnsi="Arial"/>
                <w:sz w:val="17"/>
                <w:szCs w:val="17"/>
                <w:color w:val="auto"/>
              </w:rPr>
              <w:t>Earnings per share attributable to Company shareholders -</w:t>
            </w:r>
          </w:p>
        </w:tc>
        <w:tc>
          <w:tcPr>
            <w:tcW w:w="12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$0.94</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$0.03</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Basic</w:t>
            </w:r>
          </w:p>
        </w:tc>
        <w:tc>
          <w:tcPr>
            <w:tcW w:w="13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$1.26</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ind w:left="420"/>
              <w:spacing w:after="0"/>
              <w:rPr>
                <w:sz w:val="20"/>
                <w:szCs w:val="20"/>
                <w:color w:val="auto"/>
              </w:rPr>
            </w:pPr>
            <w:r>
              <w:rPr>
                <w:rFonts w:ascii="Arial" w:cs="Arial" w:eastAsia="Arial" w:hAnsi="Arial"/>
                <w:sz w:val="17"/>
                <w:szCs w:val="17"/>
                <w:color w:val="auto"/>
              </w:rPr>
              <w:t>Earnings per share attributable to Company shareholders -</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$0.94</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$0.03</w:t>
            </w:r>
          </w:p>
        </w:tc>
        <w:tc>
          <w:tcPr>
            <w:tcW w:w="5260" w:type="dxa"/>
            <w:vAlign w:val="bottom"/>
          </w:tcPr>
          <w:p>
            <w:pPr>
              <w:ind w:left="420"/>
              <w:spacing w:after="0"/>
              <w:rPr>
                <w:sz w:val="20"/>
                <w:szCs w:val="20"/>
                <w:color w:val="auto"/>
              </w:rPr>
            </w:pPr>
            <w:r>
              <w:rPr>
                <w:rFonts w:ascii="Arial" w:cs="Arial" w:eastAsia="Arial" w:hAnsi="Arial"/>
                <w:sz w:val="17"/>
                <w:szCs w:val="17"/>
                <w:color w:val="auto"/>
              </w:rPr>
              <w:t>Diluted</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$1.26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260" w:type="dxa"/>
            <w:vAlign w:val="bottom"/>
            <w:shd w:val="clear" w:color="auto" w:fill="BFBFBF"/>
          </w:tcPr>
          <w:p>
            <w:pPr>
              <w:ind w:left="420"/>
              <w:spacing w:after="0" w:line="193" w:lineRule="exact"/>
              <w:rPr>
                <w:sz w:val="20"/>
                <w:szCs w:val="20"/>
                <w:color w:val="auto"/>
              </w:rPr>
            </w:pPr>
            <w:r>
              <w:rPr>
                <w:rFonts w:ascii="Arial" w:cs="Arial" w:eastAsia="Arial" w:hAnsi="Arial"/>
                <w:sz w:val="17"/>
                <w:szCs w:val="17"/>
                <w:color w:val="auto"/>
              </w:rPr>
              <w:t>Shares of the Company used in computing earnings per</w:t>
            </w:r>
          </w:p>
        </w:tc>
        <w:tc>
          <w:tcPr>
            <w:tcW w:w="12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share:</w:t>
            </w:r>
          </w:p>
        </w:tc>
        <w:tc>
          <w:tcPr>
            <w:tcW w:w="12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32,257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32,166</w:t>
            </w:r>
          </w:p>
        </w:tc>
        <w:tc>
          <w:tcPr>
            <w:tcW w:w="5260" w:type="dxa"/>
            <w:vAlign w:val="bottom"/>
          </w:tcPr>
          <w:p>
            <w:pPr>
              <w:ind w:left="520"/>
              <w:spacing w:after="0"/>
              <w:rPr>
                <w:sz w:val="20"/>
                <w:szCs w:val="20"/>
                <w:color w:val="auto"/>
              </w:rPr>
            </w:pPr>
            <w:r>
              <w:rPr>
                <w:rFonts w:ascii="Arial" w:cs="Arial" w:eastAsia="Arial" w:hAnsi="Arial"/>
                <w:sz w:val="17"/>
                <w:szCs w:val="17"/>
                <w:color w:val="auto"/>
              </w:rPr>
              <w:t>Basic</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32,239</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32,147</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32,273</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32,200</w:t>
            </w:r>
          </w:p>
        </w:tc>
        <w:tc>
          <w:tcPr>
            <w:tcW w:w="5260" w:type="dxa"/>
            <w:vAlign w:val="bottom"/>
            <w:shd w:val="clear" w:color="auto" w:fill="BFBFBF"/>
          </w:tcPr>
          <w:p>
            <w:pPr>
              <w:ind w:left="520"/>
              <w:spacing w:after="0" w:line="194" w:lineRule="exact"/>
              <w:rPr>
                <w:sz w:val="20"/>
                <w:szCs w:val="20"/>
                <w:color w:val="auto"/>
              </w:rPr>
            </w:pPr>
            <w:r>
              <w:rPr>
                <w:rFonts w:ascii="Arial" w:cs="Arial" w:eastAsia="Arial" w:hAnsi="Arial"/>
                <w:sz w:val="17"/>
                <w:szCs w:val="17"/>
                <w:color w:val="auto"/>
              </w:rPr>
              <w:t>Diluted</w:t>
            </w:r>
          </w:p>
        </w:tc>
        <w:tc>
          <w:tcPr>
            <w:tcW w:w="13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32,255</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32,182</w:t>
            </w:r>
          </w:p>
        </w:tc>
        <w:tc>
          <w:tcPr>
            <w:tcW w:w="0" w:type="dxa"/>
            <w:vAlign w:val="bottom"/>
          </w:tcPr>
          <w:p>
            <w:pPr>
              <w:spacing w:after="0"/>
              <w:rPr>
                <w:sz w:val="1"/>
                <w:szCs w:val="1"/>
                <w:color w:val="auto"/>
              </w:rPr>
            </w:pPr>
          </w:p>
        </w:tc>
      </w:tr>
      <w:tr>
        <w:trPr>
          <w:trHeight w:val="398"/>
        </w:trPr>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$0.17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$0.17</w:t>
            </w:r>
          </w:p>
        </w:tc>
        <w:tc>
          <w:tcPr>
            <w:tcW w:w="5260" w:type="dxa"/>
            <w:vAlign w:val="bottom"/>
          </w:tcPr>
          <w:p>
            <w:pPr>
              <w:ind w:left="420"/>
              <w:spacing w:after="0"/>
              <w:rPr>
                <w:sz w:val="20"/>
                <w:szCs w:val="20"/>
                <w:color w:val="auto"/>
              </w:rPr>
            </w:pPr>
            <w:r>
              <w:rPr>
                <w:rFonts w:ascii="Arial" w:cs="Arial" w:eastAsia="Arial" w:hAnsi="Arial"/>
                <w:sz w:val="17"/>
                <w:szCs w:val="17"/>
                <w:color w:val="auto"/>
              </w:rPr>
              <w:t>Dividends declared per share, Class A and Class B</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$0.34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40" w:type="dxa"/>
            <w:vAlign w:val="bottom"/>
            <w:gridSpan w:val="7"/>
          </w:tcPr>
          <w:p>
            <w:pPr>
              <w:jc w:val="center"/>
              <w:ind w:right="1020"/>
              <w:spacing w:after="0"/>
              <w:rPr>
                <w:sz w:val="20"/>
                <w:szCs w:val="20"/>
                <w:color w:val="auto"/>
              </w:rPr>
            </w:pPr>
            <w:r>
              <w:rPr>
                <w:rFonts w:ascii="Arial" w:cs="Arial" w:eastAsia="Arial" w:hAnsi="Arial"/>
                <w:sz w:val="17"/>
                <w:szCs w:val="17"/>
                <w:color w:val="auto"/>
              </w:rPr>
              <w:t>The accompanying notes are an integral part of the consolidated financial statements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ALBANY INTERNATIONAL CORP.</w:t>
      </w:r>
    </w:p>
    <w:p>
      <w:pPr>
        <w:jc w:val="center"/>
        <w:spacing w:after="0" w:line="237" w:lineRule="auto"/>
        <w:rPr>
          <w:sz w:val="20"/>
          <w:szCs w:val="20"/>
          <w:color w:val="auto"/>
        </w:rPr>
      </w:pPr>
      <w:r>
        <w:rPr>
          <w:rFonts w:ascii="Arial" w:cs="Arial" w:eastAsia="Arial" w:hAnsi="Arial"/>
          <w:sz w:val="17"/>
          <w:szCs w:val="17"/>
          <w:color w:val="auto"/>
        </w:rPr>
        <w:t>CONSOLIDATED STATEMENTS OF COMPREHENSIVE INCOME/(LOSS)</w:t>
      </w:r>
    </w:p>
    <w:p>
      <w:pPr>
        <w:jc w:val="center"/>
        <w:spacing w:after="0" w:line="238" w:lineRule="auto"/>
        <w:rPr>
          <w:sz w:val="20"/>
          <w:szCs w:val="20"/>
          <w:color w:val="auto"/>
        </w:rPr>
      </w:pPr>
      <w:r>
        <w:rPr>
          <w:rFonts w:ascii="Arial" w:cs="Arial" w:eastAsia="Arial" w:hAnsi="Arial"/>
          <w:sz w:val="17"/>
          <w:szCs w:val="17"/>
          <w:color w:val="auto"/>
        </w:rPr>
        <w:t>(in thousands)</w:t>
      </w:r>
    </w:p>
    <w:p>
      <w:pPr>
        <w:jc w:val="center"/>
        <w:spacing w:after="0"/>
        <w:rPr>
          <w:sz w:val="20"/>
          <w:szCs w:val="20"/>
          <w:color w:val="auto"/>
        </w:rPr>
      </w:pPr>
      <w:r>
        <w:rPr>
          <w:rFonts w:ascii="Arial" w:cs="Arial" w:eastAsia="Arial" w:hAnsi="Arial"/>
          <w:sz w:val="17"/>
          <w:szCs w:val="17"/>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gridSpan w:val="6"/>
          </w:tcPr>
          <w:p>
            <w:pPr>
              <w:jc w:val="right"/>
              <w:ind w:right="780"/>
              <w:spacing w:after="0"/>
              <w:rPr>
                <w:sz w:val="20"/>
                <w:szCs w:val="20"/>
                <w:color w:val="auto"/>
              </w:rPr>
            </w:pPr>
            <w:r>
              <w:rPr>
                <w:rFonts w:ascii="Arial" w:cs="Arial" w:eastAsia="Arial" w:hAnsi="Arial"/>
                <w:sz w:val="17"/>
                <w:szCs w:val="17"/>
                <w:color w:val="auto"/>
              </w:rPr>
              <w:t>Three Months Ended</w:t>
            </w:r>
          </w:p>
        </w:tc>
        <w:tc>
          <w:tcPr>
            <w:tcW w:w="5260" w:type="dxa"/>
            <w:vAlign w:val="bottom"/>
          </w:tcPr>
          <w:p>
            <w:pPr>
              <w:spacing w:after="0"/>
              <w:rPr>
                <w:sz w:val="16"/>
                <w:szCs w:val="16"/>
                <w:color w:val="auto"/>
              </w:rPr>
            </w:pPr>
          </w:p>
        </w:tc>
        <w:tc>
          <w:tcPr>
            <w:tcW w:w="3040" w:type="dxa"/>
            <w:vAlign w:val="bottom"/>
            <w:gridSpan w:val="6"/>
          </w:tcPr>
          <w:p>
            <w:pPr>
              <w:jc w:val="center"/>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06"/>
        </w:trPr>
        <w:tc>
          <w:tcPr>
            <w:tcW w:w="2060" w:type="dxa"/>
            <w:vAlign w:val="bottom"/>
            <w:gridSpan w:val="4"/>
          </w:tcPr>
          <w:p>
            <w:pPr>
              <w:ind w:left="1220"/>
              <w:spacing w:after="0"/>
              <w:rPr>
                <w:sz w:val="20"/>
                <w:szCs w:val="20"/>
                <w:color w:val="auto"/>
              </w:rPr>
            </w:pPr>
            <w:r>
              <w:rPr>
                <w:rFonts w:ascii="Arial" w:cs="Arial" w:eastAsia="Arial" w:hAnsi="Arial"/>
                <w:sz w:val="17"/>
                <w:szCs w:val="17"/>
                <w:color w:val="auto"/>
              </w:rPr>
              <w:t>June 30,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20" w:type="dxa"/>
            <w:vAlign w:val="bottom"/>
            <w:gridSpan w:val="4"/>
          </w:tcPr>
          <w:p>
            <w:pPr>
              <w:jc w:val="center"/>
              <w:ind w:left="954"/>
              <w:spacing w:after="0"/>
              <w:rPr>
                <w:sz w:val="20"/>
                <w:szCs w:val="20"/>
                <w:color w:val="auto"/>
              </w:rPr>
            </w:pPr>
            <w:r>
              <w:rPr>
                <w:rFonts w:ascii="Arial" w:cs="Arial" w:eastAsia="Arial" w:hAnsi="Arial"/>
                <w:sz w:val="17"/>
                <w:szCs w:val="17"/>
                <w:color w:val="auto"/>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12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8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$30,306</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$1,233</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Net income</w:t>
            </w:r>
          </w:p>
        </w:tc>
        <w:tc>
          <w:tcPr>
            <w:tcW w:w="13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$40,788</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$12,207</w:t>
            </w: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Other comprehensive income/(loss), before tax:</w:t>
            </w:r>
          </w:p>
        </w:tc>
        <w:tc>
          <w:tcPr>
            <w:tcW w:w="12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(30,851)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17,436</w:t>
            </w:r>
          </w:p>
        </w:tc>
        <w:tc>
          <w:tcPr>
            <w:tcW w:w="5260" w:type="dxa"/>
            <w:vAlign w:val="bottom"/>
          </w:tcPr>
          <w:p>
            <w:pPr>
              <w:ind w:left="420"/>
              <w:spacing w:after="0" w:line="194" w:lineRule="exact"/>
              <w:rPr>
                <w:sz w:val="20"/>
                <w:szCs w:val="20"/>
                <w:color w:val="auto"/>
              </w:rPr>
            </w:pPr>
            <w:r>
              <w:rPr>
                <w:rFonts w:ascii="Arial" w:cs="Arial" w:eastAsia="Arial" w:hAnsi="Arial"/>
                <w:sz w:val="17"/>
                <w:szCs w:val="17"/>
                <w:color w:val="auto"/>
              </w:rPr>
              <w:t>Foreign currency translation adjustments</w:t>
            </w:r>
          </w:p>
        </w:tc>
        <w:tc>
          <w:tcPr>
            <w:tcW w:w="13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(13,346)</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27,374</w:t>
            </w:r>
          </w:p>
        </w:tc>
        <w:tc>
          <w:tcPr>
            <w:tcW w:w="0" w:type="dxa"/>
            <w:vAlign w:val="bottom"/>
          </w:tcPr>
          <w:p>
            <w:pPr>
              <w:spacing w:after="0"/>
              <w:rPr>
                <w:sz w:val="1"/>
                <w:szCs w:val="1"/>
                <w:color w:val="auto"/>
              </w:rPr>
            </w:pPr>
          </w:p>
        </w:tc>
      </w:tr>
      <w:tr>
        <w:trPr>
          <w:trHeight w:val="194"/>
        </w:trPr>
        <w:tc>
          <w:tcPr>
            <w:tcW w:w="138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(518)</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Pension/postretirement curtailment</w:t>
            </w:r>
          </w:p>
        </w:tc>
        <w:tc>
          <w:tcPr>
            <w:tcW w:w="136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(518)</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ind w:left="420"/>
              <w:spacing w:after="0" w:line="194" w:lineRule="exact"/>
              <w:rPr>
                <w:sz w:val="20"/>
                <w:szCs w:val="20"/>
                <w:color w:val="auto"/>
              </w:rPr>
            </w:pPr>
            <w:r>
              <w:rPr>
                <w:rFonts w:ascii="Arial" w:cs="Arial" w:eastAsia="Arial" w:hAnsi="Arial"/>
                <w:sz w:val="17"/>
                <w:szCs w:val="17"/>
                <w:color w:val="auto"/>
              </w:rPr>
              <w:t>Amortization of pension liability adjustments: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8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(1,113)</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(1,113)</w:t>
            </w:r>
          </w:p>
        </w:tc>
        <w:tc>
          <w:tcPr>
            <w:tcW w:w="5260" w:type="dxa"/>
            <w:vAlign w:val="bottom"/>
            <w:shd w:val="clear" w:color="auto" w:fill="BFBFBF"/>
          </w:tcPr>
          <w:p>
            <w:pPr>
              <w:ind w:left="460"/>
              <w:spacing w:after="0" w:line="194" w:lineRule="exact"/>
              <w:rPr>
                <w:sz w:val="20"/>
                <w:szCs w:val="20"/>
                <w:color w:val="auto"/>
              </w:rPr>
            </w:pPr>
            <w:r>
              <w:rPr>
                <w:rFonts w:ascii="Arial" w:cs="Arial" w:eastAsia="Arial" w:hAnsi="Arial"/>
                <w:sz w:val="17"/>
                <w:szCs w:val="17"/>
                <w:color w:val="auto"/>
              </w:rPr>
              <w:t>Prior service credit</w:t>
            </w:r>
          </w:p>
        </w:tc>
        <w:tc>
          <w:tcPr>
            <w:tcW w:w="136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(2,227)</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194"/>
        </w:trPr>
        <w:tc>
          <w:tcPr>
            <w:tcW w:w="13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1,291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1,353</w:t>
            </w:r>
          </w:p>
        </w:tc>
        <w:tc>
          <w:tcPr>
            <w:tcW w:w="5260" w:type="dxa"/>
            <w:vAlign w:val="bottom"/>
          </w:tcPr>
          <w:p>
            <w:pPr>
              <w:ind w:left="460"/>
              <w:spacing w:after="0" w:line="194" w:lineRule="exact"/>
              <w:rPr>
                <w:sz w:val="20"/>
                <w:szCs w:val="20"/>
                <w:color w:val="auto"/>
              </w:rPr>
            </w:pPr>
            <w:r>
              <w:rPr>
                <w:rFonts w:ascii="Arial" w:cs="Arial" w:eastAsia="Arial" w:hAnsi="Arial"/>
                <w:sz w:val="17"/>
                <w:szCs w:val="17"/>
                <w:color w:val="auto"/>
              </w:rPr>
              <w:t>Net actuarial loss</w:t>
            </w:r>
          </w:p>
        </w:tc>
        <w:tc>
          <w:tcPr>
            <w:tcW w:w="13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2,588</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193"/>
        </w:trPr>
        <w:tc>
          <w:tcPr>
            <w:tcW w:w="12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260" w:type="dxa"/>
            <w:vAlign w:val="bottom"/>
            <w:shd w:val="clear" w:color="auto" w:fill="BFBFBF"/>
          </w:tcPr>
          <w:p>
            <w:pPr>
              <w:ind w:left="420"/>
              <w:spacing w:after="0" w:line="193" w:lineRule="exact"/>
              <w:rPr>
                <w:sz w:val="20"/>
                <w:szCs w:val="20"/>
                <w:color w:val="auto"/>
              </w:rPr>
            </w:pPr>
            <w:r>
              <w:rPr>
                <w:rFonts w:ascii="Arial" w:cs="Arial" w:eastAsia="Arial" w:hAnsi="Arial"/>
                <w:sz w:val="17"/>
                <w:szCs w:val="17"/>
                <w:color w:val="auto"/>
              </w:rPr>
              <w:t>Payments and amortization related to interest rate swaps</w:t>
            </w:r>
          </w:p>
        </w:tc>
        <w:tc>
          <w:tcPr>
            <w:tcW w:w="12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8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54</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343</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included in earnings</w:t>
            </w:r>
          </w:p>
        </w:tc>
        <w:tc>
          <w:tcPr>
            <w:tcW w:w="12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234</w:t>
            </w: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943</w:t>
            </w:r>
          </w:p>
        </w:tc>
        <w:tc>
          <w:tcPr>
            <w:tcW w:w="0" w:type="dxa"/>
            <w:vAlign w:val="bottom"/>
          </w:tcPr>
          <w:p>
            <w:pPr>
              <w:spacing w:after="0"/>
              <w:rPr>
                <w:sz w:val="1"/>
                <w:szCs w:val="1"/>
                <w:color w:val="auto"/>
              </w:rPr>
            </w:pPr>
          </w:p>
        </w:tc>
      </w:tr>
      <w:tr>
        <w:trPr>
          <w:trHeight w:val="194"/>
        </w:trPr>
        <w:tc>
          <w:tcPr>
            <w:tcW w:w="13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2,211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(1,414)</w:t>
            </w:r>
          </w:p>
        </w:tc>
        <w:tc>
          <w:tcPr>
            <w:tcW w:w="5260" w:type="dxa"/>
            <w:vAlign w:val="bottom"/>
          </w:tcPr>
          <w:p>
            <w:pPr>
              <w:ind w:left="420"/>
              <w:spacing w:after="0" w:line="194" w:lineRule="exact"/>
              <w:rPr>
                <w:sz w:val="20"/>
                <w:szCs w:val="20"/>
                <w:color w:val="auto"/>
              </w:rPr>
            </w:pPr>
            <w:r>
              <w:rPr>
                <w:rFonts w:ascii="Arial" w:cs="Arial" w:eastAsia="Arial" w:hAnsi="Arial"/>
                <w:sz w:val="17"/>
                <w:szCs w:val="17"/>
                <w:color w:val="auto"/>
              </w:rPr>
              <w:t>Derivative valuation adjustment</w:t>
            </w:r>
          </w:p>
        </w:tc>
        <w:tc>
          <w:tcPr>
            <w:tcW w:w="13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7,926</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(998)</w:t>
            </w:r>
          </w:p>
        </w:tc>
        <w:tc>
          <w:tcPr>
            <w:tcW w:w="0" w:type="dxa"/>
            <w:vAlign w:val="bottom"/>
          </w:tcPr>
          <w:p>
            <w:pPr>
              <w:spacing w:after="0"/>
              <w:rPr>
                <w:sz w:val="1"/>
                <w:szCs w:val="1"/>
                <w:color w:val="auto"/>
              </w:rPr>
            </w:pPr>
          </w:p>
        </w:tc>
      </w:tr>
      <w:tr>
        <w:trPr>
          <w:trHeight w:val="194"/>
        </w:trPr>
        <w:tc>
          <w:tcPr>
            <w:tcW w:w="12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260" w:type="dxa"/>
            <w:vAlign w:val="bottom"/>
            <w:shd w:val="clear" w:color="auto" w:fill="BFBFBF"/>
          </w:tcPr>
          <w:p>
            <w:pPr>
              <w:spacing w:after="0"/>
              <w:rPr>
                <w:sz w:val="16"/>
                <w:szCs w:val="16"/>
                <w:color w:val="auto"/>
              </w:rPr>
            </w:pPr>
          </w:p>
        </w:tc>
        <w:tc>
          <w:tcPr>
            <w:tcW w:w="12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ind w:left="420"/>
              <w:spacing w:after="0" w:line="193" w:lineRule="exact"/>
              <w:rPr>
                <w:sz w:val="20"/>
                <w:szCs w:val="20"/>
                <w:color w:val="auto"/>
              </w:rPr>
            </w:pPr>
            <w:r>
              <w:rPr>
                <w:rFonts w:ascii="Arial" w:cs="Arial" w:eastAsia="Arial" w:hAnsi="Arial"/>
                <w:sz w:val="17"/>
                <w:szCs w:val="17"/>
                <w:color w:val="auto"/>
              </w:rPr>
              <w:t>Income taxes related to items of other comprehensive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ind w:left="420"/>
              <w:spacing w:after="0" w:line="194" w:lineRule="exact"/>
              <w:rPr>
                <w:sz w:val="20"/>
                <w:szCs w:val="20"/>
                <w:color w:val="auto"/>
              </w:rPr>
            </w:pPr>
            <w:r>
              <w:rPr>
                <w:rFonts w:ascii="Arial" w:cs="Arial" w:eastAsia="Arial" w:hAnsi="Arial"/>
                <w:sz w:val="17"/>
                <w:szCs w:val="17"/>
                <w:color w:val="auto"/>
              </w:rPr>
              <w:t>income/(loss):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8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155</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Pension/postretirement curtailment</w:t>
            </w:r>
          </w:p>
        </w:tc>
        <w:tc>
          <w:tcPr>
            <w:tcW w:w="12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155</w:t>
            </w: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13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(72)</w:t>
            </w:r>
          </w:p>
        </w:tc>
        <w:tc>
          <w:tcPr>
            <w:tcW w:w="5260" w:type="dxa"/>
            <w:vAlign w:val="bottom"/>
          </w:tcPr>
          <w:p>
            <w:pPr>
              <w:ind w:left="420"/>
              <w:spacing w:after="0" w:line="194" w:lineRule="exact"/>
              <w:rPr>
                <w:sz w:val="20"/>
                <w:szCs w:val="20"/>
                <w:color w:val="auto"/>
              </w:rPr>
            </w:pPr>
            <w:r>
              <w:rPr>
                <w:rFonts w:ascii="Arial" w:cs="Arial" w:eastAsia="Arial" w:hAnsi="Arial"/>
                <w:sz w:val="17"/>
                <w:szCs w:val="17"/>
                <w:color w:val="auto"/>
              </w:rPr>
              <w:t>Amortization of pension liability adjustment</w:t>
            </w:r>
          </w:p>
        </w:tc>
        <w:tc>
          <w:tcPr>
            <w:tcW w:w="13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(108)</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93"/>
        </w:trPr>
        <w:tc>
          <w:tcPr>
            <w:tcW w:w="12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260" w:type="dxa"/>
            <w:vAlign w:val="bottom"/>
            <w:shd w:val="clear" w:color="auto" w:fill="BFBFBF"/>
          </w:tcPr>
          <w:p>
            <w:pPr>
              <w:ind w:left="420"/>
              <w:spacing w:after="0" w:line="193" w:lineRule="exact"/>
              <w:rPr>
                <w:sz w:val="20"/>
                <w:szCs w:val="20"/>
                <w:color w:val="auto"/>
              </w:rPr>
            </w:pPr>
            <w:r>
              <w:rPr>
                <w:rFonts w:ascii="Arial" w:cs="Arial" w:eastAsia="Arial" w:hAnsi="Arial"/>
                <w:sz w:val="17"/>
                <w:szCs w:val="17"/>
                <w:color w:val="auto"/>
              </w:rPr>
              <w:t>Payments related to interest rate swaps included in</w:t>
            </w:r>
          </w:p>
        </w:tc>
        <w:tc>
          <w:tcPr>
            <w:tcW w:w="12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8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(13)</w:t>
            </w:r>
          </w:p>
        </w:tc>
        <w:tc>
          <w:tcPr>
            <w:tcW w:w="36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(130)</w:t>
            </w:r>
          </w:p>
        </w:tc>
        <w:tc>
          <w:tcPr>
            <w:tcW w:w="5260" w:type="dxa"/>
            <w:vAlign w:val="bottom"/>
            <w:shd w:val="clear" w:color="auto" w:fill="BFBFBF"/>
          </w:tcPr>
          <w:p>
            <w:pPr>
              <w:ind w:left="420"/>
              <w:spacing w:after="0" w:line="194" w:lineRule="exact"/>
              <w:rPr>
                <w:sz w:val="20"/>
                <w:szCs w:val="20"/>
                <w:color w:val="auto"/>
              </w:rPr>
            </w:pPr>
            <w:r>
              <w:rPr>
                <w:rFonts w:ascii="Arial" w:cs="Arial" w:eastAsia="Arial" w:hAnsi="Arial"/>
                <w:sz w:val="17"/>
                <w:szCs w:val="17"/>
                <w:color w:val="auto"/>
              </w:rPr>
              <w:t>earnings</w:t>
            </w:r>
          </w:p>
        </w:tc>
        <w:tc>
          <w:tcPr>
            <w:tcW w:w="136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(56)</w:t>
            </w:r>
          </w:p>
        </w:tc>
        <w:tc>
          <w:tcPr>
            <w:tcW w:w="3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102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06"/>
        </w:trPr>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(530)</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537</w:t>
            </w:r>
          </w:p>
        </w:tc>
        <w:tc>
          <w:tcPr>
            <w:tcW w:w="5260" w:type="dxa"/>
            <w:vAlign w:val="bottom"/>
          </w:tcPr>
          <w:p>
            <w:pPr>
              <w:ind w:left="420"/>
              <w:spacing w:after="0"/>
              <w:rPr>
                <w:sz w:val="20"/>
                <w:szCs w:val="20"/>
                <w:color w:val="auto"/>
              </w:rPr>
            </w:pPr>
            <w:r>
              <w:rPr>
                <w:rFonts w:ascii="Arial" w:cs="Arial" w:eastAsia="Arial" w:hAnsi="Arial"/>
                <w:sz w:val="17"/>
                <w:szCs w:val="17"/>
                <w:color w:val="auto"/>
              </w:rPr>
              <w:t>Derivative valuation adjustment</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(1,902)</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186"/>
        </w:trPr>
        <w:tc>
          <w:tcPr>
            <w:tcW w:w="12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939</w:t>
            </w:r>
          </w:p>
        </w:tc>
        <w:tc>
          <w:tcPr>
            <w:tcW w:w="120" w:type="dxa"/>
            <w:vAlign w:val="bottom"/>
            <w:tcBorders>
              <w:top w:val="single" w:sz="8" w:color="BFBFBF"/>
            </w:tcBorders>
            <w:shd w:val="clear" w:color="auto" w:fill="BFBFBF"/>
          </w:tcPr>
          <w:p>
            <w:pPr>
              <w:spacing w:after="0"/>
              <w:rPr>
                <w:sz w:val="16"/>
                <w:szCs w:val="16"/>
                <w:color w:val="auto"/>
              </w:rPr>
            </w:pPr>
          </w:p>
        </w:tc>
        <w:tc>
          <w:tcPr>
            <w:tcW w:w="360" w:type="dxa"/>
            <w:vAlign w:val="bottom"/>
            <w:tcBorders>
              <w:top w:val="single" w:sz="8" w:color="BFBFBF"/>
            </w:tcBorders>
            <w:shd w:val="clear" w:color="auto" w:fill="BFBFBF"/>
          </w:tcPr>
          <w:p>
            <w:pPr>
              <w:spacing w:after="0"/>
              <w:rPr>
                <w:sz w:val="16"/>
                <w:szCs w:val="16"/>
                <w:color w:val="auto"/>
              </w:rPr>
            </w:pPr>
          </w:p>
        </w:tc>
        <w:tc>
          <w:tcPr>
            <w:tcW w:w="320" w:type="dxa"/>
            <w:vAlign w:val="bottom"/>
            <w:tcBorders>
              <w:top w:val="single" w:sz="8" w:color="auto"/>
            </w:tcBorders>
            <w:shd w:val="clear" w:color="auto" w:fill="BFBFBF"/>
          </w:tcPr>
          <w:p>
            <w:pPr>
              <w:spacing w:after="0"/>
              <w:rPr>
                <w:sz w:val="16"/>
                <w:szCs w:val="16"/>
                <w:color w:val="auto"/>
              </w:rPr>
            </w:pPr>
          </w:p>
        </w:tc>
        <w:tc>
          <w:tcPr>
            <w:tcW w:w="94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18,173</w:t>
            </w:r>
          </w:p>
        </w:tc>
        <w:tc>
          <w:tcPr>
            <w:tcW w:w="120" w:type="dxa"/>
            <w:vAlign w:val="bottom"/>
            <w:tcBorders>
              <w:top w:val="single" w:sz="8" w:color="BFBFBF"/>
            </w:tcBorders>
            <w:shd w:val="clear" w:color="auto" w:fill="BFBFBF"/>
          </w:tcPr>
          <w:p>
            <w:pPr>
              <w:spacing w:after="0"/>
              <w:rPr>
                <w:sz w:val="16"/>
                <w:szCs w:val="16"/>
                <w:color w:val="auto"/>
              </w:rPr>
            </w:pPr>
          </w:p>
        </w:tc>
        <w:tc>
          <w:tcPr>
            <w:tcW w:w="5260" w:type="dxa"/>
            <w:vAlign w:val="bottom"/>
            <w:tcBorders>
              <w:top w:val="single" w:sz="8" w:color="BFBFBF"/>
            </w:tcBorders>
            <w:shd w:val="clear" w:color="auto" w:fill="BFBFBF"/>
          </w:tcPr>
          <w:p>
            <w:pPr>
              <w:ind w:left="420"/>
              <w:spacing w:after="0" w:line="186" w:lineRule="exact"/>
              <w:rPr>
                <w:sz w:val="20"/>
                <w:szCs w:val="20"/>
                <w:color w:val="auto"/>
              </w:rPr>
            </w:pPr>
            <w:r>
              <w:rPr>
                <w:rFonts w:ascii="Arial" w:cs="Arial" w:eastAsia="Arial" w:hAnsi="Arial"/>
                <w:sz w:val="17"/>
                <w:szCs w:val="17"/>
                <w:color w:val="auto"/>
              </w:rPr>
              <w:t>Comprehensive income</w:t>
            </w:r>
          </w:p>
        </w:tc>
        <w:tc>
          <w:tcPr>
            <w:tcW w:w="12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33,534</w:t>
            </w:r>
          </w:p>
        </w:tc>
        <w:tc>
          <w:tcPr>
            <w:tcW w:w="100" w:type="dxa"/>
            <w:vAlign w:val="bottom"/>
            <w:tcBorders>
              <w:top w:val="single" w:sz="8" w:color="BFBFBF"/>
            </w:tcBorders>
            <w:shd w:val="clear" w:color="auto" w:fill="BFBFBF"/>
          </w:tcPr>
          <w:p>
            <w:pPr>
              <w:spacing w:after="0"/>
              <w:rPr>
                <w:sz w:val="16"/>
                <w:szCs w:val="16"/>
                <w:color w:val="auto"/>
              </w:rPr>
            </w:pPr>
          </w:p>
        </w:tc>
        <w:tc>
          <w:tcPr>
            <w:tcW w:w="320" w:type="dxa"/>
            <w:vAlign w:val="bottom"/>
            <w:tcBorders>
              <w:top w:val="single" w:sz="8" w:color="BFBFBF"/>
            </w:tcBorders>
            <w:shd w:val="clear" w:color="auto" w:fill="BFBFBF"/>
          </w:tcPr>
          <w:p>
            <w:pPr>
              <w:spacing w:after="0"/>
              <w:rPr>
                <w:sz w:val="16"/>
                <w:szCs w:val="16"/>
                <w:color w:val="auto"/>
              </w:rPr>
            </w:pPr>
          </w:p>
        </w:tc>
        <w:tc>
          <w:tcPr>
            <w:tcW w:w="340" w:type="dxa"/>
            <w:vAlign w:val="bottom"/>
            <w:tcBorders>
              <w:top w:val="single" w:sz="8" w:color="auto"/>
            </w:tcBorders>
            <w:shd w:val="clear" w:color="auto" w:fill="BFBFBF"/>
          </w:tcPr>
          <w:p>
            <w:pPr>
              <w:spacing w:after="0"/>
              <w:rPr>
                <w:sz w:val="16"/>
                <w:szCs w:val="16"/>
                <w:color w:val="auto"/>
              </w:rPr>
            </w:pPr>
          </w:p>
        </w:tc>
        <w:tc>
          <w:tcPr>
            <w:tcW w:w="92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39,879</w:t>
            </w:r>
          </w:p>
        </w:tc>
        <w:tc>
          <w:tcPr>
            <w:tcW w:w="10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ind w:left="420"/>
              <w:spacing w:after="0" w:line="193" w:lineRule="exact"/>
              <w:rPr>
                <w:sz w:val="20"/>
                <w:szCs w:val="20"/>
                <w:color w:val="auto"/>
              </w:rPr>
            </w:pPr>
            <w:r>
              <w:rPr>
                <w:rFonts w:ascii="Arial" w:cs="Arial" w:eastAsia="Arial" w:hAnsi="Arial"/>
                <w:sz w:val="17"/>
                <w:szCs w:val="17"/>
                <w:color w:val="auto"/>
              </w:rPr>
              <w:t>Comprehensive income attributable to the noncontrolling</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(48)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124</w:t>
            </w:r>
          </w:p>
        </w:tc>
        <w:tc>
          <w:tcPr>
            <w:tcW w:w="5260" w:type="dxa"/>
            <w:vAlign w:val="bottom"/>
          </w:tcPr>
          <w:p>
            <w:pPr>
              <w:ind w:left="420"/>
              <w:spacing w:after="0"/>
              <w:rPr>
                <w:sz w:val="20"/>
                <w:szCs w:val="20"/>
                <w:color w:val="auto"/>
              </w:rPr>
            </w:pPr>
            <w:r>
              <w:rPr>
                <w:rFonts w:ascii="Arial" w:cs="Arial" w:eastAsia="Arial" w:hAnsi="Arial"/>
                <w:sz w:val="17"/>
                <w:szCs w:val="17"/>
                <w:color w:val="auto"/>
              </w:rPr>
              <w:t>interest</w:t>
            </w:r>
          </w:p>
        </w:tc>
        <w:tc>
          <w:tcPr>
            <w:tcW w:w="12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360" w:type="dxa"/>
            <w:vAlign w:val="bottom"/>
            <w:shd w:val="clear" w:color="auto" w:fill="BFBFB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260" w:type="dxa"/>
            <w:vAlign w:val="bottom"/>
            <w:vMerge w:val="restart"/>
            <w:shd w:val="clear" w:color="auto" w:fill="BFBFBF"/>
          </w:tcPr>
          <w:p>
            <w:pPr>
              <w:ind w:left="420"/>
              <w:spacing w:after="0"/>
              <w:rPr>
                <w:sz w:val="20"/>
                <w:szCs w:val="20"/>
                <w:color w:val="auto"/>
              </w:rPr>
            </w:pPr>
            <w:r>
              <w:rPr>
                <w:rFonts w:ascii="Arial" w:cs="Arial" w:eastAsia="Arial" w:hAnsi="Arial"/>
                <w:sz w:val="17"/>
                <w:szCs w:val="17"/>
                <w:color w:val="auto"/>
              </w:rPr>
              <w:t>Comprehensive income attributable to the Company</w:t>
            </w: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320" w:type="dxa"/>
            <w:vAlign w:val="bottom"/>
            <w:shd w:val="clear" w:color="auto" w:fill="BFBFB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80" w:type="dxa"/>
            <w:vAlign w:val="bottom"/>
            <w:gridSpan w:val="2"/>
            <w:shd w:val="clear" w:color="auto" w:fill="BFBFBF"/>
          </w:tcPr>
          <w:p>
            <w:pPr>
              <w:jc w:val="right"/>
              <w:ind w:right="120"/>
              <w:spacing w:after="0"/>
              <w:rPr>
                <w:sz w:val="20"/>
                <w:szCs w:val="20"/>
                <w:color w:val="auto"/>
              </w:rPr>
            </w:pPr>
            <w:r>
              <w:rPr>
                <w:rFonts w:ascii="Arial" w:cs="Arial" w:eastAsia="Arial" w:hAnsi="Arial"/>
                <w:sz w:val="17"/>
                <w:szCs w:val="17"/>
                <w:color w:val="auto"/>
              </w:rPr>
              <w:t>$987</w:t>
            </w:r>
          </w:p>
        </w:tc>
        <w:tc>
          <w:tcPr>
            <w:tcW w:w="360" w:type="dxa"/>
            <w:vAlign w:val="bottom"/>
            <w:shd w:val="clear" w:color="auto" w:fill="BFBFBF"/>
          </w:tcPr>
          <w:p>
            <w:pPr>
              <w:spacing w:after="0"/>
              <w:rPr>
                <w:sz w:val="18"/>
                <w:szCs w:val="18"/>
                <w:color w:val="auto"/>
              </w:rPr>
            </w:pPr>
          </w:p>
        </w:tc>
        <w:tc>
          <w:tcPr>
            <w:tcW w:w="320" w:type="dxa"/>
            <w:vAlign w:val="bottom"/>
            <w:shd w:val="clear" w:color="auto" w:fill="BFBFBF"/>
          </w:tcPr>
          <w:p>
            <w:pPr>
              <w:spacing w:after="0"/>
              <w:rPr>
                <w:sz w:val="18"/>
                <w:szCs w:val="18"/>
                <w:color w:val="auto"/>
              </w:rPr>
            </w:pPr>
          </w:p>
        </w:tc>
        <w:tc>
          <w:tcPr>
            <w:tcW w:w="1060" w:type="dxa"/>
            <w:vAlign w:val="bottom"/>
            <w:gridSpan w:val="2"/>
            <w:shd w:val="clear" w:color="auto" w:fill="BFBFBF"/>
          </w:tcPr>
          <w:p>
            <w:pPr>
              <w:jc w:val="right"/>
              <w:ind w:right="120"/>
              <w:spacing w:after="0"/>
              <w:rPr>
                <w:sz w:val="20"/>
                <w:szCs w:val="20"/>
                <w:color w:val="auto"/>
              </w:rPr>
            </w:pPr>
            <w:r>
              <w:rPr>
                <w:rFonts w:ascii="Arial" w:cs="Arial" w:eastAsia="Arial" w:hAnsi="Arial"/>
                <w:sz w:val="17"/>
                <w:szCs w:val="17"/>
                <w:color w:val="auto"/>
              </w:rPr>
              <w:t>$18,049</w:t>
            </w:r>
          </w:p>
        </w:tc>
        <w:tc>
          <w:tcPr>
            <w:tcW w:w="5260" w:type="dxa"/>
            <w:vAlign w:val="bottom"/>
            <w:vMerge w:val="continue"/>
            <w:shd w:val="clear" w:color="auto" w:fill="BFBFBF"/>
          </w:tcPr>
          <w:p>
            <w:pPr>
              <w:spacing w:after="0"/>
              <w:rPr>
                <w:sz w:val="18"/>
                <w:szCs w:val="18"/>
                <w:color w:val="auto"/>
              </w:rPr>
            </w:pPr>
          </w:p>
        </w:tc>
        <w:tc>
          <w:tcPr>
            <w:tcW w:w="13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$33,352</w:t>
            </w:r>
          </w:p>
        </w:tc>
        <w:tc>
          <w:tcPr>
            <w:tcW w:w="320" w:type="dxa"/>
            <w:vAlign w:val="bottom"/>
            <w:shd w:val="clear" w:color="auto" w:fill="BFBFBF"/>
          </w:tcPr>
          <w:p>
            <w:pPr>
              <w:spacing w:after="0"/>
              <w:rPr>
                <w:sz w:val="18"/>
                <w:szCs w:val="18"/>
                <w:color w:val="auto"/>
              </w:rPr>
            </w:pPr>
          </w:p>
        </w:tc>
        <w:tc>
          <w:tcPr>
            <w:tcW w:w="340" w:type="dxa"/>
            <w:vAlign w:val="bottom"/>
            <w:shd w:val="clear" w:color="auto" w:fill="BFBFBF"/>
          </w:tcPr>
          <w:p>
            <w:pPr>
              <w:spacing w:after="0"/>
              <w:rPr>
                <w:sz w:val="18"/>
                <w:szCs w:val="18"/>
                <w:color w:val="auto"/>
              </w:rPr>
            </w:pPr>
          </w:p>
        </w:tc>
        <w:tc>
          <w:tcPr>
            <w:tcW w:w="102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$39,615</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360" w:type="dxa"/>
            <w:vAlign w:val="bottom"/>
            <w:tcBorders>
              <w:top w:val="single" w:sz="8" w:color="BFBFB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5260" w:type="dxa"/>
            <w:vAlign w:val="bottom"/>
            <w:tcBorders>
              <w:top w:val="single" w:sz="8" w:color="BFBFB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320" w:type="dxa"/>
            <w:vAlign w:val="bottom"/>
            <w:tcBorders>
              <w:top w:val="single" w:sz="8" w:color="BFBFB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CONSOLIDATED BALANCE SHEETS</w:t>
      </w:r>
    </w:p>
    <w:p>
      <w:pPr>
        <w:jc w:val="center"/>
        <w:spacing w:after="0" w:line="237" w:lineRule="auto"/>
        <w:rPr>
          <w:sz w:val="20"/>
          <w:szCs w:val="20"/>
          <w:color w:val="auto"/>
        </w:rPr>
      </w:pPr>
      <w:r>
        <w:rPr>
          <w:rFonts w:ascii="Arial" w:cs="Arial" w:eastAsia="Arial" w:hAnsi="Arial"/>
          <w:sz w:val="17"/>
          <w:szCs w:val="17"/>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7"/>
                <w:szCs w:val="17"/>
                <w:color w:val="auto"/>
              </w:rPr>
              <w:t>June 30,</w:t>
            </w:r>
          </w:p>
        </w:tc>
        <w:tc>
          <w:tcPr>
            <w:tcW w:w="900" w:type="dxa"/>
            <w:vAlign w:val="bottom"/>
          </w:tcPr>
          <w:p>
            <w:pPr>
              <w:spacing w:after="0"/>
              <w:rPr>
                <w:sz w:val="17"/>
                <w:szCs w:val="17"/>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2420" w:type="dxa"/>
            <w:vAlign w:val="bottom"/>
            <w:gridSpan w:val="2"/>
          </w:tcPr>
          <w:p>
            <w:pPr>
              <w:jc w:val="right"/>
              <w:ind w:right="414"/>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6"/>
                <w:szCs w:val="16"/>
                <w:color w:val="auto"/>
              </w:rPr>
            </w:pPr>
          </w:p>
        </w:tc>
        <w:tc>
          <w:tcPr>
            <w:tcW w:w="2380" w:type="dxa"/>
            <w:vAlign w:val="bottom"/>
            <w:gridSpan w:val="2"/>
          </w:tcPr>
          <w:p>
            <w:pPr>
              <w:jc w:val="right"/>
              <w:ind w:right="414"/>
              <w:spacing w:after="0"/>
              <w:rPr>
                <w:sz w:val="20"/>
                <w:szCs w:val="20"/>
                <w:color w:val="auto"/>
              </w:rPr>
            </w:pPr>
            <w:r>
              <w:rPr>
                <w:rFonts w:ascii="Arial" w:cs="Arial" w:eastAsia="Arial" w:hAnsi="Arial"/>
                <w:sz w:val="17"/>
                <w:szCs w:val="17"/>
                <w:color w:val="auto"/>
              </w:rPr>
              <w:t>2017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0" w:type="dxa"/>
            <w:vAlign w:val="bottom"/>
          </w:tcPr>
          <w:p>
            <w:pPr>
              <w:spacing w:after="0" w:line="186" w:lineRule="exact"/>
              <w:rPr>
                <w:sz w:val="20"/>
                <w:szCs w:val="20"/>
                <w:color w:val="auto"/>
              </w:rPr>
            </w:pPr>
            <w:r>
              <w:rPr>
                <w:rFonts w:ascii="Arial" w:cs="Arial" w:eastAsia="Arial" w:hAnsi="Arial"/>
                <w:sz w:val="17"/>
                <w:szCs w:val="17"/>
                <w:color w:val="auto"/>
              </w:rPr>
              <w:t>ASSETS</w:t>
            </w:r>
          </w:p>
        </w:tc>
        <w:tc>
          <w:tcPr>
            <w:tcW w:w="9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Cash and cash equivalents</w:t>
            </w:r>
          </w:p>
        </w:tc>
        <w:tc>
          <w:tcPr>
            <w:tcW w:w="2540" w:type="dxa"/>
            <w:vAlign w:val="bottom"/>
            <w:gridSpan w:val="3"/>
            <w:shd w:val="clear" w:color="auto" w:fill="C0C0C0"/>
          </w:tcPr>
          <w:p>
            <w:pPr>
              <w:jc w:val="right"/>
              <w:ind w:right="120"/>
              <w:spacing w:after="0" w:line="194" w:lineRule="exact"/>
              <w:rPr>
                <w:sz w:val="20"/>
                <w:szCs w:val="20"/>
                <w:color w:val="auto"/>
              </w:rPr>
            </w:pPr>
            <w:r>
              <w:rPr>
                <w:rFonts w:ascii="Arial" w:cs="Arial" w:eastAsia="Arial" w:hAnsi="Arial"/>
                <w:sz w:val="17"/>
                <w:szCs w:val="17"/>
                <w:color w:val="auto"/>
              </w:rPr>
              <w:t>$154,744</w:t>
            </w:r>
          </w:p>
        </w:tc>
        <w:tc>
          <w:tcPr>
            <w:tcW w:w="2400" w:type="dxa"/>
            <w:vAlign w:val="bottom"/>
            <w:gridSpan w:val="3"/>
            <w:shd w:val="clear" w:color="auto" w:fill="C0C0C0"/>
          </w:tcPr>
          <w:p>
            <w:pPr>
              <w:jc w:val="right"/>
              <w:ind w:right="20"/>
              <w:spacing w:after="0" w:line="194" w:lineRule="exact"/>
              <w:rPr>
                <w:sz w:val="20"/>
                <w:szCs w:val="20"/>
                <w:color w:val="auto"/>
              </w:rPr>
            </w:pPr>
            <w:r>
              <w:rPr>
                <w:rFonts w:ascii="Arial" w:cs="Arial" w:eastAsia="Arial" w:hAnsi="Arial"/>
                <w:sz w:val="17"/>
                <w:szCs w:val="17"/>
                <w:color w:val="auto"/>
              </w:rPr>
              <w:t>$183,727</w:t>
            </w:r>
          </w:p>
        </w:tc>
        <w:tc>
          <w:tcPr>
            <w:tcW w:w="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40"/>
              <w:spacing w:after="0" w:line="194" w:lineRule="exact"/>
              <w:rPr>
                <w:sz w:val="20"/>
                <w:szCs w:val="20"/>
                <w:color w:val="auto"/>
              </w:rPr>
            </w:pPr>
            <w:r>
              <w:rPr>
                <w:rFonts w:ascii="Arial" w:cs="Arial" w:eastAsia="Arial" w:hAnsi="Arial"/>
                <w:sz w:val="17"/>
                <w:szCs w:val="17"/>
                <w:color w:val="auto"/>
              </w:rPr>
              <w:t>Accounts receivable, net</w:t>
            </w:r>
          </w:p>
        </w:tc>
        <w:tc>
          <w:tcPr>
            <w:tcW w:w="2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249,482</w:t>
            </w:r>
          </w:p>
        </w:tc>
        <w:tc>
          <w:tcPr>
            <w:tcW w:w="120" w:type="dxa"/>
            <w:vAlign w:val="bottom"/>
          </w:tcPr>
          <w:p>
            <w:pPr>
              <w:spacing w:after="0"/>
              <w:rPr>
                <w:sz w:val="16"/>
                <w:szCs w:val="16"/>
                <w:color w:val="auto"/>
              </w:rPr>
            </w:pPr>
          </w:p>
        </w:tc>
        <w:tc>
          <w:tcPr>
            <w:tcW w:w="24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202,675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C0C0C0"/>
          </w:tcPr>
          <w:p>
            <w:pPr>
              <w:ind w:left="60"/>
              <w:spacing w:after="0" w:line="194" w:lineRule="exact"/>
              <w:rPr>
                <w:sz w:val="20"/>
                <w:szCs w:val="20"/>
                <w:color w:val="auto"/>
              </w:rPr>
            </w:pPr>
            <w:r>
              <w:rPr>
                <w:rFonts w:ascii="Arial" w:cs="Arial" w:eastAsia="Arial" w:hAnsi="Arial"/>
                <w:sz w:val="17"/>
                <w:szCs w:val="17"/>
                <w:color w:val="auto"/>
              </w:rPr>
              <w:t>Contract assets</w:t>
            </w:r>
          </w:p>
        </w:tc>
        <w:tc>
          <w:tcPr>
            <w:tcW w:w="2540" w:type="dxa"/>
            <w:vAlign w:val="bottom"/>
            <w:gridSpan w:val="3"/>
            <w:shd w:val="clear" w:color="auto" w:fill="C0C0C0"/>
          </w:tcPr>
          <w:p>
            <w:pPr>
              <w:jc w:val="right"/>
              <w:ind w:right="120"/>
              <w:spacing w:after="0" w:line="194" w:lineRule="exact"/>
              <w:rPr>
                <w:sz w:val="20"/>
                <w:szCs w:val="20"/>
                <w:color w:val="auto"/>
              </w:rPr>
            </w:pPr>
            <w:r>
              <w:rPr>
                <w:rFonts w:ascii="Arial" w:cs="Arial" w:eastAsia="Arial" w:hAnsi="Arial"/>
                <w:sz w:val="17"/>
                <w:szCs w:val="17"/>
                <w:color w:val="auto"/>
              </w:rPr>
              <w:t>59,244</w:t>
            </w:r>
          </w:p>
        </w:tc>
        <w:tc>
          <w:tcPr>
            <w:tcW w:w="2400" w:type="dxa"/>
            <w:vAlign w:val="bottom"/>
            <w:gridSpan w:val="3"/>
            <w:shd w:val="clear" w:color="auto" w:fill="C0C0C0"/>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60"/>
              <w:spacing w:after="0" w:line="194" w:lineRule="exact"/>
              <w:rPr>
                <w:sz w:val="20"/>
                <w:szCs w:val="20"/>
                <w:color w:val="auto"/>
              </w:rPr>
            </w:pPr>
            <w:r>
              <w:rPr>
                <w:rFonts w:ascii="Arial" w:cs="Arial" w:eastAsia="Arial" w:hAnsi="Arial"/>
                <w:sz w:val="17"/>
                <w:szCs w:val="17"/>
                <w:color w:val="auto"/>
              </w:rPr>
              <w:t>Inventories</w:t>
            </w:r>
          </w:p>
        </w:tc>
        <w:tc>
          <w:tcPr>
            <w:tcW w:w="254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97,659</w:t>
            </w:r>
          </w:p>
        </w:tc>
        <w:tc>
          <w:tcPr>
            <w:tcW w:w="24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136,519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C0C0C0"/>
          </w:tcPr>
          <w:p>
            <w:pPr>
              <w:ind w:left="60"/>
              <w:spacing w:after="0" w:line="194" w:lineRule="exact"/>
              <w:rPr>
                <w:sz w:val="20"/>
                <w:szCs w:val="20"/>
                <w:color w:val="auto"/>
              </w:rPr>
            </w:pPr>
            <w:r>
              <w:rPr>
                <w:rFonts w:ascii="Arial" w:cs="Arial" w:eastAsia="Arial" w:hAnsi="Arial"/>
                <w:sz w:val="17"/>
                <w:szCs w:val="17"/>
                <w:color w:val="auto"/>
              </w:rPr>
              <w:t>Income taxes prepaid and receivable</w:t>
            </w:r>
          </w:p>
        </w:tc>
        <w:tc>
          <w:tcPr>
            <w:tcW w:w="2540" w:type="dxa"/>
            <w:vAlign w:val="bottom"/>
            <w:gridSpan w:val="3"/>
            <w:shd w:val="clear" w:color="auto" w:fill="C0C0C0"/>
          </w:tcPr>
          <w:p>
            <w:pPr>
              <w:jc w:val="right"/>
              <w:ind w:right="120"/>
              <w:spacing w:after="0" w:line="194" w:lineRule="exact"/>
              <w:rPr>
                <w:sz w:val="20"/>
                <w:szCs w:val="20"/>
                <w:color w:val="auto"/>
              </w:rPr>
            </w:pPr>
            <w:r>
              <w:rPr>
                <w:rFonts w:ascii="Arial" w:cs="Arial" w:eastAsia="Arial" w:hAnsi="Arial"/>
                <w:sz w:val="17"/>
                <w:szCs w:val="17"/>
                <w:color w:val="auto"/>
              </w:rPr>
              <w:t>6,087</w:t>
            </w:r>
          </w:p>
        </w:tc>
        <w:tc>
          <w:tcPr>
            <w:tcW w:w="2400" w:type="dxa"/>
            <w:vAlign w:val="bottom"/>
            <w:gridSpan w:val="3"/>
            <w:shd w:val="clear" w:color="auto" w:fill="C0C0C0"/>
          </w:tcPr>
          <w:p>
            <w:pPr>
              <w:jc w:val="right"/>
              <w:ind w:right="20"/>
              <w:spacing w:after="0" w:line="194" w:lineRule="exact"/>
              <w:rPr>
                <w:sz w:val="20"/>
                <w:szCs w:val="20"/>
                <w:color w:val="auto"/>
              </w:rPr>
            </w:pPr>
            <w:r>
              <w:rPr>
                <w:rFonts w:ascii="Arial" w:cs="Arial" w:eastAsia="Arial" w:hAnsi="Arial"/>
                <w:sz w:val="17"/>
                <w:szCs w:val="17"/>
                <w:color w:val="auto"/>
              </w:rPr>
              <w:t>6,266</w:t>
            </w:r>
          </w:p>
        </w:tc>
        <w:tc>
          <w:tcPr>
            <w:tcW w:w="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60"/>
              <w:spacing w:after="0"/>
              <w:rPr>
                <w:sz w:val="20"/>
                <w:szCs w:val="20"/>
                <w:color w:val="auto"/>
              </w:rPr>
            </w:pPr>
            <w:r>
              <w:rPr>
                <w:rFonts w:ascii="Arial" w:cs="Arial" w:eastAsia="Arial" w:hAnsi="Arial"/>
                <w:sz w:val="17"/>
                <w:szCs w:val="17"/>
                <w:color w:val="auto"/>
              </w:rPr>
              <w:t>Prepaid expenses and other current assets</w:t>
            </w:r>
          </w:p>
        </w:tc>
        <w:tc>
          <w:tcPr>
            <w:tcW w:w="2540" w:type="dxa"/>
            <w:vAlign w:val="bottom"/>
            <w:gridSpan w:val="3"/>
          </w:tcPr>
          <w:p>
            <w:pPr>
              <w:jc w:val="right"/>
              <w:ind w:right="120"/>
              <w:spacing w:after="0"/>
              <w:rPr>
                <w:sz w:val="20"/>
                <w:szCs w:val="20"/>
                <w:color w:val="auto"/>
              </w:rPr>
            </w:pPr>
            <w:r>
              <w:rPr>
                <w:rFonts w:ascii="Arial" w:cs="Arial" w:eastAsia="Arial" w:hAnsi="Arial"/>
                <w:sz w:val="17"/>
                <w:szCs w:val="17"/>
                <w:color w:val="auto"/>
              </w:rPr>
              <w:t>19,559</w:t>
            </w:r>
          </w:p>
        </w:tc>
        <w:tc>
          <w:tcPr>
            <w:tcW w:w="2400" w:type="dxa"/>
            <w:vAlign w:val="bottom"/>
            <w:gridSpan w:val="3"/>
          </w:tcPr>
          <w:p>
            <w:pPr>
              <w:jc w:val="right"/>
              <w:ind w:right="20"/>
              <w:spacing w:after="0"/>
              <w:rPr>
                <w:sz w:val="20"/>
                <w:szCs w:val="20"/>
                <w:color w:val="auto"/>
              </w:rPr>
            </w:pPr>
            <w:r>
              <w:rPr>
                <w:rFonts w:ascii="Arial" w:cs="Arial" w:eastAsia="Arial" w:hAnsi="Arial"/>
                <w:sz w:val="17"/>
                <w:szCs w:val="17"/>
                <w:color w:val="auto"/>
              </w:rPr>
              <w:t>14,520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400" w:type="dxa"/>
            <w:vAlign w:val="bottom"/>
            <w:tcBorders>
              <w:top w:val="single" w:sz="8" w:color="BFBFBF"/>
            </w:tcBorders>
            <w:shd w:val="clear" w:color="auto" w:fill="BFBFBF"/>
          </w:tcPr>
          <w:p>
            <w:pPr>
              <w:ind w:left="100"/>
              <w:spacing w:after="0" w:line="186" w:lineRule="exact"/>
              <w:rPr>
                <w:sz w:val="20"/>
                <w:szCs w:val="20"/>
                <w:color w:val="auto"/>
              </w:rPr>
            </w:pPr>
            <w:r>
              <w:rPr>
                <w:rFonts w:ascii="Arial" w:cs="Arial" w:eastAsia="Arial" w:hAnsi="Arial"/>
                <w:sz w:val="17"/>
                <w:szCs w:val="17"/>
                <w:color w:val="auto"/>
              </w:rPr>
              <w:t>Total current assets</w:t>
            </w:r>
          </w:p>
        </w:tc>
        <w:tc>
          <w:tcPr>
            <w:tcW w:w="920" w:type="dxa"/>
            <w:vAlign w:val="bottom"/>
            <w:tcBorders>
              <w:top w:val="single" w:sz="8" w:color="BFBFBF"/>
            </w:tcBorders>
            <w:shd w:val="clear" w:color="auto" w:fill="BFBFBF"/>
          </w:tcPr>
          <w:p>
            <w:pPr>
              <w:spacing w:after="0"/>
              <w:rPr>
                <w:sz w:val="16"/>
                <w:szCs w:val="16"/>
                <w:color w:val="auto"/>
              </w:rPr>
            </w:pPr>
          </w:p>
        </w:tc>
        <w:tc>
          <w:tcPr>
            <w:tcW w:w="150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586,775</w:t>
            </w:r>
          </w:p>
        </w:tc>
        <w:tc>
          <w:tcPr>
            <w:tcW w:w="120" w:type="dxa"/>
            <w:vAlign w:val="bottom"/>
            <w:tcBorders>
              <w:top w:val="single" w:sz="8" w:color="BFBFBF"/>
            </w:tcBorders>
            <w:shd w:val="clear" w:color="auto" w:fill="BFBFBF"/>
          </w:tcPr>
          <w:p>
            <w:pPr>
              <w:spacing w:after="0"/>
              <w:rPr>
                <w:sz w:val="16"/>
                <w:szCs w:val="16"/>
                <w:color w:val="auto"/>
              </w:rPr>
            </w:pPr>
          </w:p>
        </w:tc>
        <w:tc>
          <w:tcPr>
            <w:tcW w:w="900" w:type="dxa"/>
            <w:vAlign w:val="bottom"/>
            <w:tcBorders>
              <w:top w:val="single" w:sz="8" w:color="BFBFBF"/>
            </w:tcBorders>
            <w:shd w:val="clear" w:color="auto" w:fill="BFBFBF"/>
          </w:tcPr>
          <w:p>
            <w:pPr>
              <w:spacing w:after="0"/>
              <w:rPr>
                <w:sz w:val="16"/>
                <w:szCs w:val="16"/>
                <w:color w:val="auto"/>
              </w:rPr>
            </w:pPr>
          </w:p>
        </w:tc>
        <w:tc>
          <w:tcPr>
            <w:tcW w:w="148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543,707</w:t>
            </w:r>
          </w:p>
        </w:tc>
        <w:tc>
          <w:tcPr>
            <w:tcW w:w="20" w:type="dxa"/>
            <w:vAlign w:val="bottom"/>
            <w:tcBorders>
              <w:top w:val="single" w:sz="8" w:color="BFBFBF"/>
            </w:tcBorders>
            <w:shd w:val="clear" w:color="auto" w:fill="BFBFBF"/>
          </w:tcPr>
          <w:p>
            <w:pPr>
              <w:spacing w:after="0"/>
              <w:rPr>
                <w:sz w:val="16"/>
                <w:szCs w:val="16"/>
                <w:color w:val="auto"/>
              </w:rPr>
            </w:pPr>
          </w:p>
        </w:tc>
        <w:tc>
          <w:tcPr>
            <w:tcW w:w="8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C0C0C0"/>
          </w:tcPr>
          <w:p>
            <w:pPr>
              <w:ind w:left="60"/>
              <w:spacing w:after="0" w:line="194" w:lineRule="exact"/>
              <w:rPr>
                <w:sz w:val="20"/>
                <w:szCs w:val="20"/>
                <w:color w:val="auto"/>
              </w:rPr>
            </w:pPr>
            <w:r>
              <w:rPr>
                <w:rFonts w:ascii="Arial" w:cs="Arial" w:eastAsia="Arial" w:hAnsi="Arial"/>
                <w:sz w:val="17"/>
                <w:szCs w:val="17"/>
                <w:color w:val="auto"/>
              </w:rPr>
              <w:t>Property, plant and equipment, net</w:t>
            </w:r>
          </w:p>
        </w:tc>
        <w:tc>
          <w:tcPr>
            <w:tcW w:w="2420" w:type="dxa"/>
            <w:vAlign w:val="bottom"/>
            <w:gridSpan w:val="2"/>
            <w:shd w:val="clear" w:color="auto" w:fill="C0C0C0"/>
          </w:tcPr>
          <w:p>
            <w:pPr>
              <w:jc w:val="right"/>
              <w:spacing w:after="0" w:line="194" w:lineRule="exact"/>
              <w:rPr>
                <w:sz w:val="20"/>
                <w:szCs w:val="20"/>
                <w:color w:val="auto"/>
              </w:rPr>
            </w:pPr>
            <w:r>
              <w:rPr>
                <w:rFonts w:ascii="Arial" w:cs="Arial" w:eastAsia="Arial" w:hAnsi="Arial"/>
                <w:sz w:val="17"/>
                <w:szCs w:val="17"/>
                <w:color w:val="auto"/>
              </w:rPr>
              <w:t>450,694</w:t>
            </w:r>
          </w:p>
        </w:tc>
        <w:tc>
          <w:tcPr>
            <w:tcW w:w="120" w:type="dxa"/>
            <w:vAlign w:val="bottom"/>
            <w:shd w:val="clear" w:color="auto" w:fill="C0C0C0"/>
          </w:tcPr>
          <w:p>
            <w:pPr>
              <w:spacing w:after="0"/>
              <w:rPr>
                <w:sz w:val="16"/>
                <w:szCs w:val="16"/>
                <w:color w:val="auto"/>
              </w:rPr>
            </w:pPr>
          </w:p>
        </w:tc>
        <w:tc>
          <w:tcPr>
            <w:tcW w:w="2400" w:type="dxa"/>
            <w:vAlign w:val="bottom"/>
            <w:gridSpan w:val="3"/>
            <w:shd w:val="clear" w:color="auto" w:fill="C0C0C0"/>
          </w:tcPr>
          <w:p>
            <w:pPr>
              <w:jc w:val="right"/>
              <w:ind w:right="20"/>
              <w:spacing w:after="0" w:line="194" w:lineRule="exact"/>
              <w:rPr>
                <w:sz w:val="20"/>
                <w:szCs w:val="20"/>
                <w:color w:val="auto"/>
              </w:rPr>
            </w:pPr>
            <w:r>
              <w:rPr>
                <w:rFonts w:ascii="Arial" w:cs="Arial" w:eastAsia="Arial" w:hAnsi="Arial"/>
                <w:sz w:val="17"/>
                <w:szCs w:val="17"/>
                <w:color w:val="auto"/>
              </w:rPr>
              <w:t>454,302</w:t>
            </w:r>
          </w:p>
        </w:tc>
        <w:tc>
          <w:tcPr>
            <w:tcW w:w="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60"/>
              <w:spacing w:after="0" w:line="194" w:lineRule="exact"/>
              <w:rPr>
                <w:sz w:val="20"/>
                <w:szCs w:val="20"/>
                <w:color w:val="auto"/>
              </w:rPr>
            </w:pPr>
            <w:r>
              <w:rPr>
                <w:rFonts w:ascii="Arial" w:cs="Arial" w:eastAsia="Arial" w:hAnsi="Arial"/>
                <w:sz w:val="17"/>
                <w:szCs w:val="17"/>
                <w:color w:val="auto"/>
              </w:rPr>
              <w:t>Intangibles, net</w:t>
            </w:r>
          </w:p>
        </w:tc>
        <w:tc>
          <w:tcPr>
            <w:tcW w:w="254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52,322</w:t>
            </w:r>
          </w:p>
        </w:tc>
        <w:tc>
          <w:tcPr>
            <w:tcW w:w="24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55,441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C0C0C0"/>
          </w:tcPr>
          <w:p>
            <w:pPr>
              <w:ind w:left="60"/>
              <w:spacing w:after="0" w:line="194" w:lineRule="exact"/>
              <w:rPr>
                <w:sz w:val="20"/>
                <w:szCs w:val="20"/>
                <w:color w:val="auto"/>
              </w:rPr>
            </w:pPr>
            <w:r>
              <w:rPr>
                <w:rFonts w:ascii="Arial" w:cs="Arial" w:eastAsia="Arial" w:hAnsi="Arial"/>
                <w:sz w:val="17"/>
                <w:szCs w:val="17"/>
                <w:color w:val="auto"/>
              </w:rPr>
              <w:t>Goodwill</w:t>
            </w:r>
          </w:p>
        </w:tc>
        <w:tc>
          <w:tcPr>
            <w:tcW w:w="2420" w:type="dxa"/>
            <w:vAlign w:val="bottom"/>
            <w:gridSpan w:val="2"/>
            <w:shd w:val="clear" w:color="auto" w:fill="C0C0C0"/>
          </w:tcPr>
          <w:p>
            <w:pPr>
              <w:jc w:val="right"/>
              <w:spacing w:after="0" w:line="194" w:lineRule="exact"/>
              <w:rPr>
                <w:sz w:val="20"/>
                <w:szCs w:val="20"/>
                <w:color w:val="auto"/>
              </w:rPr>
            </w:pPr>
            <w:r>
              <w:rPr>
                <w:rFonts w:ascii="Arial" w:cs="Arial" w:eastAsia="Arial" w:hAnsi="Arial"/>
                <w:sz w:val="17"/>
                <w:szCs w:val="17"/>
                <w:color w:val="auto"/>
              </w:rPr>
              <w:t>165,474</w:t>
            </w:r>
          </w:p>
        </w:tc>
        <w:tc>
          <w:tcPr>
            <w:tcW w:w="120" w:type="dxa"/>
            <w:vAlign w:val="bottom"/>
            <w:shd w:val="clear" w:color="auto" w:fill="C0C0C0"/>
          </w:tcPr>
          <w:p>
            <w:pPr>
              <w:spacing w:after="0"/>
              <w:rPr>
                <w:sz w:val="16"/>
                <w:szCs w:val="16"/>
                <w:color w:val="auto"/>
              </w:rPr>
            </w:pPr>
          </w:p>
        </w:tc>
        <w:tc>
          <w:tcPr>
            <w:tcW w:w="2400" w:type="dxa"/>
            <w:vAlign w:val="bottom"/>
            <w:gridSpan w:val="3"/>
            <w:shd w:val="clear" w:color="auto" w:fill="C0C0C0"/>
          </w:tcPr>
          <w:p>
            <w:pPr>
              <w:jc w:val="right"/>
              <w:ind w:right="20"/>
              <w:spacing w:after="0" w:line="194" w:lineRule="exact"/>
              <w:rPr>
                <w:sz w:val="20"/>
                <w:szCs w:val="20"/>
                <w:color w:val="auto"/>
              </w:rPr>
            </w:pPr>
            <w:r>
              <w:rPr>
                <w:rFonts w:ascii="Arial" w:cs="Arial" w:eastAsia="Arial" w:hAnsi="Arial"/>
                <w:sz w:val="17"/>
                <w:szCs w:val="17"/>
                <w:color w:val="auto"/>
              </w:rPr>
              <w:t>166,796</w:t>
            </w:r>
          </w:p>
        </w:tc>
        <w:tc>
          <w:tcPr>
            <w:tcW w:w="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60"/>
              <w:spacing w:after="0" w:line="194" w:lineRule="exact"/>
              <w:rPr>
                <w:sz w:val="20"/>
                <w:szCs w:val="20"/>
                <w:color w:val="auto"/>
              </w:rPr>
            </w:pPr>
            <w:r>
              <w:rPr>
                <w:rFonts w:ascii="Arial" w:cs="Arial" w:eastAsia="Arial" w:hAnsi="Arial"/>
                <w:sz w:val="17"/>
                <w:szCs w:val="17"/>
                <w:color w:val="auto"/>
              </w:rPr>
              <w:t>Deferred income taxes</w:t>
            </w:r>
          </w:p>
        </w:tc>
        <w:tc>
          <w:tcPr>
            <w:tcW w:w="254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81,237</w:t>
            </w:r>
          </w:p>
        </w:tc>
        <w:tc>
          <w:tcPr>
            <w:tcW w:w="24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68,648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C0C0C0"/>
          </w:tcPr>
          <w:p>
            <w:pPr>
              <w:ind w:left="60"/>
              <w:spacing w:after="0" w:line="194" w:lineRule="exact"/>
              <w:rPr>
                <w:sz w:val="20"/>
                <w:szCs w:val="20"/>
                <w:color w:val="auto"/>
              </w:rPr>
            </w:pPr>
            <w:r>
              <w:rPr>
                <w:rFonts w:ascii="Arial" w:cs="Arial" w:eastAsia="Arial" w:hAnsi="Arial"/>
                <w:sz w:val="17"/>
                <w:szCs w:val="17"/>
                <w:color w:val="auto"/>
              </w:rPr>
              <w:t>Noncurrent receivables</w:t>
            </w:r>
          </w:p>
        </w:tc>
        <w:tc>
          <w:tcPr>
            <w:tcW w:w="2540" w:type="dxa"/>
            <w:vAlign w:val="bottom"/>
            <w:gridSpan w:val="3"/>
            <w:shd w:val="clear" w:color="auto" w:fill="C0C0C0"/>
          </w:tcPr>
          <w:p>
            <w:pPr>
              <w:jc w:val="right"/>
              <w:ind w:right="120"/>
              <w:spacing w:after="0" w:line="194" w:lineRule="exact"/>
              <w:rPr>
                <w:sz w:val="20"/>
                <w:szCs w:val="20"/>
                <w:color w:val="auto"/>
              </w:rPr>
            </w:pPr>
            <w:r>
              <w:rPr>
                <w:rFonts w:ascii="Arial" w:cs="Arial" w:eastAsia="Arial" w:hAnsi="Arial"/>
                <w:sz w:val="17"/>
                <w:szCs w:val="17"/>
                <w:color w:val="auto"/>
              </w:rPr>
              <w:t>36,981</w:t>
            </w:r>
          </w:p>
        </w:tc>
        <w:tc>
          <w:tcPr>
            <w:tcW w:w="2400" w:type="dxa"/>
            <w:vAlign w:val="bottom"/>
            <w:gridSpan w:val="3"/>
            <w:shd w:val="clear" w:color="auto" w:fill="C0C0C0"/>
          </w:tcPr>
          <w:p>
            <w:pPr>
              <w:jc w:val="right"/>
              <w:ind w:right="20"/>
              <w:spacing w:after="0" w:line="194" w:lineRule="exact"/>
              <w:rPr>
                <w:sz w:val="20"/>
                <w:szCs w:val="20"/>
                <w:color w:val="auto"/>
              </w:rPr>
            </w:pPr>
            <w:r>
              <w:rPr>
                <w:rFonts w:ascii="Arial" w:cs="Arial" w:eastAsia="Arial" w:hAnsi="Arial"/>
                <w:sz w:val="17"/>
                <w:szCs w:val="17"/>
                <w:color w:val="auto"/>
              </w:rPr>
              <w:t>32,811</w:t>
            </w:r>
          </w:p>
        </w:tc>
        <w:tc>
          <w:tcPr>
            <w:tcW w:w="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00" w:type="dxa"/>
            <w:vAlign w:val="bottom"/>
            <w:tcBorders>
              <w:bottom w:val="single" w:sz="8" w:color="BFBFBF"/>
            </w:tcBorders>
          </w:tcPr>
          <w:p>
            <w:pPr>
              <w:ind w:left="60"/>
              <w:spacing w:after="0"/>
              <w:rPr>
                <w:sz w:val="20"/>
                <w:szCs w:val="20"/>
                <w:color w:val="auto"/>
              </w:rPr>
            </w:pPr>
            <w:r>
              <w:rPr>
                <w:rFonts w:ascii="Arial" w:cs="Arial" w:eastAsia="Arial" w:hAnsi="Arial"/>
                <w:sz w:val="17"/>
                <w:szCs w:val="17"/>
                <w:color w:val="auto"/>
              </w:rPr>
              <w:t>Other assets</w:t>
            </w:r>
          </w:p>
        </w:tc>
        <w:tc>
          <w:tcPr>
            <w:tcW w:w="920" w:type="dxa"/>
            <w:vAlign w:val="bottom"/>
            <w:tcBorders>
              <w:bottom w:val="single" w:sz="8" w:color="BFBFB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48,978</w:t>
            </w:r>
          </w:p>
        </w:tc>
        <w:tc>
          <w:tcPr>
            <w:tcW w:w="120" w:type="dxa"/>
            <w:vAlign w:val="bottom"/>
            <w:tcBorders>
              <w:bottom w:val="single" w:sz="8" w:color="C0C0C0"/>
            </w:tcBorders>
          </w:tcPr>
          <w:p>
            <w:pPr>
              <w:spacing w:after="0"/>
              <w:rPr>
                <w:sz w:val="17"/>
                <w:szCs w:val="17"/>
                <w:color w:val="auto"/>
              </w:rPr>
            </w:pPr>
          </w:p>
        </w:tc>
        <w:tc>
          <w:tcPr>
            <w:tcW w:w="900" w:type="dxa"/>
            <w:vAlign w:val="bottom"/>
            <w:tcBorders>
              <w:bottom w:val="single" w:sz="8" w:color="BFBFB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39,493</w:t>
            </w:r>
          </w:p>
        </w:tc>
        <w:tc>
          <w:tcPr>
            <w:tcW w:w="20" w:type="dxa"/>
            <w:vAlign w:val="bottom"/>
            <w:tcBorders>
              <w:bottom w:val="single" w:sz="8" w:color="C0C0C0"/>
            </w:tcBorders>
          </w:tcPr>
          <w:p>
            <w:pPr>
              <w:spacing w:after="0"/>
              <w:rPr>
                <w:sz w:val="17"/>
                <w:szCs w:val="17"/>
                <w:color w:val="auto"/>
              </w:rPr>
            </w:pPr>
          </w:p>
        </w:tc>
        <w:tc>
          <w:tcPr>
            <w:tcW w:w="80" w:type="dxa"/>
            <w:vAlign w:val="bottom"/>
            <w:tcBorders>
              <w:bottom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0" w:type="dxa"/>
            <w:vAlign w:val="bottom"/>
            <w:shd w:val="clear" w:color="auto" w:fill="BFBFBF"/>
          </w:tcPr>
          <w:p>
            <w:pPr>
              <w:ind w:left="100"/>
              <w:spacing w:after="0" w:line="185" w:lineRule="exact"/>
              <w:rPr>
                <w:sz w:val="20"/>
                <w:szCs w:val="20"/>
                <w:color w:val="auto"/>
              </w:rPr>
            </w:pPr>
            <w:r>
              <w:rPr>
                <w:rFonts w:ascii="Arial" w:cs="Arial" w:eastAsia="Arial" w:hAnsi="Arial"/>
                <w:sz w:val="17"/>
                <w:szCs w:val="17"/>
                <w:color w:val="auto"/>
              </w:rPr>
              <w:t>Total assets</w:t>
            </w:r>
          </w:p>
        </w:tc>
        <w:tc>
          <w:tcPr>
            <w:tcW w:w="920" w:type="dxa"/>
            <w:vAlign w:val="bottom"/>
            <w:shd w:val="clear" w:color="auto" w:fill="BFBFBF"/>
          </w:tcPr>
          <w:p>
            <w:pPr>
              <w:spacing w:after="0"/>
              <w:rPr>
                <w:sz w:val="17"/>
                <w:szCs w:val="17"/>
                <w:color w:val="auto"/>
              </w:rPr>
            </w:pPr>
          </w:p>
        </w:tc>
        <w:tc>
          <w:tcPr>
            <w:tcW w:w="1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$1,422,461</w:t>
            </w:r>
          </w:p>
        </w:tc>
        <w:tc>
          <w:tcPr>
            <w:tcW w:w="120" w:type="dxa"/>
            <w:vAlign w:val="bottom"/>
            <w:shd w:val="clear" w:color="auto" w:fill="C0C0C0"/>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$1,361,198</w:t>
            </w:r>
          </w:p>
        </w:tc>
        <w:tc>
          <w:tcPr>
            <w:tcW w:w="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BFBFBF"/>
              <w:bottom w:val="single" w:sz="8" w:color="BFBFBF"/>
            </w:tcBorders>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920" w:type="dxa"/>
            <w:vAlign w:val="bottom"/>
            <w:tcBorders>
              <w:top w:val="single" w:sz="8" w:color="BFBFB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0C0C0"/>
            </w:tcBorders>
          </w:tcPr>
          <w:p>
            <w:pPr>
              <w:spacing w:after="0" w:line="20" w:lineRule="exact"/>
              <w:rPr>
                <w:sz w:val="1"/>
                <w:szCs w:val="1"/>
                <w:color w:val="auto"/>
              </w:rPr>
            </w:pPr>
          </w:p>
        </w:tc>
        <w:tc>
          <w:tcPr>
            <w:tcW w:w="900" w:type="dxa"/>
            <w:vAlign w:val="bottom"/>
            <w:tcBorders>
              <w:top w:val="single" w:sz="8" w:color="BFBFB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0C0C0"/>
            </w:tcBorders>
          </w:tcPr>
          <w:p>
            <w:pPr>
              <w:spacing w:after="0" w:line="20" w:lineRule="exact"/>
              <w:rPr>
                <w:sz w:val="1"/>
                <w:szCs w:val="1"/>
                <w:color w:val="auto"/>
              </w:rPr>
            </w:pPr>
          </w:p>
        </w:tc>
        <w:tc>
          <w:tcPr>
            <w:tcW w:w="80" w:type="dxa"/>
            <w:vAlign w:val="bottom"/>
            <w:tcBorders>
              <w:top w:val="single" w:sz="8" w:color="C0C0C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Notes and loans payable</w:t>
            </w:r>
          </w:p>
        </w:tc>
        <w:tc>
          <w:tcPr>
            <w:tcW w:w="242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$26</w:t>
            </w:r>
          </w:p>
        </w:tc>
        <w:tc>
          <w:tcPr>
            <w:tcW w:w="120" w:type="dxa"/>
            <w:vAlign w:val="bottom"/>
            <w:shd w:val="clear" w:color="auto" w:fill="BFBFBF"/>
          </w:tcPr>
          <w:p>
            <w:pPr>
              <w:spacing w:after="0"/>
              <w:rPr>
                <w:sz w:val="16"/>
                <w:szCs w:val="16"/>
                <w:color w:val="auto"/>
              </w:rPr>
            </w:pPr>
          </w:p>
        </w:tc>
        <w:tc>
          <w:tcPr>
            <w:tcW w:w="240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$262</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80"/>
              <w:spacing w:after="0" w:line="194" w:lineRule="exact"/>
              <w:rPr>
                <w:sz w:val="20"/>
                <w:szCs w:val="20"/>
                <w:color w:val="auto"/>
              </w:rPr>
            </w:pPr>
            <w:r>
              <w:rPr>
                <w:rFonts w:ascii="Arial" w:cs="Arial" w:eastAsia="Arial" w:hAnsi="Arial"/>
                <w:sz w:val="17"/>
                <w:szCs w:val="17"/>
                <w:color w:val="auto"/>
              </w:rPr>
              <w:t>Accounts payable</w:t>
            </w:r>
          </w:p>
        </w:tc>
        <w:tc>
          <w:tcPr>
            <w:tcW w:w="254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54,752</w:t>
            </w:r>
          </w:p>
        </w:tc>
        <w:tc>
          <w:tcPr>
            <w:tcW w:w="24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44,899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400" w:type="dxa"/>
            <w:vAlign w:val="bottom"/>
            <w:shd w:val="clear" w:color="auto" w:fill="BFBFBF"/>
          </w:tcPr>
          <w:p>
            <w:pPr>
              <w:ind w:left="80"/>
              <w:spacing w:after="0"/>
              <w:rPr>
                <w:sz w:val="20"/>
                <w:szCs w:val="20"/>
                <w:color w:val="auto"/>
              </w:rPr>
            </w:pPr>
            <w:r>
              <w:rPr>
                <w:rFonts w:ascii="Arial" w:cs="Arial" w:eastAsia="Arial" w:hAnsi="Arial"/>
                <w:sz w:val="17"/>
                <w:szCs w:val="17"/>
                <w:color w:val="auto"/>
              </w:rPr>
              <w:t>Accrued liabilities</w:t>
            </w:r>
          </w:p>
        </w:tc>
        <w:tc>
          <w:tcPr>
            <w:tcW w:w="920" w:type="dxa"/>
            <w:vAlign w:val="bottom"/>
            <w:shd w:val="clear" w:color="auto" w:fill="BFBFBF"/>
          </w:tcPr>
          <w:p>
            <w:pPr>
              <w:spacing w:after="0"/>
              <w:rPr>
                <w:sz w:val="20"/>
                <w:szCs w:val="20"/>
                <w:color w:val="auto"/>
              </w:rPr>
            </w:pPr>
          </w:p>
        </w:tc>
        <w:tc>
          <w:tcPr>
            <w:tcW w:w="1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125,255</w:t>
            </w:r>
          </w:p>
        </w:tc>
        <w:tc>
          <w:tcPr>
            <w:tcW w:w="120" w:type="dxa"/>
            <w:vAlign w:val="bottom"/>
            <w:shd w:val="clear" w:color="auto" w:fill="C0C0C0"/>
          </w:tcPr>
          <w:p>
            <w:pPr>
              <w:spacing w:after="0"/>
              <w:rPr>
                <w:sz w:val="20"/>
                <w:szCs w:val="20"/>
                <w:color w:val="auto"/>
              </w:rPr>
            </w:pPr>
          </w:p>
        </w:tc>
        <w:tc>
          <w:tcPr>
            <w:tcW w:w="900" w:type="dxa"/>
            <w:vAlign w:val="bottom"/>
            <w:shd w:val="clear" w:color="auto" w:fill="BFBFBF"/>
          </w:tcPr>
          <w:p>
            <w:pPr>
              <w:spacing w:after="0"/>
              <w:rPr>
                <w:sz w:val="20"/>
                <w:szCs w:val="20"/>
                <w:color w:val="auto"/>
              </w:rPr>
            </w:pPr>
          </w:p>
        </w:tc>
        <w:tc>
          <w:tcPr>
            <w:tcW w:w="15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105,914</w:t>
            </w:r>
          </w:p>
        </w:tc>
        <w:tc>
          <w:tcPr>
            <w:tcW w:w="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100"/>
              <w:spacing w:after="0" w:line="194" w:lineRule="exact"/>
              <w:rPr>
                <w:sz w:val="20"/>
                <w:szCs w:val="20"/>
                <w:color w:val="auto"/>
              </w:rPr>
            </w:pPr>
            <w:r>
              <w:rPr>
                <w:rFonts w:ascii="Arial" w:cs="Arial" w:eastAsia="Arial" w:hAnsi="Arial"/>
                <w:sz w:val="17"/>
                <w:szCs w:val="17"/>
                <w:color w:val="auto"/>
              </w:rPr>
              <w:t>Current maturities of long-term debt</w:t>
            </w:r>
          </w:p>
        </w:tc>
        <w:tc>
          <w:tcPr>
            <w:tcW w:w="920" w:type="dxa"/>
            <w:vAlign w:val="bottom"/>
          </w:tcPr>
          <w:p>
            <w:pPr>
              <w:spacing w:after="0"/>
              <w:rPr>
                <w:sz w:val="16"/>
                <w:szCs w:val="16"/>
                <w:color w:val="auto"/>
              </w:rPr>
            </w:pPr>
          </w:p>
        </w:tc>
        <w:tc>
          <w:tcPr>
            <w:tcW w:w="16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1,844</w:t>
            </w:r>
          </w:p>
        </w:tc>
        <w:tc>
          <w:tcPr>
            <w:tcW w:w="900" w:type="dxa"/>
            <w:vAlign w:val="bottom"/>
          </w:tcPr>
          <w:p>
            <w:pPr>
              <w:spacing w:after="0"/>
              <w:rPr>
                <w:sz w:val="16"/>
                <w:szCs w:val="16"/>
                <w:color w:val="auto"/>
              </w:rPr>
            </w:pPr>
          </w:p>
        </w:tc>
        <w:tc>
          <w:tcPr>
            <w:tcW w:w="15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1,799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400" w:type="dxa"/>
            <w:vAlign w:val="bottom"/>
            <w:shd w:val="clear" w:color="auto" w:fill="BFBFBF"/>
          </w:tcPr>
          <w:p>
            <w:pPr>
              <w:ind w:left="100"/>
              <w:spacing w:after="0"/>
              <w:rPr>
                <w:sz w:val="20"/>
                <w:szCs w:val="20"/>
                <w:color w:val="auto"/>
              </w:rPr>
            </w:pPr>
            <w:r>
              <w:rPr>
                <w:rFonts w:ascii="Arial" w:cs="Arial" w:eastAsia="Arial" w:hAnsi="Arial"/>
                <w:sz w:val="17"/>
                <w:szCs w:val="17"/>
                <w:color w:val="auto"/>
              </w:rPr>
              <w:t>Income taxes payable</w:t>
            </w:r>
          </w:p>
        </w:tc>
        <w:tc>
          <w:tcPr>
            <w:tcW w:w="920" w:type="dxa"/>
            <w:vAlign w:val="bottom"/>
            <w:shd w:val="clear" w:color="auto" w:fill="BFBFBF"/>
          </w:tcPr>
          <w:p>
            <w:pPr>
              <w:spacing w:after="0"/>
              <w:rPr>
                <w:sz w:val="20"/>
                <w:szCs w:val="20"/>
                <w:color w:val="auto"/>
              </w:rPr>
            </w:pPr>
          </w:p>
        </w:tc>
        <w:tc>
          <w:tcPr>
            <w:tcW w:w="162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14,620</w:t>
            </w:r>
          </w:p>
        </w:tc>
        <w:tc>
          <w:tcPr>
            <w:tcW w:w="900" w:type="dxa"/>
            <w:vAlign w:val="bottom"/>
            <w:shd w:val="clear" w:color="auto" w:fill="BFBFBF"/>
          </w:tcPr>
          <w:p>
            <w:pPr>
              <w:spacing w:after="0"/>
              <w:rPr>
                <w:sz w:val="20"/>
                <w:szCs w:val="20"/>
                <w:color w:val="auto"/>
              </w:rPr>
            </w:pPr>
          </w:p>
        </w:tc>
        <w:tc>
          <w:tcPr>
            <w:tcW w:w="15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8,643</w:t>
            </w:r>
          </w:p>
        </w:tc>
        <w:tc>
          <w:tcPr>
            <w:tcW w:w="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400" w:type="dxa"/>
            <w:vAlign w:val="bottom"/>
          </w:tcPr>
          <w:p>
            <w:pPr>
              <w:ind w:left="100"/>
              <w:spacing w:after="0"/>
              <w:rPr>
                <w:sz w:val="20"/>
                <w:szCs w:val="20"/>
                <w:color w:val="auto"/>
              </w:rPr>
            </w:pPr>
            <w:r>
              <w:rPr>
                <w:rFonts w:ascii="Arial" w:cs="Arial" w:eastAsia="Arial" w:hAnsi="Arial"/>
                <w:sz w:val="17"/>
                <w:szCs w:val="17"/>
                <w:color w:val="auto"/>
              </w:rPr>
              <w:t>Total current liabilities</w:t>
            </w:r>
          </w:p>
        </w:tc>
        <w:tc>
          <w:tcPr>
            <w:tcW w:w="92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196,497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161,517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6400" w:type="dxa"/>
            <w:vAlign w:val="bottom"/>
          </w:tcPr>
          <w:p>
            <w:pPr>
              <w:ind w:left="100"/>
              <w:spacing w:after="0"/>
              <w:rPr>
                <w:sz w:val="20"/>
                <w:szCs w:val="20"/>
                <w:color w:val="auto"/>
              </w:rPr>
            </w:pPr>
            <w:r>
              <w:rPr>
                <w:rFonts w:ascii="Arial" w:cs="Arial" w:eastAsia="Arial" w:hAnsi="Arial"/>
                <w:sz w:val="17"/>
                <w:szCs w:val="17"/>
                <w:color w:val="auto"/>
              </w:rPr>
              <w:t>Long-term debt</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523,186</w:t>
            </w:r>
          </w:p>
        </w:tc>
        <w:tc>
          <w:tcPr>
            <w:tcW w:w="120" w:type="dxa"/>
            <w:vAlign w:val="bottom"/>
          </w:tcPr>
          <w:p>
            <w:pPr>
              <w:spacing w:after="0"/>
              <w:rPr>
                <w:sz w:val="24"/>
                <w:szCs w:val="24"/>
                <w:color w:val="auto"/>
              </w:rPr>
            </w:pPr>
          </w:p>
        </w:tc>
        <w:tc>
          <w:tcPr>
            <w:tcW w:w="2400" w:type="dxa"/>
            <w:vAlign w:val="bottom"/>
            <w:gridSpan w:val="3"/>
          </w:tcPr>
          <w:p>
            <w:pPr>
              <w:jc w:val="right"/>
              <w:ind w:right="20"/>
              <w:spacing w:after="0"/>
              <w:rPr>
                <w:sz w:val="20"/>
                <w:szCs w:val="20"/>
                <w:color w:val="auto"/>
              </w:rPr>
            </w:pPr>
            <w:r>
              <w:rPr>
                <w:rFonts w:ascii="Arial" w:cs="Arial" w:eastAsia="Arial" w:hAnsi="Arial"/>
                <w:sz w:val="17"/>
                <w:szCs w:val="17"/>
                <w:color w:val="auto"/>
              </w:rPr>
              <w:t>514,120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Other noncurrent liabilities</w:t>
            </w:r>
          </w:p>
        </w:tc>
        <w:tc>
          <w:tcPr>
            <w:tcW w:w="2540" w:type="dxa"/>
            <w:vAlign w:val="bottom"/>
            <w:gridSpan w:val="3"/>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97,563</w:t>
            </w:r>
          </w:p>
        </w:tc>
        <w:tc>
          <w:tcPr>
            <w:tcW w:w="240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101,555</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100"/>
              <w:spacing w:after="0"/>
              <w:rPr>
                <w:sz w:val="20"/>
                <w:szCs w:val="20"/>
                <w:color w:val="auto"/>
              </w:rPr>
            </w:pPr>
            <w:r>
              <w:rPr>
                <w:rFonts w:ascii="Arial" w:cs="Arial" w:eastAsia="Arial" w:hAnsi="Arial"/>
                <w:sz w:val="17"/>
                <w:szCs w:val="17"/>
                <w:color w:val="auto"/>
              </w:rPr>
              <w:t>Deferred taxes and other liabilities</w:t>
            </w:r>
          </w:p>
        </w:tc>
        <w:tc>
          <w:tcPr>
            <w:tcW w:w="2540" w:type="dxa"/>
            <w:vAlign w:val="bottom"/>
            <w:gridSpan w:val="3"/>
          </w:tcPr>
          <w:p>
            <w:pPr>
              <w:jc w:val="right"/>
              <w:ind w:right="120"/>
              <w:spacing w:after="0"/>
              <w:rPr>
                <w:sz w:val="20"/>
                <w:szCs w:val="20"/>
                <w:color w:val="auto"/>
              </w:rPr>
            </w:pPr>
            <w:r>
              <w:rPr>
                <w:rFonts w:ascii="Arial" w:cs="Arial" w:eastAsia="Arial" w:hAnsi="Arial"/>
                <w:sz w:val="17"/>
                <w:szCs w:val="17"/>
                <w:color w:val="auto"/>
              </w:rPr>
              <w:t>13,556</w:t>
            </w:r>
          </w:p>
        </w:tc>
        <w:tc>
          <w:tcPr>
            <w:tcW w:w="2400" w:type="dxa"/>
            <w:vAlign w:val="bottom"/>
            <w:gridSpan w:val="3"/>
          </w:tcPr>
          <w:p>
            <w:pPr>
              <w:jc w:val="right"/>
              <w:ind w:right="20"/>
              <w:spacing w:after="0"/>
              <w:rPr>
                <w:sz w:val="20"/>
                <w:szCs w:val="20"/>
                <w:color w:val="auto"/>
              </w:rPr>
            </w:pPr>
            <w:r>
              <w:rPr>
                <w:rFonts w:ascii="Arial" w:cs="Arial" w:eastAsia="Arial" w:hAnsi="Arial"/>
                <w:sz w:val="17"/>
                <w:szCs w:val="17"/>
                <w:color w:val="auto"/>
              </w:rPr>
              <w:t>10,991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400" w:type="dxa"/>
            <w:vAlign w:val="bottom"/>
            <w:tcBorders>
              <w:top w:val="single" w:sz="8" w:color="BFBFBF"/>
            </w:tcBorders>
            <w:shd w:val="clear" w:color="auto" w:fill="BFBFBF"/>
          </w:tcPr>
          <w:p>
            <w:pPr>
              <w:ind w:left="100"/>
              <w:spacing w:after="0" w:line="185" w:lineRule="exact"/>
              <w:rPr>
                <w:sz w:val="20"/>
                <w:szCs w:val="20"/>
                <w:color w:val="auto"/>
              </w:rPr>
            </w:pPr>
            <w:r>
              <w:rPr>
                <w:rFonts w:ascii="Arial" w:cs="Arial" w:eastAsia="Arial" w:hAnsi="Arial"/>
                <w:sz w:val="17"/>
                <w:szCs w:val="17"/>
                <w:color w:val="auto"/>
              </w:rPr>
              <w:t>Total liabilities</w:t>
            </w:r>
          </w:p>
        </w:tc>
        <w:tc>
          <w:tcPr>
            <w:tcW w:w="920" w:type="dxa"/>
            <w:vAlign w:val="bottom"/>
            <w:tcBorders>
              <w:top w:val="single" w:sz="8" w:color="BFBFBF"/>
            </w:tcBorders>
            <w:shd w:val="clear" w:color="auto" w:fill="BFBFBF"/>
          </w:tcPr>
          <w:p>
            <w:pPr>
              <w:spacing w:after="0"/>
              <w:rPr>
                <w:sz w:val="16"/>
                <w:szCs w:val="16"/>
                <w:color w:val="auto"/>
              </w:rPr>
            </w:pPr>
          </w:p>
        </w:tc>
        <w:tc>
          <w:tcPr>
            <w:tcW w:w="150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830,802</w:t>
            </w:r>
          </w:p>
        </w:tc>
        <w:tc>
          <w:tcPr>
            <w:tcW w:w="120" w:type="dxa"/>
            <w:vAlign w:val="bottom"/>
            <w:tcBorders>
              <w:top w:val="single" w:sz="8" w:color="BFBFBF"/>
            </w:tcBorders>
            <w:shd w:val="clear" w:color="auto" w:fill="BFBFBF"/>
          </w:tcPr>
          <w:p>
            <w:pPr>
              <w:spacing w:after="0"/>
              <w:rPr>
                <w:sz w:val="16"/>
                <w:szCs w:val="16"/>
                <w:color w:val="auto"/>
              </w:rPr>
            </w:pPr>
          </w:p>
        </w:tc>
        <w:tc>
          <w:tcPr>
            <w:tcW w:w="900" w:type="dxa"/>
            <w:vAlign w:val="bottom"/>
            <w:tcBorders>
              <w:top w:val="single" w:sz="8" w:color="BFBFBF"/>
            </w:tcBorders>
            <w:shd w:val="clear" w:color="auto" w:fill="BFBFBF"/>
          </w:tcPr>
          <w:p>
            <w:pPr>
              <w:spacing w:after="0"/>
              <w:rPr>
                <w:sz w:val="16"/>
                <w:szCs w:val="16"/>
                <w:color w:val="auto"/>
              </w:rPr>
            </w:pPr>
          </w:p>
        </w:tc>
        <w:tc>
          <w:tcPr>
            <w:tcW w:w="148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788,183</w:t>
            </w:r>
          </w:p>
        </w:tc>
        <w:tc>
          <w:tcPr>
            <w:tcW w:w="20" w:type="dxa"/>
            <w:vAlign w:val="bottom"/>
            <w:tcBorders>
              <w:top w:val="single" w:sz="8" w:color="BFBFBF"/>
            </w:tcBorders>
            <w:shd w:val="clear" w:color="auto" w:fill="BFBFBF"/>
          </w:tcPr>
          <w:p>
            <w:pPr>
              <w:spacing w:after="0"/>
              <w:rPr>
                <w:sz w:val="16"/>
                <w:szCs w:val="16"/>
                <w:color w:val="auto"/>
              </w:rPr>
            </w:pPr>
          </w:p>
        </w:tc>
        <w:tc>
          <w:tcPr>
            <w:tcW w:w="8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6400" w:type="dxa"/>
            <w:vAlign w:val="bottom"/>
          </w:tcPr>
          <w:p>
            <w:pPr>
              <w:spacing w:after="0"/>
              <w:rPr>
                <w:sz w:val="20"/>
                <w:szCs w:val="20"/>
                <w:color w:val="auto"/>
              </w:rPr>
            </w:pPr>
            <w:r>
              <w:rPr>
                <w:rFonts w:ascii="Arial" w:cs="Arial" w:eastAsia="Arial" w:hAnsi="Arial"/>
                <w:sz w:val="17"/>
                <w:szCs w:val="17"/>
                <w:color w:val="auto"/>
              </w:rPr>
              <w:t>SHAREHOLDERS' EQUITY</w:t>
            </w: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400" w:type="dxa"/>
            <w:vAlign w:val="bottom"/>
            <w:shd w:val="clear" w:color="auto" w:fill="BFBFBF"/>
          </w:tcPr>
          <w:p>
            <w:pPr>
              <w:ind w:left="100"/>
              <w:spacing w:after="0" w:line="193" w:lineRule="exact"/>
              <w:rPr>
                <w:sz w:val="20"/>
                <w:szCs w:val="20"/>
                <w:color w:val="auto"/>
              </w:rPr>
            </w:pPr>
            <w:r>
              <w:rPr>
                <w:rFonts w:ascii="Arial" w:cs="Arial" w:eastAsia="Arial" w:hAnsi="Arial"/>
                <w:sz w:val="17"/>
                <w:szCs w:val="17"/>
                <w:color w:val="auto"/>
              </w:rPr>
              <w:t>Preferred stock, par value $5.00 per share;</w:t>
            </w:r>
          </w:p>
        </w:tc>
        <w:tc>
          <w:tcPr>
            <w:tcW w:w="920" w:type="dxa"/>
            <w:vAlign w:val="bottom"/>
            <w:shd w:val="clear" w:color="auto" w:fill="BFBFBF"/>
          </w:tcPr>
          <w:p>
            <w:pPr>
              <w:spacing w:after="0"/>
              <w:rPr>
                <w:sz w:val="16"/>
                <w:szCs w:val="16"/>
                <w:color w:val="auto"/>
              </w:rPr>
            </w:pPr>
          </w:p>
        </w:tc>
        <w:tc>
          <w:tcPr>
            <w:tcW w:w="150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90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authorized 2,000,000 shares; none issued</w:t>
            </w:r>
          </w:p>
        </w:tc>
        <w:tc>
          <w:tcPr>
            <w:tcW w:w="242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BFBFBF"/>
          </w:tcPr>
          <w:p>
            <w:pPr>
              <w:spacing w:after="0"/>
              <w:rPr>
                <w:sz w:val="16"/>
                <w:szCs w:val="16"/>
                <w:color w:val="auto"/>
              </w:rPr>
            </w:pPr>
          </w:p>
        </w:tc>
        <w:tc>
          <w:tcPr>
            <w:tcW w:w="240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0" w:type="dxa"/>
            <w:vAlign w:val="bottom"/>
          </w:tcPr>
          <w:p>
            <w:pPr>
              <w:ind w:left="100"/>
              <w:spacing w:after="0" w:line="193" w:lineRule="exact"/>
              <w:rPr>
                <w:sz w:val="20"/>
                <w:szCs w:val="20"/>
                <w:color w:val="auto"/>
              </w:rPr>
            </w:pPr>
            <w:r>
              <w:rPr>
                <w:rFonts w:ascii="Arial" w:cs="Arial" w:eastAsia="Arial" w:hAnsi="Arial"/>
                <w:sz w:val="17"/>
                <w:szCs w:val="17"/>
                <w:color w:val="auto"/>
              </w:rPr>
              <w:t>Class A Common Stock, par value $.001 per share;</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100"/>
              <w:spacing w:after="0" w:line="194" w:lineRule="exact"/>
              <w:rPr>
                <w:sz w:val="20"/>
                <w:szCs w:val="20"/>
                <w:color w:val="auto"/>
              </w:rPr>
            </w:pPr>
            <w:r>
              <w:rPr>
                <w:rFonts w:ascii="Arial" w:cs="Arial" w:eastAsia="Arial" w:hAnsi="Arial"/>
                <w:sz w:val="17"/>
                <w:szCs w:val="17"/>
                <w:color w:val="auto"/>
              </w:rPr>
              <w:t>authorized 100,000,000 shares; issued 37,447,819 in 2018</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100"/>
              <w:spacing w:after="0" w:line="194" w:lineRule="exact"/>
              <w:rPr>
                <w:sz w:val="20"/>
                <w:szCs w:val="20"/>
                <w:color w:val="auto"/>
              </w:rPr>
            </w:pPr>
            <w:r>
              <w:rPr>
                <w:rFonts w:ascii="Arial" w:cs="Arial" w:eastAsia="Arial" w:hAnsi="Arial"/>
                <w:sz w:val="17"/>
                <w:szCs w:val="17"/>
                <w:color w:val="auto"/>
              </w:rPr>
              <w:t>and 37,395,753 in 2017</w:t>
            </w:r>
          </w:p>
        </w:tc>
        <w:tc>
          <w:tcPr>
            <w:tcW w:w="254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37</w:t>
            </w:r>
          </w:p>
        </w:tc>
        <w:tc>
          <w:tcPr>
            <w:tcW w:w="24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0" w:type="dxa"/>
            <w:vAlign w:val="bottom"/>
            <w:shd w:val="clear" w:color="auto" w:fill="BFBFBF"/>
          </w:tcPr>
          <w:p>
            <w:pPr>
              <w:ind w:left="100"/>
              <w:spacing w:after="0" w:line="193" w:lineRule="exact"/>
              <w:rPr>
                <w:sz w:val="20"/>
                <w:szCs w:val="20"/>
                <w:color w:val="auto"/>
              </w:rPr>
            </w:pPr>
            <w:r>
              <w:rPr>
                <w:rFonts w:ascii="Arial" w:cs="Arial" w:eastAsia="Arial" w:hAnsi="Arial"/>
                <w:sz w:val="17"/>
                <w:szCs w:val="17"/>
                <w:color w:val="auto"/>
              </w:rPr>
              <w:t>Class B Common Stock, par value $.001 per share;</w:t>
            </w:r>
          </w:p>
        </w:tc>
        <w:tc>
          <w:tcPr>
            <w:tcW w:w="920" w:type="dxa"/>
            <w:vAlign w:val="bottom"/>
            <w:shd w:val="clear" w:color="auto" w:fill="BFBFBF"/>
          </w:tcPr>
          <w:p>
            <w:pPr>
              <w:spacing w:after="0"/>
              <w:rPr>
                <w:sz w:val="16"/>
                <w:szCs w:val="16"/>
                <w:color w:val="auto"/>
              </w:rPr>
            </w:pPr>
          </w:p>
        </w:tc>
        <w:tc>
          <w:tcPr>
            <w:tcW w:w="150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90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authorized 25,000,000 shares; issued and</w:t>
            </w:r>
          </w:p>
        </w:tc>
        <w:tc>
          <w:tcPr>
            <w:tcW w:w="920" w:type="dxa"/>
            <w:vAlign w:val="bottom"/>
            <w:shd w:val="clear" w:color="auto" w:fill="BFBFBF"/>
          </w:tcPr>
          <w:p>
            <w:pPr>
              <w:spacing w:after="0"/>
              <w:rPr>
                <w:sz w:val="16"/>
                <w:szCs w:val="16"/>
                <w:color w:val="auto"/>
              </w:rPr>
            </w:pPr>
          </w:p>
        </w:tc>
        <w:tc>
          <w:tcPr>
            <w:tcW w:w="150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90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outstanding 3,233,998 in 2018 and 2017</w:t>
            </w:r>
          </w:p>
        </w:tc>
        <w:tc>
          <w:tcPr>
            <w:tcW w:w="920" w:type="dxa"/>
            <w:vAlign w:val="bottom"/>
            <w:shd w:val="clear" w:color="auto" w:fill="BFBFBF"/>
          </w:tcPr>
          <w:p>
            <w:pPr>
              <w:spacing w:after="0"/>
              <w:rPr>
                <w:sz w:val="16"/>
                <w:szCs w:val="16"/>
                <w:color w:val="auto"/>
              </w:rPr>
            </w:pPr>
          </w:p>
        </w:tc>
        <w:tc>
          <w:tcPr>
            <w:tcW w:w="150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w:t>
            </w:r>
          </w:p>
        </w:tc>
        <w:tc>
          <w:tcPr>
            <w:tcW w:w="120" w:type="dxa"/>
            <w:vAlign w:val="bottom"/>
            <w:shd w:val="clear" w:color="auto" w:fill="BFBFBF"/>
          </w:tcPr>
          <w:p>
            <w:pPr>
              <w:spacing w:after="0"/>
              <w:rPr>
                <w:sz w:val="16"/>
                <w:szCs w:val="16"/>
                <w:color w:val="auto"/>
              </w:rPr>
            </w:pPr>
          </w:p>
        </w:tc>
        <w:tc>
          <w:tcPr>
            <w:tcW w:w="240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3</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80"/>
              <w:spacing w:after="0" w:line="194" w:lineRule="exact"/>
              <w:rPr>
                <w:sz w:val="20"/>
                <w:szCs w:val="20"/>
                <w:color w:val="auto"/>
              </w:rPr>
            </w:pPr>
            <w:r>
              <w:rPr>
                <w:rFonts w:ascii="Arial" w:cs="Arial" w:eastAsia="Arial" w:hAnsi="Arial"/>
                <w:sz w:val="17"/>
                <w:szCs w:val="17"/>
                <w:color w:val="auto"/>
              </w:rPr>
              <w:t>Additional paid in capital</w:t>
            </w:r>
          </w:p>
        </w:tc>
        <w:tc>
          <w:tcPr>
            <w:tcW w:w="920" w:type="dxa"/>
            <w:vAlign w:val="bottom"/>
          </w:tcPr>
          <w:p>
            <w:pPr>
              <w:spacing w:after="0"/>
              <w:rPr>
                <w:sz w:val="16"/>
                <w:szCs w:val="16"/>
                <w:color w:val="auto"/>
              </w:rPr>
            </w:pPr>
          </w:p>
        </w:tc>
        <w:tc>
          <w:tcPr>
            <w:tcW w:w="1500" w:type="dxa"/>
            <w:vAlign w:val="bottom"/>
          </w:tcPr>
          <w:p>
            <w:pPr>
              <w:jc w:val="right"/>
              <w:spacing w:after="0" w:line="194" w:lineRule="exact"/>
              <w:rPr>
                <w:sz w:val="20"/>
                <w:szCs w:val="20"/>
                <w:color w:val="auto"/>
              </w:rPr>
            </w:pPr>
            <w:r>
              <w:rPr>
                <w:rFonts w:ascii="Arial" w:cs="Arial" w:eastAsia="Arial" w:hAnsi="Arial"/>
                <w:sz w:val="17"/>
                <w:szCs w:val="17"/>
                <w:color w:val="auto"/>
              </w:rPr>
              <w:t>429,635</w:t>
            </w:r>
          </w:p>
        </w:tc>
        <w:tc>
          <w:tcPr>
            <w:tcW w:w="120" w:type="dxa"/>
            <w:vAlign w:val="bottom"/>
          </w:tcPr>
          <w:p>
            <w:pPr>
              <w:spacing w:after="0"/>
              <w:rPr>
                <w:sz w:val="16"/>
                <w:szCs w:val="16"/>
                <w:color w:val="auto"/>
              </w:rPr>
            </w:pPr>
          </w:p>
        </w:tc>
        <w:tc>
          <w:tcPr>
            <w:tcW w:w="24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428,423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Retained earnings</w:t>
            </w:r>
          </w:p>
        </w:tc>
        <w:tc>
          <w:tcPr>
            <w:tcW w:w="242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558,639</w:t>
            </w:r>
          </w:p>
        </w:tc>
        <w:tc>
          <w:tcPr>
            <w:tcW w:w="120" w:type="dxa"/>
            <w:vAlign w:val="bottom"/>
            <w:shd w:val="clear" w:color="auto" w:fill="BFBFBF"/>
          </w:tcPr>
          <w:p>
            <w:pPr>
              <w:spacing w:after="0"/>
              <w:rPr>
                <w:sz w:val="16"/>
                <w:szCs w:val="16"/>
                <w:color w:val="auto"/>
              </w:rPr>
            </w:pPr>
          </w:p>
        </w:tc>
        <w:tc>
          <w:tcPr>
            <w:tcW w:w="240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534,082</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80"/>
              <w:spacing w:after="0" w:line="194" w:lineRule="exact"/>
              <w:rPr>
                <w:sz w:val="20"/>
                <w:szCs w:val="20"/>
                <w:color w:val="auto"/>
              </w:rPr>
            </w:pPr>
            <w:r>
              <w:rPr>
                <w:rFonts w:ascii="Arial" w:cs="Arial" w:eastAsia="Arial" w:hAnsi="Arial"/>
                <w:sz w:val="17"/>
                <w:szCs w:val="17"/>
                <w:color w:val="auto"/>
              </w:rPr>
              <w:t>Accumulated items of other comprehensive income:</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Translation adjustments</w:t>
            </w:r>
          </w:p>
        </w:tc>
        <w:tc>
          <w:tcPr>
            <w:tcW w:w="2540" w:type="dxa"/>
            <w:vAlign w:val="bottom"/>
            <w:gridSpan w:val="3"/>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(102,888)</w:t>
            </w:r>
          </w:p>
        </w:tc>
        <w:tc>
          <w:tcPr>
            <w:tcW w:w="2480" w:type="dxa"/>
            <w:vAlign w:val="bottom"/>
            <w:gridSpan w:val="4"/>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(87,318)</w:t>
            </w:r>
          </w:p>
        </w:tc>
        <w:tc>
          <w:tcPr>
            <w:tcW w:w="0" w:type="dxa"/>
            <w:vAlign w:val="bottom"/>
          </w:tcPr>
          <w:p>
            <w:pPr>
              <w:spacing w:after="0"/>
              <w:rPr>
                <w:sz w:val="1"/>
                <w:szCs w:val="1"/>
                <w:color w:val="auto"/>
              </w:rPr>
            </w:pPr>
          </w:p>
        </w:tc>
      </w:tr>
      <w:tr>
        <w:trPr>
          <w:trHeight w:val="194"/>
        </w:trPr>
        <w:tc>
          <w:tcPr>
            <w:tcW w:w="6400" w:type="dxa"/>
            <w:vAlign w:val="bottom"/>
          </w:tcPr>
          <w:p>
            <w:pPr>
              <w:ind w:left="100"/>
              <w:spacing w:after="0" w:line="194" w:lineRule="exact"/>
              <w:rPr>
                <w:sz w:val="20"/>
                <w:szCs w:val="20"/>
                <w:color w:val="auto"/>
              </w:rPr>
            </w:pPr>
            <w:r>
              <w:rPr>
                <w:rFonts w:ascii="Arial" w:cs="Arial" w:eastAsia="Arial" w:hAnsi="Arial"/>
                <w:sz w:val="17"/>
                <w:szCs w:val="17"/>
                <w:color w:val="auto"/>
              </w:rPr>
              <w:t>Pension and postretirement liability adjustments</w:t>
            </w:r>
          </w:p>
        </w:tc>
        <w:tc>
          <w:tcPr>
            <w:tcW w:w="254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(48,422)</w:t>
            </w:r>
          </w:p>
        </w:tc>
        <w:tc>
          <w:tcPr>
            <w:tcW w:w="2480" w:type="dxa"/>
            <w:vAlign w:val="bottom"/>
            <w:gridSpan w:val="4"/>
          </w:tcPr>
          <w:p>
            <w:pPr>
              <w:jc w:val="right"/>
              <w:ind w:right="40"/>
              <w:spacing w:after="0" w:line="194" w:lineRule="exact"/>
              <w:rPr>
                <w:sz w:val="20"/>
                <w:szCs w:val="20"/>
                <w:color w:val="auto"/>
              </w:rPr>
            </w:pPr>
            <w:r>
              <w:rPr>
                <w:rFonts w:ascii="Arial" w:cs="Arial" w:eastAsia="Arial" w:hAnsi="Arial"/>
                <w:sz w:val="17"/>
                <w:szCs w:val="17"/>
                <w:color w:val="auto"/>
              </w:rPr>
              <w:t>(50,536)</w:t>
            </w:r>
          </w:p>
        </w:tc>
        <w:tc>
          <w:tcPr>
            <w:tcW w:w="0" w:type="dxa"/>
            <w:vAlign w:val="bottom"/>
          </w:tcPr>
          <w:p>
            <w:pPr>
              <w:spacing w:after="0"/>
              <w:rPr>
                <w:sz w:val="1"/>
                <w:szCs w:val="1"/>
                <w:color w:val="auto"/>
              </w:rPr>
            </w:pPr>
          </w:p>
        </w:tc>
      </w:tr>
      <w:tr>
        <w:trPr>
          <w:trHeight w:val="194"/>
        </w:trPr>
        <w:tc>
          <w:tcPr>
            <w:tcW w:w="640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Derivative valuation adjustment</w:t>
            </w:r>
          </w:p>
        </w:tc>
        <w:tc>
          <w:tcPr>
            <w:tcW w:w="2540" w:type="dxa"/>
            <w:vAlign w:val="bottom"/>
            <w:gridSpan w:val="3"/>
            <w:shd w:val="clear" w:color="auto" w:fill="BFBFBF"/>
          </w:tcPr>
          <w:p>
            <w:pPr>
              <w:jc w:val="right"/>
              <w:ind w:right="120"/>
              <w:spacing w:after="0" w:line="194" w:lineRule="exact"/>
              <w:rPr>
                <w:sz w:val="20"/>
                <w:szCs w:val="20"/>
                <w:color w:val="auto"/>
              </w:rPr>
            </w:pPr>
            <w:r>
              <w:rPr>
                <w:rFonts w:ascii="Arial" w:cs="Arial" w:eastAsia="Arial" w:hAnsi="Arial"/>
                <w:sz w:val="17"/>
                <w:szCs w:val="17"/>
                <w:color w:val="auto"/>
              </w:rPr>
              <w:t>8,155</w:t>
            </w:r>
          </w:p>
        </w:tc>
        <w:tc>
          <w:tcPr>
            <w:tcW w:w="240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1,953</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0" w:type="dxa"/>
            <w:vAlign w:val="bottom"/>
          </w:tcPr>
          <w:p>
            <w:pPr>
              <w:ind w:left="100"/>
              <w:spacing w:after="0" w:line="193" w:lineRule="exact"/>
              <w:rPr>
                <w:sz w:val="20"/>
                <w:szCs w:val="20"/>
                <w:color w:val="auto"/>
              </w:rPr>
            </w:pPr>
            <w:r>
              <w:rPr>
                <w:rFonts w:ascii="Arial" w:cs="Arial" w:eastAsia="Arial" w:hAnsi="Arial"/>
                <w:sz w:val="17"/>
                <w:szCs w:val="17"/>
                <w:color w:val="auto"/>
              </w:rPr>
              <w:t>Treasury stock (Class A), at cost 8,418,620 shares in 2018</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0" w:type="dxa"/>
            <w:vAlign w:val="bottom"/>
          </w:tcPr>
          <w:p>
            <w:pPr>
              <w:ind w:left="60"/>
              <w:spacing w:after="0"/>
              <w:rPr>
                <w:sz w:val="20"/>
                <w:szCs w:val="20"/>
                <w:color w:val="auto"/>
              </w:rPr>
            </w:pPr>
            <w:r>
              <w:rPr>
                <w:rFonts w:ascii="Arial" w:cs="Arial" w:eastAsia="Arial" w:hAnsi="Arial"/>
                <w:sz w:val="17"/>
                <w:szCs w:val="17"/>
                <w:color w:val="auto"/>
              </w:rPr>
              <w:t>and 8,431,335 shares in 2017</w:t>
            </w:r>
          </w:p>
        </w:tc>
        <w:tc>
          <w:tcPr>
            <w:tcW w:w="2540" w:type="dxa"/>
            <w:vAlign w:val="bottom"/>
            <w:gridSpan w:val="3"/>
          </w:tcPr>
          <w:p>
            <w:pPr>
              <w:jc w:val="right"/>
              <w:ind w:right="60"/>
              <w:spacing w:after="0"/>
              <w:rPr>
                <w:sz w:val="20"/>
                <w:szCs w:val="20"/>
                <w:color w:val="auto"/>
              </w:rPr>
            </w:pPr>
            <w:r>
              <w:rPr>
                <w:rFonts w:ascii="Arial" w:cs="Arial" w:eastAsia="Arial" w:hAnsi="Arial"/>
                <w:sz w:val="17"/>
                <w:szCs w:val="17"/>
                <w:color w:val="auto"/>
              </w:rPr>
              <w:t>(256,602)</w:t>
            </w:r>
          </w:p>
        </w:tc>
        <w:tc>
          <w:tcPr>
            <w:tcW w:w="2480" w:type="dxa"/>
            <w:vAlign w:val="bottom"/>
            <w:gridSpan w:val="4"/>
          </w:tcPr>
          <w:p>
            <w:pPr>
              <w:jc w:val="right"/>
              <w:ind w:right="40"/>
              <w:spacing w:after="0"/>
              <w:rPr>
                <w:sz w:val="20"/>
                <w:szCs w:val="20"/>
                <w:color w:val="auto"/>
              </w:rPr>
            </w:pPr>
            <w:r>
              <w:rPr>
                <w:rFonts w:ascii="Arial" w:cs="Arial" w:eastAsia="Arial" w:hAnsi="Arial"/>
                <w:sz w:val="17"/>
                <w:szCs w:val="17"/>
                <w:color w:val="auto"/>
              </w:rPr>
              <w:t>(256,876)</w:t>
            </w:r>
          </w:p>
        </w:tc>
        <w:tc>
          <w:tcPr>
            <w:tcW w:w="0" w:type="dxa"/>
            <w:vAlign w:val="bottom"/>
          </w:tcPr>
          <w:p>
            <w:pPr>
              <w:spacing w:after="0"/>
              <w:rPr>
                <w:sz w:val="1"/>
                <w:szCs w:val="1"/>
                <w:color w:val="auto"/>
              </w:rPr>
            </w:pPr>
          </w:p>
        </w:tc>
      </w:tr>
      <w:tr>
        <w:trPr>
          <w:trHeight w:val="186"/>
        </w:trPr>
        <w:tc>
          <w:tcPr>
            <w:tcW w:w="6400" w:type="dxa"/>
            <w:vAlign w:val="bottom"/>
            <w:tcBorders>
              <w:top w:val="single" w:sz="8" w:color="BFBFBF"/>
            </w:tcBorders>
            <w:shd w:val="clear" w:color="auto" w:fill="BFBFBF"/>
          </w:tcPr>
          <w:p>
            <w:pPr>
              <w:ind w:left="100"/>
              <w:spacing w:after="0" w:line="186" w:lineRule="exact"/>
              <w:rPr>
                <w:sz w:val="20"/>
                <w:szCs w:val="20"/>
                <w:color w:val="auto"/>
              </w:rPr>
            </w:pPr>
            <w:r>
              <w:rPr>
                <w:rFonts w:ascii="Arial" w:cs="Arial" w:eastAsia="Arial" w:hAnsi="Arial"/>
                <w:sz w:val="17"/>
                <w:szCs w:val="17"/>
                <w:color w:val="auto"/>
              </w:rPr>
              <w:t>Total Company shareholders' equity</w:t>
            </w:r>
          </w:p>
        </w:tc>
        <w:tc>
          <w:tcPr>
            <w:tcW w:w="920" w:type="dxa"/>
            <w:vAlign w:val="bottom"/>
            <w:tcBorders>
              <w:top w:val="single" w:sz="8" w:color="BFBFBF"/>
            </w:tcBorders>
            <w:shd w:val="clear" w:color="auto" w:fill="BFBFBF"/>
          </w:tcPr>
          <w:p>
            <w:pPr>
              <w:spacing w:after="0"/>
              <w:rPr>
                <w:sz w:val="16"/>
                <w:szCs w:val="16"/>
                <w:color w:val="auto"/>
              </w:rPr>
            </w:pPr>
          </w:p>
        </w:tc>
        <w:tc>
          <w:tcPr>
            <w:tcW w:w="150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588,557</w:t>
            </w:r>
          </w:p>
        </w:tc>
        <w:tc>
          <w:tcPr>
            <w:tcW w:w="120" w:type="dxa"/>
            <w:vAlign w:val="bottom"/>
            <w:tcBorders>
              <w:top w:val="single" w:sz="8" w:color="BFBFBF"/>
            </w:tcBorders>
            <w:shd w:val="clear" w:color="auto" w:fill="BFBFBF"/>
          </w:tcPr>
          <w:p>
            <w:pPr>
              <w:spacing w:after="0"/>
              <w:rPr>
                <w:sz w:val="16"/>
                <w:szCs w:val="16"/>
                <w:color w:val="auto"/>
              </w:rPr>
            </w:pPr>
          </w:p>
        </w:tc>
        <w:tc>
          <w:tcPr>
            <w:tcW w:w="900" w:type="dxa"/>
            <w:vAlign w:val="bottom"/>
            <w:tcBorders>
              <w:top w:val="single" w:sz="8" w:color="BFBFBF"/>
            </w:tcBorders>
            <w:shd w:val="clear" w:color="auto" w:fill="BFBFBF"/>
          </w:tcPr>
          <w:p>
            <w:pPr>
              <w:spacing w:after="0"/>
              <w:rPr>
                <w:sz w:val="16"/>
                <w:szCs w:val="16"/>
                <w:color w:val="auto"/>
              </w:rPr>
            </w:pPr>
          </w:p>
        </w:tc>
        <w:tc>
          <w:tcPr>
            <w:tcW w:w="148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569,768</w:t>
            </w:r>
          </w:p>
        </w:tc>
        <w:tc>
          <w:tcPr>
            <w:tcW w:w="20" w:type="dxa"/>
            <w:vAlign w:val="bottom"/>
            <w:tcBorders>
              <w:top w:val="single" w:sz="8" w:color="BFBFBF"/>
            </w:tcBorders>
            <w:shd w:val="clear" w:color="auto" w:fill="BFBFBF"/>
          </w:tcPr>
          <w:p>
            <w:pPr>
              <w:spacing w:after="0"/>
              <w:rPr>
                <w:sz w:val="16"/>
                <w:szCs w:val="16"/>
                <w:color w:val="auto"/>
              </w:rPr>
            </w:pPr>
          </w:p>
        </w:tc>
        <w:tc>
          <w:tcPr>
            <w:tcW w:w="8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100"/>
              <w:spacing w:after="0"/>
              <w:rPr>
                <w:sz w:val="20"/>
                <w:szCs w:val="20"/>
                <w:color w:val="auto"/>
              </w:rPr>
            </w:pPr>
            <w:r>
              <w:rPr>
                <w:rFonts w:ascii="Arial" w:cs="Arial" w:eastAsia="Arial" w:hAnsi="Arial"/>
                <w:sz w:val="17"/>
                <w:szCs w:val="17"/>
                <w:color w:val="auto"/>
              </w:rPr>
              <w:t>Noncontrolling interest</w:t>
            </w:r>
          </w:p>
        </w:tc>
        <w:tc>
          <w:tcPr>
            <w:tcW w:w="2540" w:type="dxa"/>
            <w:vAlign w:val="bottom"/>
            <w:gridSpan w:val="3"/>
          </w:tcPr>
          <w:p>
            <w:pPr>
              <w:jc w:val="right"/>
              <w:ind w:right="120"/>
              <w:spacing w:after="0"/>
              <w:rPr>
                <w:sz w:val="20"/>
                <w:szCs w:val="20"/>
                <w:color w:val="auto"/>
              </w:rPr>
            </w:pPr>
            <w:r>
              <w:rPr>
                <w:rFonts w:ascii="Arial" w:cs="Arial" w:eastAsia="Arial" w:hAnsi="Arial"/>
                <w:sz w:val="17"/>
                <w:szCs w:val="17"/>
                <w:color w:val="auto"/>
              </w:rPr>
              <w:t>3,102</w:t>
            </w:r>
          </w:p>
        </w:tc>
        <w:tc>
          <w:tcPr>
            <w:tcW w:w="2400" w:type="dxa"/>
            <w:vAlign w:val="bottom"/>
            <w:gridSpan w:val="3"/>
          </w:tcPr>
          <w:p>
            <w:pPr>
              <w:jc w:val="right"/>
              <w:ind w:right="20"/>
              <w:spacing w:after="0"/>
              <w:rPr>
                <w:sz w:val="20"/>
                <w:szCs w:val="20"/>
                <w:color w:val="auto"/>
              </w:rPr>
            </w:pPr>
            <w:r>
              <w:rPr>
                <w:rFonts w:ascii="Arial" w:cs="Arial" w:eastAsia="Arial" w:hAnsi="Arial"/>
                <w:sz w:val="17"/>
                <w:szCs w:val="17"/>
                <w:color w:val="auto"/>
              </w:rPr>
              <w:t>3,247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400" w:type="dxa"/>
            <w:vAlign w:val="bottom"/>
            <w:tcBorders>
              <w:top w:val="single" w:sz="8" w:color="BFBFBF"/>
            </w:tcBorders>
            <w:shd w:val="clear" w:color="auto" w:fill="BFBFBF"/>
          </w:tcPr>
          <w:p>
            <w:pPr>
              <w:ind w:left="40"/>
              <w:spacing w:after="0" w:line="185" w:lineRule="exact"/>
              <w:rPr>
                <w:sz w:val="20"/>
                <w:szCs w:val="20"/>
                <w:color w:val="auto"/>
              </w:rPr>
            </w:pPr>
            <w:r>
              <w:rPr>
                <w:rFonts w:ascii="Arial" w:cs="Arial" w:eastAsia="Arial" w:hAnsi="Arial"/>
                <w:sz w:val="17"/>
                <w:szCs w:val="17"/>
                <w:color w:val="auto"/>
              </w:rPr>
              <w:t>Total equity</w:t>
            </w:r>
          </w:p>
        </w:tc>
        <w:tc>
          <w:tcPr>
            <w:tcW w:w="920" w:type="dxa"/>
            <w:vAlign w:val="bottom"/>
            <w:tcBorders>
              <w:top w:val="single" w:sz="8" w:color="BFBFBF"/>
            </w:tcBorders>
            <w:shd w:val="clear" w:color="auto" w:fill="BFBFBF"/>
          </w:tcPr>
          <w:p>
            <w:pPr>
              <w:spacing w:after="0"/>
              <w:rPr>
                <w:sz w:val="16"/>
                <w:szCs w:val="16"/>
                <w:color w:val="auto"/>
              </w:rPr>
            </w:pPr>
          </w:p>
        </w:tc>
        <w:tc>
          <w:tcPr>
            <w:tcW w:w="150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591,659</w:t>
            </w:r>
          </w:p>
        </w:tc>
        <w:tc>
          <w:tcPr>
            <w:tcW w:w="120" w:type="dxa"/>
            <w:vAlign w:val="bottom"/>
            <w:tcBorders>
              <w:top w:val="single" w:sz="8" w:color="BFBFBF"/>
            </w:tcBorders>
            <w:shd w:val="clear" w:color="auto" w:fill="BFBFBF"/>
          </w:tcPr>
          <w:p>
            <w:pPr>
              <w:spacing w:after="0"/>
              <w:rPr>
                <w:sz w:val="16"/>
                <w:szCs w:val="16"/>
                <w:color w:val="auto"/>
              </w:rPr>
            </w:pPr>
          </w:p>
        </w:tc>
        <w:tc>
          <w:tcPr>
            <w:tcW w:w="900" w:type="dxa"/>
            <w:vAlign w:val="bottom"/>
            <w:tcBorders>
              <w:top w:val="single" w:sz="8" w:color="BFBFBF"/>
            </w:tcBorders>
            <w:shd w:val="clear" w:color="auto" w:fill="BFBFBF"/>
          </w:tcPr>
          <w:p>
            <w:pPr>
              <w:spacing w:after="0"/>
              <w:rPr>
                <w:sz w:val="16"/>
                <w:szCs w:val="16"/>
                <w:color w:val="auto"/>
              </w:rPr>
            </w:pPr>
          </w:p>
        </w:tc>
        <w:tc>
          <w:tcPr>
            <w:tcW w:w="148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573,015</w:t>
            </w:r>
          </w:p>
        </w:tc>
        <w:tc>
          <w:tcPr>
            <w:tcW w:w="20" w:type="dxa"/>
            <w:vAlign w:val="bottom"/>
            <w:tcBorders>
              <w:top w:val="single" w:sz="8" w:color="BFBFBF"/>
            </w:tcBorders>
            <w:shd w:val="clear" w:color="auto" w:fill="BFBFBF"/>
          </w:tcPr>
          <w:p>
            <w:pPr>
              <w:spacing w:after="0"/>
              <w:rPr>
                <w:sz w:val="16"/>
                <w:szCs w:val="16"/>
                <w:color w:val="auto"/>
              </w:rPr>
            </w:pPr>
          </w:p>
        </w:tc>
        <w:tc>
          <w:tcPr>
            <w:tcW w:w="8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00" w:type="dxa"/>
            <w:vAlign w:val="bottom"/>
          </w:tcPr>
          <w:p>
            <w:pPr>
              <w:ind w:left="100"/>
              <w:spacing w:after="0" w:line="185" w:lineRule="exact"/>
              <w:rPr>
                <w:sz w:val="20"/>
                <w:szCs w:val="20"/>
                <w:color w:val="auto"/>
              </w:rPr>
            </w:pPr>
            <w:r>
              <w:rPr>
                <w:rFonts w:ascii="Arial" w:cs="Arial" w:eastAsia="Arial" w:hAnsi="Arial"/>
                <w:sz w:val="17"/>
                <w:szCs w:val="17"/>
                <w:color w:val="auto"/>
              </w:rPr>
              <w:t>Total liabilities and shareholders' equity</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$1,422,461</w:t>
            </w:r>
          </w:p>
        </w:tc>
        <w:tc>
          <w:tcPr>
            <w:tcW w:w="120" w:type="dxa"/>
            <w:vAlign w:val="bottom"/>
          </w:tcPr>
          <w:p>
            <w:pPr>
              <w:spacing w:after="0"/>
              <w:rPr>
                <w:sz w:val="17"/>
                <w:szCs w:val="17"/>
                <w:color w:val="auto"/>
              </w:rPr>
            </w:pPr>
          </w:p>
        </w:tc>
        <w:tc>
          <w:tcPr>
            <w:tcW w:w="2400" w:type="dxa"/>
            <w:vAlign w:val="bottom"/>
            <w:gridSpan w:val="3"/>
          </w:tcPr>
          <w:p>
            <w:pPr>
              <w:jc w:val="right"/>
              <w:ind w:right="20"/>
              <w:spacing w:after="0"/>
              <w:rPr>
                <w:sz w:val="20"/>
                <w:szCs w:val="20"/>
                <w:color w:val="auto"/>
              </w:rPr>
            </w:pPr>
            <w:r>
              <w:rPr>
                <w:rFonts w:ascii="Arial" w:cs="Arial" w:eastAsia="Arial" w:hAnsi="Arial"/>
                <w:sz w:val="17"/>
                <w:szCs w:val="17"/>
                <w:color w:val="auto"/>
              </w:rPr>
              <w:t>$1,361,198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ALBANY INTERNATIONAL CORP.</w:t>
      </w:r>
    </w:p>
    <w:p>
      <w:pPr>
        <w:jc w:val="center"/>
        <w:spacing w:after="0" w:line="237" w:lineRule="auto"/>
        <w:rPr>
          <w:sz w:val="20"/>
          <w:szCs w:val="20"/>
          <w:color w:val="auto"/>
        </w:rPr>
      </w:pPr>
      <w:r>
        <w:rPr>
          <w:rFonts w:ascii="Arial" w:cs="Arial" w:eastAsia="Arial" w:hAnsi="Arial"/>
          <w:sz w:val="17"/>
          <w:szCs w:val="17"/>
          <w:color w:val="auto"/>
        </w:rPr>
        <w:t>CONSOLIDATED STATEMENTS OF CASH FLOW</w:t>
      </w:r>
    </w:p>
    <w:p>
      <w:pPr>
        <w:jc w:val="center"/>
        <w:spacing w:after="0" w:line="238" w:lineRule="auto"/>
        <w:rPr>
          <w:sz w:val="20"/>
          <w:szCs w:val="20"/>
          <w:color w:val="auto"/>
        </w:rPr>
      </w:pPr>
      <w:r>
        <w:rPr>
          <w:rFonts w:ascii="Arial" w:cs="Arial" w:eastAsia="Arial" w:hAnsi="Arial"/>
          <w:sz w:val="17"/>
          <w:szCs w:val="17"/>
          <w:color w:val="auto"/>
        </w:rPr>
        <w:t>(in thousands)</w:t>
      </w:r>
    </w:p>
    <w:p>
      <w:pPr>
        <w:jc w:val="center"/>
        <w:spacing w:after="0"/>
        <w:rPr>
          <w:sz w:val="20"/>
          <w:szCs w:val="20"/>
          <w:color w:val="auto"/>
        </w:rPr>
      </w:pPr>
      <w:r>
        <w:rPr>
          <w:rFonts w:ascii="Arial" w:cs="Arial" w:eastAsia="Arial" w:hAnsi="Arial"/>
          <w:sz w:val="17"/>
          <w:szCs w:val="17"/>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gridSpan w:val="5"/>
          </w:tcPr>
          <w:p>
            <w:pPr>
              <w:jc w:val="right"/>
              <w:ind w:right="500"/>
              <w:spacing w:after="0"/>
              <w:rPr>
                <w:sz w:val="20"/>
                <w:szCs w:val="20"/>
                <w:color w:val="auto"/>
              </w:rPr>
            </w:pPr>
            <w:r>
              <w:rPr>
                <w:rFonts w:ascii="Arial" w:cs="Arial" w:eastAsia="Arial" w:hAnsi="Arial"/>
                <w:sz w:val="17"/>
                <w:szCs w:val="17"/>
                <w:color w:val="auto"/>
              </w:rPr>
              <w:t>Three Months Ended</w:t>
            </w:r>
          </w:p>
        </w:tc>
        <w:tc>
          <w:tcPr>
            <w:tcW w:w="6380" w:type="dxa"/>
            <w:vAlign w:val="bottom"/>
          </w:tcPr>
          <w:p>
            <w:pPr>
              <w:spacing w:after="0"/>
              <w:rPr>
                <w:sz w:val="16"/>
                <w:szCs w:val="16"/>
                <w:color w:val="auto"/>
              </w:rPr>
            </w:pPr>
          </w:p>
        </w:tc>
        <w:tc>
          <w:tcPr>
            <w:tcW w:w="2500" w:type="dxa"/>
            <w:vAlign w:val="bottom"/>
            <w:gridSpan w:val="5"/>
          </w:tcPr>
          <w:p>
            <w:pPr>
              <w:jc w:val="center"/>
              <w:ind w:right="8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06"/>
        </w:trPr>
        <w:tc>
          <w:tcPr>
            <w:tcW w:w="1620" w:type="dxa"/>
            <w:vAlign w:val="bottom"/>
            <w:gridSpan w:val="3"/>
          </w:tcPr>
          <w:p>
            <w:pPr>
              <w:ind w:left="900"/>
              <w:spacing w:after="0"/>
              <w:rPr>
                <w:sz w:val="20"/>
                <w:szCs w:val="20"/>
                <w:color w:val="auto"/>
              </w:rPr>
            </w:pPr>
            <w:r>
              <w:rPr>
                <w:rFonts w:ascii="Arial" w:cs="Arial" w:eastAsia="Arial" w:hAnsi="Arial"/>
                <w:sz w:val="17"/>
                <w:szCs w:val="17"/>
                <w:color w:val="auto"/>
              </w:rPr>
              <w:t>June 30,</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640" w:type="dxa"/>
            <w:vAlign w:val="bottom"/>
            <w:gridSpan w:val="3"/>
          </w:tcPr>
          <w:p>
            <w:pPr>
              <w:jc w:val="center"/>
              <w:ind w:left="694"/>
              <w:spacing w:after="0"/>
              <w:rPr>
                <w:sz w:val="20"/>
                <w:szCs w:val="20"/>
                <w:color w:val="auto"/>
              </w:rPr>
            </w:pPr>
            <w:r>
              <w:rPr>
                <w:rFonts w:ascii="Arial" w:cs="Arial" w:eastAsia="Arial" w:hAnsi="Arial"/>
                <w:sz w:val="17"/>
                <w:szCs w:val="17"/>
                <w:color w:val="auto"/>
              </w:rPr>
              <w:t>June 30,</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80" w:type="dxa"/>
            <w:vAlign w:val="bottom"/>
          </w:tcPr>
          <w:p>
            <w:pPr>
              <w:ind w:left="60"/>
              <w:spacing w:after="0" w:line="186" w:lineRule="exact"/>
              <w:rPr>
                <w:sz w:val="20"/>
                <w:szCs w:val="20"/>
                <w:color w:val="auto"/>
              </w:rPr>
            </w:pPr>
            <w:r>
              <w:rPr>
                <w:rFonts w:ascii="Arial" w:cs="Arial" w:eastAsia="Arial" w:hAnsi="Arial"/>
                <w:sz w:val="17"/>
                <w:szCs w:val="17"/>
                <w:color w:val="auto"/>
              </w:rPr>
              <w:t>OPERATING ACTIVITIES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$30,306</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$1,233</w:t>
            </w:r>
          </w:p>
        </w:tc>
        <w:tc>
          <w:tcPr>
            <w:tcW w:w="6380" w:type="dxa"/>
            <w:vAlign w:val="bottom"/>
            <w:shd w:val="clear" w:color="auto" w:fill="BFBFBF"/>
          </w:tcPr>
          <w:p>
            <w:pPr>
              <w:ind w:left="60"/>
              <w:spacing w:after="0" w:line="194" w:lineRule="exact"/>
              <w:rPr>
                <w:sz w:val="20"/>
                <w:szCs w:val="20"/>
                <w:color w:val="auto"/>
              </w:rPr>
            </w:pPr>
            <w:r>
              <w:rPr>
                <w:rFonts w:ascii="Arial" w:cs="Arial" w:eastAsia="Arial" w:hAnsi="Arial"/>
                <w:sz w:val="17"/>
                <w:szCs w:val="17"/>
                <w:color w:val="auto"/>
              </w:rPr>
              <w:t>Net income</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$40,788</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$12,207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80" w:type="dxa"/>
            <w:vAlign w:val="bottom"/>
          </w:tcPr>
          <w:p>
            <w:pPr>
              <w:ind w:left="60"/>
              <w:spacing w:after="0" w:line="194"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17,114</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15,201</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Depreciation</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35,416</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29,845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2,559</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2,632</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Amortization</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5,205</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5,281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(854)</w:t>
            </w:r>
          </w:p>
        </w:tc>
        <w:tc>
          <w:tcPr>
            <w:tcW w:w="10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(758)</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Change in other noncurrent liabilities</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(1,231)</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(2,354)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(6,118)</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(6,745)</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Change in deferred taxes and other liabilities</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(6,902)</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(7,357)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853</w:t>
            </w:r>
          </w:p>
        </w:tc>
        <w:tc>
          <w:tcPr>
            <w:tcW w:w="10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534</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Provision for write-off of property, plant and equipment</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1,124</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154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212</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Non-cash interest expense</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154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423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1,047</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681</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Compensation and benefits paid or payable in Class A Common Stock</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1,336</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1,670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34</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75</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Fair value adjustment on foreign currency option</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71</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880" w:type="dxa"/>
            <w:vAlign w:val="bottom"/>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6380" w:type="dxa"/>
            <w:vAlign w:val="bottom"/>
            <w:shd w:val="clear" w:color="auto" w:fill="BFBFBF"/>
          </w:tcPr>
          <w:p>
            <w:pPr>
              <w:spacing w:after="0"/>
              <w:rPr>
                <w:sz w:val="16"/>
                <w:szCs w:val="16"/>
                <w:color w:val="auto"/>
              </w:rPr>
            </w:pPr>
          </w:p>
        </w:tc>
        <w:tc>
          <w:tcPr>
            <w:tcW w:w="1120" w:type="dxa"/>
            <w:vAlign w:val="bottom"/>
            <w:shd w:val="clear" w:color="auto" w:fill="BFBFBF"/>
          </w:tcPr>
          <w:p>
            <w:pPr>
              <w:spacing w:after="0"/>
              <w:rPr>
                <w:sz w:val="16"/>
                <w:szCs w:val="16"/>
                <w:color w:val="auto"/>
              </w:rPr>
            </w:pPr>
          </w:p>
        </w:tc>
        <w:tc>
          <w:tcPr>
            <w:tcW w:w="220" w:type="dxa"/>
            <w:vAlign w:val="bottom"/>
            <w:shd w:val="clear" w:color="auto" w:fill="BFBFBF"/>
          </w:tcPr>
          <w:p>
            <w:pPr>
              <w:spacing w:after="0"/>
              <w:rPr>
                <w:sz w:val="16"/>
                <w:szCs w:val="16"/>
                <w:color w:val="auto"/>
              </w:rPr>
            </w:pP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80" w:type="dxa"/>
            <w:vAlign w:val="bottom"/>
          </w:tcPr>
          <w:p>
            <w:pPr>
              <w:ind w:left="100"/>
              <w:spacing w:after="0" w:line="194" w:lineRule="exact"/>
              <w:rPr>
                <w:sz w:val="20"/>
                <w:szCs w:val="20"/>
                <w:color w:val="auto"/>
              </w:rPr>
            </w:pPr>
            <w:r>
              <w:rPr>
                <w:rFonts w:ascii="Arial" w:cs="Arial" w:eastAsia="Arial" w:hAnsi="Arial"/>
                <w:sz w:val="17"/>
                <w:szCs w:val="17"/>
                <w:color w:val="auto"/>
              </w:rPr>
              <w:t>Changes in operating assets and liabilities that (used)/provided cash:</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(12,903)</w:t>
            </w:r>
          </w:p>
        </w:tc>
        <w:tc>
          <w:tcPr>
            <w:tcW w:w="10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(14,395)</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Accounts receivable</w:t>
            </w:r>
          </w:p>
        </w:tc>
        <w:tc>
          <w:tcPr>
            <w:tcW w:w="11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(44,370)</w:t>
            </w:r>
          </w:p>
        </w:tc>
        <w:tc>
          <w:tcPr>
            <w:tcW w:w="220" w:type="dxa"/>
            <w:vAlign w:val="bottom"/>
            <w:shd w:val="clear" w:color="auto" w:fill="BFBFBF"/>
          </w:tcPr>
          <w:p>
            <w:pPr>
              <w:spacing w:after="0"/>
              <w:rPr>
                <w:sz w:val="16"/>
                <w:szCs w:val="16"/>
                <w:color w:val="auto"/>
              </w:rPr>
            </w:pP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(15,136)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(13,877)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Contract assets</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(11,761)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(1,371)</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1,655</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Inventories</w:t>
            </w:r>
          </w:p>
        </w:tc>
        <w:tc>
          <w:tcPr>
            <w:tcW w:w="11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(10,615)</w:t>
            </w:r>
          </w:p>
        </w:tc>
        <w:tc>
          <w:tcPr>
            <w:tcW w:w="220" w:type="dxa"/>
            <w:vAlign w:val="bottom"/>
            <w:shd w:val="clear" w:color="auto" w:fill="BFBFBF"/>
          </w:tcPr>
          <w:p>
            <w:pPr>
              <w:spacing w:after="0"/>
              <w:rPr>
                <w:sz w:val="16"/>
                <w:szCs w:val="16"/>
                <w:color w:val="auto"/>
              </w:rPr>
            </w:pP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(13,266)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(1,157)</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(780)</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(5,220)</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(2,697)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(2,817)</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Income taxes prepaid and receivable</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97</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(2,817)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11,420</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(1,459)</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Accounts payable</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8,882</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2,065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5,853</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10,071</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Accrued liabilities</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4,668</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10,020</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1,978</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Income taxes payable</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6,589</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(508)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(1,643)</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(3,621)</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Noncurrent receivables</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(4,170)</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(7,536)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(5,745)</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4,692</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Other, net</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(3,321)</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3,938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35,687</w:t>
            </w:r>
          </w:p>
        </w:tc>
        <w:tc>
          <w:tcPr>
            <w:tcW w:w="100" w:type="dxa"/>
            <w:vAlign w:val="bottom"/>
            <w:tcBorders>
              <w:top w:val="single" w:sz="8" w:color="BFBFBF"/>
            </w:tcBorders>
            <w:shd w:val="clear" w:color="auto" w:fill="BFBFBF"/>
          </w:tcPr>
          <w:p>
            <w:pPr>
              <w:spacing w:after="0"/>
              <w:rPr>
                <w:sz w:val="16"/>
                <w:szCs w:val="16"/>
                <w:color w:val="auto"/>
              </w:rPr>
            </w:pPr>
          </w:p>
        </w:tc>
        <w:tc>
          <w:tcPr>
            <w:tcW w:w="360" w:type="dxa"/>
            <w:vAlign w:val="bottom"/>
            <w:tcBorders>
              <w:top w:val="single" w:sz="8" w:color="auto"/>
              <w:bottom w:val="single" w:sz="8" w:color="auto"/>
            </w:tcBorders>
            <w:shd w:val="clear" w:color="auto" w:fill="BFBFBF"/>
          </w:tcPr>
          <w:p>
            <w:pPr>
              <w:spacing w:after="0"/>
              <w:rPr>
                <w:sz w:val="16"/>
                <w:szCs w:val="16"/>
                <w:color w:val="auto"/>
              </w:rPr>
            </w:pPr>
          </w:p>
        </w:tc>
        <w:tc>
          <w:tcPr>
            <w:tcW w:w="88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8,389</w:t>
            </w:r>
          </w:p>
        </w:tc>
        <w:tc>
          <w:tcPr>
            <w:tcW w:w="60" w:type="dxa"/>
            <w:vAlign w:val="bottom"/>
            <w:tcBorders>
              <w:top w:val="single" w:sz="8" w:color="BFBFBF"/>
            </w:tcBorders>
            <w:shd w:val="clear" w:color="auto" w:fill="BFBFBF"/>
          </w:tcPr>
          <w:p>
            <w:pPr>
              <w:spacing w:after="0"/>
              <w:rPr>
                <w:sz w:val="16"/>
                <w:szCs w:val="16"/>
                <w:color w:val="auto"/>
              </w:rPr>
            </w:pPr>
          </w:p>
        </w:tc>
        <w:tc>
          <w:tcPr>
            <w:tcW w:w="6380" w:type="dxa"/>
            <w:vAlign w:val="bottom"/>
            <w:tcBorders>
              <w:top w:val="single" w:sz="8" w:color="BFBFBF"/>
            </w:tcBorders>
            <w:shd w:val="clear" w:color="auto" w:fill="BFBFBF"/>
          </w:tcPr>
          <w:p>
            <w:pPr>
              <w:ind w:left="300"/>
              <w:spacing w:after="0" w:line="186" w:lineRule="exact"/>
              <w:rPr>
                <w:sz w:val="20"/>
                <w:szCs w:val="20"/>
                <w:color w:val="auto"/>
              </w:rPr>
            </w:pPr>
            <w:r>
              <w:rPr>
                <w:rFonts w:ascii="Arial" w:cs="Arial" w:eastAsia="Arial" w:hAnsi="Arial"/>
                <w:sz w:val="17"/>
                <w:szCs w:val="17"/>
                <w:color w:val="auto"/>
              </w:rPr>
              <w:t>Net cash provided by operating activities</w:t>
            </w:r>
          </w:p>
        </w:tc>
        <w:tc>
          <w:tcPr>
            <w:tcW w:w="112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16,740</w:t>
            </w:r>
          </w:p>
        </w:tc>
        <w:tc>
          <w:tcPr>
            <w:tcW w:w="220" w:type="dxa"/>
            <w:vAlign w:val="bottom"/>
            <w:tcBorders>
              <w:top w:val="single" w:sz="8" w:color="BFBFBF"/>
            </w:tcBorders>
            <w:shd w:val="clear" w:color="auto" w:fill="BFBFBF"/>
          </w:tcPr>
          <w:p>
            <w:pPr>
              <w:spacing w:after="0"/>
              <w:rPr>
                <w:sz w:val="16"/>
                <w:szCs w:val="16"/>
                <w:color w:val="auto"/>
              </w:rPr>
            </w:pPr>
          </w:p>
        </w:tc>
        <w:tc>
          <w:tcPr>
            <w:tcW w:w="300" w:type="dxa"/>
            <w:vAlign w:val="bottom"/>
            <w:tcBorders>
              <w:top w:val="single" w:sz="8" w:color="auto"/>
              <w:bottom w:val="single" w:sz="8" w:color="auto"/>
            </w:tcBorders>
            <w:shd w:val="clear" w:color="auto" w:fill="BFBFBF"/>
          </w:tcPr>
          <w:p>
            <w:pPr>
              <w:spacing w:after="0"/>
              <w:rPr>
                <w:sz w:val="16"/>
                <w:szCs w:val="16"/>
                <w:color w:val="auto"/>
              </w:rPr>
            </w:pPr>
          </w:p>
        </w:tc>
        <w:tc>
          <w:tcPr>
            <w:tcW w:w="84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3,817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Arial" w:cs="Arial" w:eastAsia="Arial" w:hAnsi="Arial"/>
                <w:sz w:val="17"/>
                <w:szCs w:val="17"/>
                <w:color w:val="auto"/>
              </w:rPr>
              <w:t>INVESTING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(23,352)</w:t>
            </w:r>
          </w:p>
        </w:tc>
        <w:tc>
          <w:tcPr>
            <w:tcW w:w="10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(21,360)</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Purchases of property, plant and equipment</w:t>
            </w:r>
          </w:p>
        </w:tc>
        <w:tc>
          <w:tcPr>
            <w:tcW w:w="11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(39,123)</w:t>
            </w:r>
          </w:p>
        </w:tc>
        <w:tc>
          <w:tcPr>
            <w:tcW w:w="220" w:type="dxa"/>
            <w:vAlign w:val="bottom"/>
            <w:shd w:val="clear" w:color="auto" w:fill="BFBFBF"/>
          </w:tcPr>
          <w:p>
            <w:pPr>
              <w:spacing w:after="0"/>
              <w:rPr>
                <w:sz w:val="16"/>
                <w:szCs w:val="16"/>
                <w:color w:val="auto"/>
              </w:rPr>
            </w:pP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(46,405)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(23)</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(353)</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Purchased software</w:t>
            </w:r>
          </w:p>
        </w:tc>
        <w:tc>
          <w:tcPr>
            <w:tcW w:w="13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(52)</w:t>
            </w: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(391)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(23,375)</w:t>
            </w:r>
          </w:p>
        </w:tc>
        <w:tc>
          <w:tcPr>
            <w:tcW w:w="100" w:type="dxa"/>
            <w:vAlign w:val="bottom"/>
            <w:tcBorders>
              <w:top w:val="single" w:sz="8" w:color="BFBFBF"/>
            </w:tcBorders>
            <w:shd w:val="clear" w:color="auto" w:fill="BFBFBF"/>
          </w:tcPr>
          <w:p>
            <w:pPr>
              <w:spacing w:after="0"/>
              <w:rPr>
                <w:sz w:val="16"/>
                <w:szCs w:val="16"/>
                <w:color w:val="auto"/>
              </w:rPr>
            </w:pPr>
          </w:p>
        </w:tc>
        <w:tc>
          <w:tcPr>
            <w:tcW w:w="360" w:type="dxa"/>
            <w:vAlign w:val="bottom"/>
            <w:tcBorders>
              <w:top w:val="single" w:sz="8" w:color="auto"/>
              <w:bottom w:val="single" w:sz="8" w:color="auto"/>
            </w:tcBorders>
            <w:shd w:val="clear" w:color="auto" w:fill="BFBFBF"/>
          </w:tcPr>
          <w:p>
            <w:pPr>
              <w:spacing w:after="0"/>
              <w:rPr>
                <w:sz w:val="16"/>
                <w:szCs w:val="16"/>
                <w:color w:val="auto"/>
              </w:rPr>
            </w:pPr>
          </w:p>
        </w:tc>
        <w:tc>
          <w:tcPr>
            <w:tcW w:w="88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(21,713)</w:t>
            </w:r>
          </w:p>
        </w:tc>
        <w:tc>
          <w:tcPr>
            <w:tcW w:w="60" w:type="dxa"/>
            <w:vAlign w:val="bottom"/>
            <w:tcBorders>
              <w:top w:val="single" w:sz="8" w:color="BFBFBF"/>
            </w:tcBorders>
            <w:shd w:val="clear" w:color="auto" w:fill="BFBFBF"/>
          </w:tcPr>
          <w:p>
            <w:pPr>
              <w:spacing w:after="0"/>
              <w:rPr>
                <w:sz w:val="16"/>
                <w:szCs w:val="16"/>
                <w:color w:val="auto"/>
              </w:rPr>
            </w:pPr>
          </w:p>
        </w:tc>
        <w:tc>
          <w:tcPr>
            <w:tcW w:w="6380" w:type="dxa"/>
            <w:vAlign w:val="bottom"/>
            <w:tcBorders>
              <w:top w:val="single" w:sz="8" w:color="BFBFBF"/>
            </w:tcBorders>
            <w:shd w:val="clear" w:color="auto" w:fill="BFBFBF"/>
          </w:tcPr>
          <w:p>
            <w:pPr>
              <w:ind w:left="300"/>
              <w:spacing w:after="0" w:line="186" w:lineRule="exact"/>
              <w:rPr>
                <w:sz w:val="20"/>
                <w:szCs w:val="20"/>
                <w:color w:val="auto"/>
              </w:rPr>
            </w:pPr>
            <w:r>
              <w:rPr>
                <w:rFonts w:ascii="Arial" w:cs="Arial" w:eastAsia="Arial" w:hAnsi="Arial"/>
                <w:sz w:val="17"/>
                <w:szCs w:val="17"/>
                <w:color w:val="auto"/>
              </w:rPr>
              <w:t>Net cash used in investing activities</w:t>
            </w:r>
          </w:p>
        </w:tc>
        <w:tc>
          <w:tcPr>
            <w:tcW w:w="112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(39,175)</w:t>
            </w:r>
          </w:p>
        </w:tc>
        <w:tc>
          <w:tcPr>
            <w:tcW w:w="220" w:type="dxa"/>
            <w:vAlign w:val="bottom"/>
            <w:tcBorders>
              <w:top w:val="single" w:sz="8" w:color="BFBFBF"/>
            </w:tcBorders>
            <w:shd w:val="clear" w:color="auto" w:fill="BFBFBF"/>
          </w:tcPr>
          <w:p>
            <w:pPr>
              <w:spacing w:after="0"/>
              <w:rPr>
                <w:sz w:val="16"/>
                <w:szCs w:val="16"/>
                <w:color w:val="auto"/>
              </w:rPr>
            </w:pPr>
          </w:p>
        </w:tc>
        <w:tc>
          <w:tcPr>
            <w:tcW w:w="300" w:type="dxa"/>
            <w:vAlign w:val="bottom"/>
            <w:tcBorders>
              <w:top w:val="single" w:sz="8" w:color="auto"/>
              <w:bottom w:val="single" w:sz="8" w:color="auto"/>
            </w:tcBorders>
            <w:shd w:val="clear" w:color="auto" w:fill="BFBFBF"/>
          </w:tcPr>
          <w:p>
            <w:pPr>
              <w:spacing w:after="0"/>
              <w:rPr>
                <w:sz w:val="16"/>
                <w:szCs w:val="16"/>
                <w:color w:val="auto"/>
              </w:rPr>
            </w:pPr>
          </w:p>
        </w:tc>
        <w:tc>
          <w:tcPr>
            <w:tcW w:w="84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(46,796)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Arial" w:cs="Arial" w:eastAsia="Arial" w:hAnsi="Arial"/>
                <w:sz w:val="17"/>
                <w:szCs w:val="17"/>
                <w:color w:val="auto"/>
              </w:rPr>
              <w:t>FINANCING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10,020</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16,114</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Proceeds from borrowings</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23,031</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32,259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(5,653)</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(540)</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Principal payments on debt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(14,143)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(21,142)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Taxes paid in lieu of share issuance</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(1,652)</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(1,364)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100</w:t>
            </w:r>
          </w:p>
        </w:tc>
        <w:tc>
          <w:tcPr>
            <w:tcW w:w="6380" w:type="dxa"/>
            <w:vAlign w:val="bottom"/>
          </w:tcPr>
          <w:p>
            <w:pPr>
              <w:ind w:left="300"/>
              <w:spacing w:after="0" w:line="194" w:lineRule="exact"/>
              <w:rPr>
                <w:sz w:val="20"/>
                <w:szCs w:val="20"/>
                <w:color w:val="auto"/>
              </w:rPr>
            </w:pPr>
            <w:r>
              <w:rPr>
                <w:rFonts w:ascii="Arial" w:cs="Arial" w:eastAsia="Arial" w:hAnsi="Arial"/>
                <w:sz w:val="17"/>
                <w:szCs w:val="17"/>
                <w:color w:val="auto"/>
              </w:rPr>
              <w:t>Proceeds from options exercised</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150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(5,482)</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(5,467)</w:t>
            </w:r>
          </w:p>
        </w:tc>
        <w:tc>
          <w:tcPr>
            <w:tcW w:w="6380" w:type="dxa"/>
            <w:vAlign w:val="bottom"/>
            <w:shd w:val="clear" w:color="auto" w:fill="BFBFBF"/>
          </w:tcPr>
          <w:p>
            <w:pPr>
              <w:ind w:left="300"/>
              <w:spacing w:after="0" w:line="194" w:lineRule="exact"/>
              <w:rPr>
                <w:sz w:val="20"/>
                <w:szCs w:val="20"/>
                <w:color w:val="auto"/>
              </w:rPr>
            </w:pPr>
            <w:r>
              <w:rPr>
                <w:rFonts w:ascii="Arial" w:cs="Arial" w:eastAsia="Arial" w:hAnsi="Arial"/>
                <w:sz w:val="17"/>
                <w:szCs w:val="17"/>
                <w:color w:val="auto"/>
              </w:rPr>
              <w:t>Dividends paid</w:t>
            </w:r>
          </w:p>
        </w:tc>
        <w:tc>
          <w:tcPr>
            <w:tcW w:w="11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(10,956)</w:t>
            </w:r>
          </w:p>
        </w:tc>
        <w:tc>
          <w:tcPr>
            <w:tcW w:w="220" w:type="dxa"/>
            <w:vAlign w:val="bottom"/>
            <w:shd w:val="clear" w:color="auto" w:fill="BFBFBF"/>
          </w:tcPr>
          <w:p>
            <w:pPr>
              <w:spacing w:after="0"/>
              <w:rPr>
                <w:sz w:val="16"/>
                <w:szCs w:val="16"/>
                <w:color w:val="auto"/>
              </w:rPr>
            </w:pP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(10,926)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(1,112)</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10,207</w:t>
            </w:r>
          </w:p>
        </w:tc>
        <w:tc>
          <w:tcPr>
            <w:tcW w:w="60" w:type="dxa"/>
            <w:vAlign w:val="bottom"/>
          </w:tcPr>
          <w:p>
            <w:pPr>
              <w:spacing w:after="0"/>
              <w:rPr>
                <w:sz w:val="16"/>
                <w:szCs w:val="16"/>
                <w:color w:val="auto"/>
              </w:rPr>
            </w:pPr>
          </w:p>
        </w:tc>
        <w:tc>
          <w:tcPr>
            <w:tcW w:w="6380" w:type="dxa"/>
            <w:vAlign w:val="bottom"/>
          </w:tcPr>
          <w:p>
            <w:pPr>
              <w:ind w:left="300"/>
              <w:spacing w:after="0" w:line="186" w:lineRule="exact"/>
              <w:rPr>
                <w:sz w:val="20"/>
                <w:szCs w:val="20"/>
                <w:color w:val="auto"/>
              </w:rPr>
            </w:pPr>
            <w:r>
              <w:rPr>
                <w:rFonts w:ascii="Arial" w:cs="Arial" w:eastAsia="Arial" w:hAnsi="Arial"/>
                <w:sz w:val="17"/>
                <w:szCs w:val="17"/>
                <w:color w:val="auto"/>
              </w:rPr>
              <w:t>Net cash (used in)/provided by financing activities</w:t>
            </w:r>
          </w:p>
        </w:tc>
        <w:tc>
          <w:tcPr>
            <w:tcW w:w="11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(3,570)</w:t>
            </w:r>
          </w:p>
        </w:tc>
        <w:tc>
          <w:tcPr>
            <w:tcW w:w="2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(7,882)</w:t>
            </w:r>
          </w:p>
        </w:tc>
        <w:tc>
          <w:tcPr>
            <w:tcW w:w="100" w:type="dxa"/>
            <w:vAlign w:val="bottom"/>
            <w:shd w:val="clear" w:color="auto" w:fill="BFBFBF"/>
          </w:tcPr>
          <w:p>
            <w:pPr>
              <w:spacing w:after="0"/>
              <w:rPr>
                <w:sz w:val="16"/>
                <w:szCs w:val="16"/>
                <w:color w:val="auto"/>
              </w:rPr>
            </w:pP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(1,424)</w:t>
            </w:r>
          </w:p>
        </w:tc>
        <w:tc>
          <w:tcPr>
            <w:tcW w:w="6380" w:type="dxa"/>
            <w:vAlign w:val="bottom"/>
            <w:shd w:val="clear" w:color="auto" w:fill="BFBFBF"/>
          </w:tcPr>
          <w:p>
            <w:pPr>
              <w:ind w:left="60"/>
              <w:spacing w:after="0" w:line="194" w:lineRule="exact"/>
              <w:rPr>
                <w:sz w:val="20"/>
                <w:szCs w:val="20"/>
                <w:color w:val="auto"/>
              </w:rPr>
            </w:pPr>
            <w:r>
              <w:rPr>
                <w:rFonts w:ascii="Arial" w:cs="Arial" w:eastAsia="Arial" w:hAnsi="Arial"/>
                <w:sz w:val="17"/>
                <w:szCs w:val="17"/>
                <w:color w:val="auto"/>
              </w:rPr>
              <w:t>Effect of exchange rate changes on cash and cash equivalents</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(2,978)</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1,027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60" w:type="dxa"/>
            <w:vAlign w:val="bottom"/>
          </w:tcPr>
          <w:p>
            <w:pPr>
              <w:jc w:val="right"/>
              <w:spacing w:after="0"/>
              <w:rPr>
                <w:sz w:val="20"/>
                <w:szCs w:val="20"/>
                <w:color w:val="auto"/>
              </w:rPr>
            </w:pPr>
            <w:r>
              <w:rPr>
                <w:rFonts w:ascii="Arial" w:cs="Arial" w:eastAsia="Arial" w:hAnsi="Arial"/>
                <w:sz w:val="17"/>
                <w:szCs w:val="17"/>
                <w:color w:val="auto"/>
              </w:rPr>
              <w:t>3,318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(4,541)</w:t>
            </w:r>
          </w:p>
        </w:tc>
        <w:tc>
          <w:tcPr>
            <w:tcW w:w="6380" w:type="dxa"/>
            <w:vAlign w:val="bottom"/>
          </w:tcPr>
          <w:p>
            <w:pPr>
              <w:ind w:left="60"/>
              <w:spacing w:after="0"/>
              <w:rPr>
                <w:sz w:val="20"/>
                <w:szCs w:val="20"/>
                <w:color w:val="auto"/>
              </w:rPr>
            </w:pPr>
            <w:r>
              <w:rPr>
                <w:rFonts w:ascii="Arial" w:cs="Arial" w:eastAsia="Arial" w:hAnsi="Arial"/>
                <w:sz w:val="17"/>
                <w:szCs w:val="17"/>
                <w:color w:val="auto"/>
              </w:rPr>
              <w:t>(Decrease)/increase in cash and cash equivalents</w:t>
            </w:r>
          </w:p>
        </w:tc>
        <w:tc>
          <w:tcPr>
            <w:tcW w:w="1120" w:type="dxa"/>
            <w:vAlign w:val="bottom"/>
          </w:tcPr>
          <w:p>
            <w:pPr>
              <w:jc w:val="right"/>
              <w:spacing w:after="0"/>
              <w:rPr>
                <w:sz w:val="20"/>
                <w:szCs w:val="20"/>
                <w:color w:val="auto"/>
              </w:rPr>
            </w:pPr>
            <w:r>
              <w:rPr>
                <w:rFonts w:ascii="Arial" w:cs="Arial" w:eastAsia="Arial" w:hAnsi="Arial"/>
                <w:sz w:val="17"/>
                <w:szCs w:val="17"/>
                <w:color w:val="auto"/>
              </w:rPr>
              <w:t>(28,983)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(42,950)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151,426</w:t>
            </w:r>
          </w:p>
        </w:tc>
        <w:tc>
          <w:tcPr>
            <w:tcW w:w="360" w:type="dxa"/>
            <w:vAlign w:val="bottom"/>
            <w:shd w:val="clear" w:color="auto" w:fill="BFBFBF"/>
          </w:tcPr>
          <w:p>
            <w:pPr>
              <w:spacing w:after="0"/>
              <w:rPr>
                <w:sz w:val="16"/>
                <w:szCs w:val="16"/>
                <w:color w:val="auto"/>
              </w:rPr>
            </w:pPr>
          </w:p>
        </w:tc>
        <w:tc>
          <w:tcPr>
            <w:tcW w:w="940" w:type="dxa"/>
            <w:vAlign w:val="bottom"/>
            <w:gridSpan w:val="2"/>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143,333</w:t>
            </w:r>
          </w:p>
        </w:tc>
        <w:tc>
          <w:tcPr>
            <w:tcW w:w="6380" w:type="dxa"/>
            <w:vAlign w:val="bottom"/>
            <w:shd w:val="clear" w:color="auto" w:fill="BFBFBF"/>
          </w:tcPr>
          <w:p>
            <w:pPr>
              <w:ind w:left="60"/>
              <w:spacing w:after="0" w:line="194" w:lineRule="exact"/>
              <w:rPr>
                <w:sz w:val="20"/>
                <w:szCs w:val="20"/>
                <w:color w:val="auto"/>
              </w:rPr>
            </w:pPr>
            <w:r>
              <w:rPr>
                <w:rFonts w:ascii="Arial" w:cs="Arial" w:eastAsia="Arial" w:hAnsi="Arial"/>
                <w:sz w:val="17"/>
                <w:szCs w:val="17"/>
                <w:color w:val="auto"/>
              </w:rPr>
              <w:t>Cash and cash equivalents at beginning of period</w:t>
            </w:r>
          </w:p>
        </w:tc>
        <w:tc>
          <w:tcPr>
            <w:tcW w:w="13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183,727</w:t>
            </w:r>
          </w:p>
        </w:tc>
        <w:tc>
          <w:tcPr>
            <w:tcW w:w="30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181,742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$154,744</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$138,792</w:t>
            </w:r>
          </w:p>
        </w:tc>
        <w:tc>
          <w:tcPr>
            <w:tcW w:w="60" w:type="dxa"/>
            <w:vAlign w:val="bottom"/>
          </w:tcPr>
          <w:p>
            <w:pPr>
              <w:spacing w:after="0"/>
              <w:rPr>
                <w:sz w:val="16"/>
                <w:szCs w:val="16"/>
                <w:color w:val="auto"/>
              </w:rPr>
            </w:pPr>
          </w:p>
        </w:tc>
        <w:tc>
          <w:tcPr>
            <w:tcW w:w="6380" w:type="dxa"/>
            <w:vAlign w:val="bottom"/>
          </w:tcPr>
          <w:p>
            <w:pPr>
              <w:ind w:left="60"/>
              <w:spacing w:after="0" w:line="186" w:lineRule="exact"/>
              <w:rPr>
                <w:sz w:val="20"/>
                <w:szCs w:val="20"/>
                <w:color w:val="auto"/>
              </w:rPr>
            </w:pPr>
            <w:r>
              <w:rPr>
                <w:rFonts w:ascii="Arial" w:cs="Arial" w:eastAsia="Arial" w:hAnsi="Arial"/>
                <w:sz w:val="17"/>
                <w:szCs w:val="17"/>
                <w:color w:val="auto"/>
              </w:rPr>
              <w:t>Cash and cash equivalents at end of period</w:t>
            </w:r>
          </w:p>
        </w:tc>
        <w:tc>
          <w:tcPr>
            <w:tcW w:w="11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$154,744</w:t>
            </w:r>
          </w:p>
        </w:tc>
        <w:tc>
          <w:tcPr>
            <w:tcW w:w="2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$138,792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7"/>
          <w:szCs w:val="17"/>
          <w:color w:val="auto"/>
        </w:rPr>
        <w:t>ALBANY INTERNATIONAL CORP.</w:t>
      </w:r>
    </w:p>
    <w:p>
      <w:pPr>
        <w:jc w:val="center"/>
        <w:ind w:right="-159"/>
        <w:spacing w:after="0" w:line="237" w:lineRule="auto"/>
        <w:rPr>
          <w:sz w:val="20"/>
          <w:szCs w:val="20"/>
          <w:color w:val="auto"/>
        </w:rPr>
      </w:pPr>
      <w:r>
        <w:rPr>
          <w:rFonts w:ascii="Arial" w:cs="Arial" w:eastAsia="Arial" w:hAnsi="Arial"/>
          <w:sz w:val="17"/>
          <w:szCs w:val="17"/>
          <w:color w:val="auto"/>
        </w:rPr>
        <w:t>NOTES TO CONSOLIDATED FINANCIAL STATEMENTS</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20" w:lineRule="exact"/>
        <w:rPr>
          <w:sz w:val="20"/>
          <w:szCs w:val="20"/>
          <w:color w:val="auto"/>
        </w:rPr>
      </w:pPr>
    </w:p>
    <w:p>
      <w:pPr>
        <w:ind w:left="620" w:right="8520" w:hanging="617"/>
        <w:spacing w:after="0" w:line="455" w:lineRule="auto"/>
        <w:tabs>
          <w:tab w:leader="none" w:pos="192"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2" w:lineRule="exact"/>
        <w:rPr>
          <w:sz w:val="20"/>
          <w:szCs w:val="20"/>
          <w:color w:val="auto"/>
        </w:rPr>
      </w:pPr>
    </w:p>
    <w:p>
      <w:pPr>
        <w:jc w:val="both"/>
        <w:ind w:right="180" w:firstLine="620"/>
        <w:spacing w:after="0" w:line="243" w:lineRule="auto"/>
        <w:rPr>
          <w:sz w:val="20"/>
          <w:szCs w:val="20"/>
          <w:color w:val="auto"/>
        </w:rPr>
      </w:pPr>
      <w:r>
        <w:rPr>
          <w:rFonts w:ascii="Arial" w:cs="Arial" w:eastAsia="Arial" w:hAnsi="Arial"/>
          <w:sz w:val="17"/>
          <w:szCs w:val="17"/>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168" w:lineRule="exact"/>
        <w:rPr>
          <w:sz w:val="20"/>
          <w:szCs w:val="20"/>
          <w:color w:val="auto"/>
        </w:rPr>
      </w:pPr>
    </w:p>
    <w:p>
      <w:pPr>
        <w:ind w:right="20" w:firstLine="620"/>
        <w:spacing w:after="0" w:line="24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155" w:lineRule="exact"/>
        <w:rPr>
          <w:sz w:val="20"/>
          <w:szCs w:val="20"/>
          <w:color w:val="auto"/>
        </w:rPr>
      </w:pPr>
    </w:p>
    <w:p>
      <w:pPr>
        <w:ind w:right="220" w:firstLine="620"/>
        <w:spacing w:after="0" w:line="241" w:lineRule="auto"/>
        <w:rPr>
          <w:sz w:val="20"/>
          <w:szCs w:val="20"/>
          <w:color w:val="auto"/>
        </w:rPr>
      </w:pPr>
      <w:r>
        <w:rPr>
          <w:rFonts w:ascii="Arial" w:cs="Arial" w:eastAsia="Arial" w:hAnsi="Arial"/>
          <w:sz w:val="17"/>
          <w:szCs w:val="17"/>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2017.</w:t>
      </w:r>
    </w:p>
    <w:p>
      <w:pPr>
        <w:spacing w:after="0" w:line="139" w:lineRule="exact"/>
        <w:rPr>
          <w:sz w:val="20"/>
          <w:szCs w:val="20"/>
          <w:color w:val="auto"/>
        </w:rPr>
      </w:pPr>
    </w:p>
    <w:p>
      <w:pPr>
        <w:jc w:val="both"/>
        <w:ind w:firstLine="620"/>
        <w:spacing w:after="0" w:line="255" w:lineRule="auto"/>
        <w:rPr>
          <w:sz w:val="20"/>
          <w:szCs w:val="20"/>
          <w:color w:val="auto"/>
        </w:rPr>
      </w:pPr>
      <w:r>
        <w:rPr>
          <w:rFonts w:ascii="Arial" w:cs="Arial" w:eastAsia="Arial" w:hAnsi="Arial"/>
          <w:sz w:val="17"/>
          <w:szCs w:val="17"/>
          <w:color w:val="auto"/>
        </w:rPr>
        <w:t xml:space="preserve">Effective January 1, 2018, we adopted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using the modified retrospective method for transition as discussed in Note 2, Revenue Recognition. Accounting policies have been applied consistently to periods presented, except for the application of ASC 606, as further described in Note 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280"/>
          </w:cols>
          <w:pgMar w:left="240" w:top="679"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2. Revenue Recognition</w:t>
      </w:r>
    </w:p>
    <w:p>
      <w:pPr>
        <w:spacing w:after="0" w:line="200" w:lineRule="exact"/>
        <w:rPr>
          <w:sz w:val="20"/>
          <w:szCs w:val="20"/>
          <w:color w:val="auto"/>
        </w:rPr>
      </w:pPr>
    </w:p>
    <w:p>
      <w:pPr>
        <w:spacing w:after="0" w:line="342" w:lineRule="exact"/>
        <w:rPr>
          <w:sz w:val="20"/>
          <w:szCs w:val="20"/>
          <w:color w:val="auto"/>
        </w:rPr>
      </w:pPr>
    </w:p>
    <w:p>
      <w:pPr>
        <w:ind w:right="80" w:firstLine="620"/>
        <w:spacing w:after="0" w:line="246" w:lineRule="auto"/>
        <w:rPr>
          <w:sz w:val="20"/>
          <w:szCs w:val="20"/>
          <w:color w:val="auto"/>
        </w:rPr>
      </w:pPr>
      <w:r>
        <w:rPr>
          <w:rFonts w:ascii="Arial" w:cs="Arial" w:eastAsia="Arial" w:hAnsi="Arial"/>
          <w:sz w:val="17"/>
          <w:szCs w:val="17"/>
          <w:color w:val="auto"/>
        </w:rPr>
        <w:t xml:space="preserve">Effective January 1, 2018, the Company adopted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 The standard replaces numerous requirements in U.S. GAAP, including industry-specific requirements, and provides companies with a single model for recognizing revenue from contracts with customers. We applied the new accounting standard to contracts which were not completed by December 31, 2017.</w:t>
      </w:r>
    </w:p>
    <w:p>
      <w:pPr>
        <w:spacing w:after="0" w:line="152"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In our Machine Clothing (MC) business segment, prior to 2018, we recorded revenue from the sale of a product when persuasive evidence of an arrangement existed, delivery had occurred, title was transferred, the selling price was fixed, and collectability was reasonably assured. Under the new standard, we recognize MC revenue when we satisfy our performance obligations related to the manufacture and delivery of a product, which, in certain cases, results in earlier recognition of revenue associated with these contracts. For the MC segment, the cumulative effect of adopting ASC 606 included an increase to Accounts receivable, a decrease to Inventories, and an increase to Retained earnings.</w:t>
      </w:r>
    </w:p>
    <w:p>
      <w:pPr>
        <w:spacing w:after="0" w:line="158" w:lineRule="exact"/>
        <w:rPr>
          <w:sz w:val="20"/>
          <w:szCs w:val="20"/>
          <w:color w:val="auto"/>
        </w:rPr>
      </w:pPr>
    </w:p>
    <w:p>
      <w:pPr>
        <w:ind w:firstLine="620"/>
        <w:spacing w:after="0" w:line="238" w:lineRule="auto"/>
        <w:rPr>
          <w:sz w:val="20"/>
          <w:szCs w:val="20"/>
          <w:color w:val="auto"/>
        </w:rPr>
      </w:pPr>
      <w:r>
        <w:rPr>
          <w:rFonts w:ascii="Arial" w:cs="Arial" w:eastAsia="Arial" w:hAnsi="Arial"/>
          <w:sz w:val="17"/>
          <w:szCs w:val="17"/>
          <w:color w:val="auto"/>
        </w:rPr>
        <w:t>In our Albany Engineered Composites (AEC) business segment, revenue from a number of long-term contracts was, prior to 2018, recorded on the basis of the units-of-delivery method, which is considered an output method. Under the new standard, revenue from most of these contracts is recognized over time using an input method as the measure of progress, which generally results in earlier recognition of revenue. Prior to adoption of the new standard, the classification of revenue in excess of progress billings on long-term contracts was included in Accounts receivable. Under the new standard, such assets are considered Contract assets, which are rights to consideration that are conditional on something other than the passage of time, such as completion of remaining performance obligations. As a result of adoption of the new standard, such assets were reclassified at transition from Accounts receivable to Contract assets. In addition, under the new standard, we are required to limit our estimate of contract values to the period of the legally enforceable contract, which in many cases is considerably shorter than the contract period used under the former standard. While certain contracts are expected to be profitable over the course of the program life when including expected renewals, under the new standard, our estimate of contract revenues and costs is limited to the estimated value of enforceable rights and obligations, excluding anticipated renewals. In some cases, this shorter contract period may result in a loss contract provision, and our transition adjustment included such loss accruals. Expected losses on projects includes losses on contract options that are probable of exercise, excluding profitable options that often follow. For AEC, the cumulative effect of adopting ASC 606 included increases to Contract assets and Accrued liabilities, and decreases to Accounts receivable, Inventories and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8" w:name="page9"/>
    <w:bookmarkEnd w:id="8"/>
    <w:p>
      <w:pPr>
        <w:ind w:right="440" w:firstLine="620"/>
        <w:spacing w:after="0" w:line="250" w:lineRule="auto"/>
        <w:rPr>
          <w:sz w:val="20"/>
          <w:szCs w:val="20"/>
          <w:color w:val="auto"/>
        </w:rPr>
      </w:pPr>
      <w:r>
        <w:rPr>
          <w:rFonts w:ascii="Arial" w:cs="Arial" w:eastAsia="Arial" w:hAnsi="Arial"/>
          <w:sz w:val="17"/>
          <w:szCs w:val="17"/>
          <w:color w:val="auto"/>
        </w:rPr>
        <w:t>The table below presents the cumulative effect of changes made to our December 31, 2017 Consolidated Balance Sheet as the result of adoption of ASC 606:</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ALBANY INTERNATIONAL CORP.</w:t>
      </w:r>
    </w:p>
    <w:p>
      <w:pPr>
        <w:jc w:val="center"/>
        <w:spacing w:after="0" w:line="237" w:lineRule="auto"/>
        <w:rPr>
          <w:sz w:val="20"/>
          <w:szCs w:val="20"/>
          <w:color w:val="auto"/>
        </w:rPr>
      </w:pPr>
      <w:r>
        <w:rPr>
          <w:rFonts w:ascii="Arial" w:cs="Arial" w:eastAsia="Arial" w:hAnsi="Arial"/>
          <w:sz w:val="17"/>
          <w:szCs w:val="17"/>
          <w:color w:val="auto"/>
        </w:rPr>
        <w:t>CONSOLIDATED BALANCE SHEET</w:t>
      </w:r>
    </w:p>
    <w:p>
      <w:pPr>
        <w:jc w:val="center"/>
        <w:spacing w:after="0" w:line="238" w:lineRule="auto"/>
        <w:rPr>
          <w:sz w:val="20"/>
          <w:szCs w:val="20"/>
          <w:color w:val="auto"/>
        </w:rPr>
      </w:pPr>
      <w:r>
        <w:rPr>
          <w:rFonts w:ascii="Arial" w:cs="Arial" w:eastAsia="Arial" w:hAnsi="Arial"/>
          <w:sz w:val="17"/>
          <w:szCs w:val="17"/>
          <w:color w:val="auto"/>
        </w:rPr>
        <w:t>(in thousands, except share data)</w:t>
      </w: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40" w:type="dxa"/>
            <w:vAlign w:val="bottom"/>
            <w:gridSpan w:val="3"/>
          </w:tcPr>
          <w:p>
            <w:pPr>
              <w:jc w:val="center"/>
              <w:ind w:right="560"/>
              <w:spacing w:after="0"/>
              <w:rPr>
                <w:sz w:val="20"/>
                <w:szCs w:val="20"/>
                <w:color w:val="auto"/>
              </w:rPr>
            </w:pPr>
            <w:r>
              <w:rPr>
                <w:rFonts w:ascii="Arial" w:cs="Arial" w:eastAsia="Arial" w:hAnsi="Arial"/>
                <w:sz w:val="17"/>
                <w:szCs w:val="17"/>
                <w:color w:val="auto"/>
              </w:rPr>
              <w:t>As previously</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7"/>
                <w:szCs w:val="17"/>
                <w:color w:val="auto"/>
              </w:rPr>
              <w:t>Opening balance,</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40" w:type="dxa"/>
            <w:vAlign w:val="bottom"/>
            <w:gridSpan w:val="3"/>
          </w:tcPr>
          <w:p>
            <w:pPr>
              <w:jc w:val="center"/>
              <w:ind w:right="560"/>
              <w:spacing w:after="0" w:line="194" w:lineRule="exact"/>
              <w:rPr>
                <w:sz w:val="20"/>
                <w:szCs w:val="20"/>
                <w:color w:val="auto"/>
              </w:rPr>
            </w:pPr>
            <w:r>
              <w:rPr>
                <w:rFonts w:ascii="Arial" w:cs="Arial" w:eastAsia="Arial" w:hAnsi="Arial"/>
                <w:sz w:val="17"/>
                <w:szCs w:val="17"/>
                <w:color w:val="auto"/>
              </w:rPr>
              <w:t>reported at</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9"/>
              </w:rPr>
              <w:t>as</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40" w:type="dxa"/>
            <w:vAlign w:val="bottom"/>
            <w:gridSpan w:val="3"/>
          </w:tcPr>
          <w:p>
            <w:pPr>
              <w:jc w:val="center"/>
              <w:ind w:right="560"/>
              <w:spacing w:after="0" w:line="194" w:lineRule="exact"/>
              <w:rPr>
                <w:sz w:val="20"/>
                <w:szCs w:val="20"/>
                <w:color w:val="auto"/>
              </w:rPr>
            </w:pPr>
            <w:r>
              <w:rPr>
                <w:rFonts w:ascii="Arial" w:cs="Arial" w:eastAsia="Arial" w:hAnsi="Arial"/>
                <w:sz w:val="17"/>
                <w:szCs w:val="17"/>
                <w:color w:val="auto"/>
              </w:rPr>
              <w:t>December 31,</w:t>
            </w:r>
          </w:p>
        </w:tc>
        <w:tc>
          <w:tcPr>
            <w:tcW w:w="2100" w:type="dxa"/>
            <w:vAlign w:val="bottom"/>
            <w:gridSpan w:val="3"/>
          </w:tcPr>
          <w:p>
            <w:pPr>
              <w:jc w:val="center"/>
              <w:ind w:right="560"/>
              <w:spacing w:after="0" w:line="194" w:lineRule="exact"/>
              <w:rPr>
                <w:sz w:val="20"/>
                <w:szCs w:val="20"/>
                <w:color w:val="auto"/>
              </w:rPr>
            </w:pPr>
            <w:r>
              <w:rPr>
                <w:rFonts w:ascii="Arial" w:cs="Arial" w:eastAsia="Arial" w:hAnsi="Arial"/>
                <w:sz w:val="17"/>
                <w:szCs w:val="17"/>
                <w:color w:val="auto"/>
              </w:rPr>
              <w:t>Adjustments</w:t>
            </w:r>
          </w:p>
        </w:tc>
        <w:tc>
          <w:tcPr>
            <w:tcW w:w="14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9"/>
              </w:rPr>
              <w:t>adjusted, January</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1940" w:type="dxa"/>
            <w:vAlign w:val="bottom"/>
            <w:gridSpan w:val="2"/>
          </w:tcPr>
          <w:p>
            <w:pPr>
              <w:jc w:val="center"/>
              <w:ind w:left="574"/>
              <w:spacing w:after="0" w:line="194" w:lineRule="exact"/>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00" w:type="dxa"/>
            <w:vAlign w:val="bottom"/>
            <w:gridSpan w:val="3"/>
          </w:tcPr>
          <w:p>
            <w:pPr>
              <w:jc w:val="center"/>
              <w:ind w:right="560"/>
              <w:spacing w:after="0" w:line="194" w:lineRule="exact"/>
              <w:rPr>
                <w:sz w:val="20"/>
                <w:szCs w:val="20"/>
                <w:color w:val="auto"/>
              </w:rPr>
            </w:pPr>
            <w:r>
              <w:rPr>
                <w:rFonts w:ascii="Arial" w:cs="Arial" w:eastAsia="Arial" w:hAnsi="Arial"/>
                <w:sz w:val="17"/>
                <w:szCs w:val="17"/>
                <w:color w:val="auto"/>
              </w:rPr>
              <w:t>Increase/(decrease)</w:t>
            </w:r>
          </w:p>
        </w:tc>
        <w:tc>
          <w:tcPr>
            <w:tcW w:w="1360" w:type="dxa"/>
            <w:vAlign w:val="bottom"/>
          </w:tcPr>
          <w:p>
            <w:pPr>
              <w:jc w:val="center"/>
              <w:ind w:left="14"/>
              <w:spacing w:after="0" w:line="194" w:lineRule="exact"/>
              <w:rPr>
                <w:sz w:val="20"/>
                <w:szCs w:val="20"/>
                <w:color w:val="auto"/>
              </w:rPr>
            </w:pPr>
            <w:r>
              <w:rPr>
                <w:rFonts w:ascii="Arial" w:cs="Arial" w:eastAsia="Arial" w:hAnsi="Arial"/>
                <w:sz w:val="17"/>
                <w:szCs w:val="17"/>
                <w:color w:val="auto"/>
              </w:rPr>
              <w:t>1, 2018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line="186" w:lineRule="exact"/>
              <w:rPr>
                <w:sz w:val="20"/>
                <w:szCs w:val="20"/>
                <w:color w:val="auto"/>
              </w:rPr>
            </w:pPr>
            <w:r>
              <w:rPr>
                <w:rFonts w:ascii="Arial" w:cs="Arial" w:eastAsia="Arial" w:hAnsi="Arial"/>
                <w:sz w:val="17"/>
                <w:szCs w:val="17"/>
                <w:color w:val="auto"/>
              </w:rPr>
              <w:t>ASSETS</w:t>
            </w:r>
          </w:p>
        </w:tc>
        <w:tc>
          <w:tcPr>
            <w:tcW w:w="5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Cash and cash equivalents</w:t>
            </w:r>
          </w:p>
        </w:tc>
        <w:tc>
          <w:tcPr>
            <w:tcW w:w="2040" w:type="dxa"/>
            <w:vAlign w:val="bottom"/>
            <w:gridSpan w:val="3"/>
            <w:shd w:val="clear" w:color="auto" w:fill="C0C0C0"/>
          </w:tcPr>
          <w:p>
            <w:pPr>
              <w:jc w:val="right"/>
              <w:ind w:right="100"/>
              <w:spacing w:after="0" w:line="194" w:lineRule="exact"/>
              <w:rPr>
                <w:sz w:val="20"/>
                <w:szCs w:val="20"/>
                <w:color w:val="auto"/>
              </w:rPr>
            </w:pPr>
            <w:r>
              <w:rPr>
                <w:rFonts w:ascii="Arial" w:cs="Arial" w:eastAsia="Arial" w:hAnsi="Arial"/>
                <w:sz w:val="17"/>
                <w:szCs w:val="17"/>
                <w:color w:val="auto"/>
              </w:rPr>
              <w:t>$183,727</w:t>
            </w:r>
          </w:p>
        </w:tc>
        <w:tc>
          <w:tcPr>
            <w:tcW w:w="560" w:type="dxa"/>
            <w:vAlign w:val="bottom"/>
            <w:shd w:val="clear" w:color="auto" w:fill="C0C0C0"/>
          </w:tcPr>
          <w:p>
            <w:pPr>
              <w:spacing w:after="0"/>
              <w:rPr>
                <w:sz w:val="16"/>
                <w:szCs w:val="16"/>
                <w:color w:val="auto"/>
              </w:rPr>
            </w:pPr>
          </w:p>
        </w:tc>
        <w:tc>
          <w:tcPr>
            <w:tcW w:w="1520" w:type="dxa"/>
            <w:vAlign w:val="bottom"/>
            <w:gridSpan w:val="2"/>
            <w:shd w:val="clear" w:color="auto" w:fill="C0C0C0"/>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spacing w:after="0"/>
              <w:rPr>
                <w:sz w:val="16"/>
                <w:szCs w:val="16"/>
                <w:color w:val="auto"/>
              </w:rPr>
            </w:pPr>
          </w:p>
        </w:tc>
        <w:tc>
          <w:tcPr>
            <w:tcW w:w="1460" w:type="dxa"/>
            <w:vAlign w:val="bottom"/>
            <w:gridSpan w:val="2"/>
            <w:shd w:val="clear" w:color="auto" w:fill="C0C0C0"/>
          </w:tcPr>
          <w:p>
            <w:pPr>
              <w:jc w:val="right"/>
              <w:ind w:right="100"/>
              <w:spacing w:after="0" w:line="194" w:lineRule="exact"/>
              <w:rPr>
                <w:sz w:val="20"/>
                <w:szCs w:val="20"/>
                <w:color w:val="auto"/>
              </w:rPr>
            </w:pPr>
            <w:r>
              <w:rPr>
                <w:rFonts w:ascii="Arial" w:cs="Arial" w:eastAsia="Arial" w:hAnsi="Arial"/>
                <w:sz w:val="17"/>
                <w:szCs w:val="17"/>
                <w:color w:val="auto"/>
              </w:rPr>
              <w:t>$183,727</w:t>
            </w:r>
          </w:p>
        </w:tc>
        <w:tc>
          <w:tcPr>
            <w:tcW w:w="0" w:type="dxa"/>
            <w:vAlign w:val="bottom"/>
          </w:tcPr>
          <w:p>
            <w:pPr>
              <w:spacing w:after="0"/>
              <w:rPr>
                <w:sz w:val="1"/>
                <w:szCs w:val="1"/>
                <w:color w:val="auto"/>
              </w:rPr>
            </w:pPr>
          </w:p>
        </w:tc>
      </w:tr>
      <w:tr>
        <w:trPr>
          <w:trHeight w:val="194"/>
        </w:trPr>
        <w:tc>
          <w:tcPr>
            <w:tcW w:w="5260" w:type="dxa"/>
            <w:vAlign w:val="bottom"/>
          </w:tcPr>
          <w:p>
            <w:pPr>
              <w:ind w:left="80"/>
              <w:spacing w:after="0" w:line="194" w:lineRule="exact"/>
              <w:rPr>
                <w:sz w:val="20"/>
                <w:szCs w:val="20"/>
                <w:color w:val="auto"/>
              </w:rPr>
            </w:pPr>
            <w:r>
              <w:rPr>
                <w:rFonts w:ascii="Arial" w:cs="Arial" w:eastAsia="Arial" w:hAnsi="Arial"/>
                <w:sz w:val="17"/>
                <w:szCs w:val="17"/>
                <w:color w:val="auto"/>
              </w:rPr>
              <w:t>Accounts receivable, net</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202,675</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7,667</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210,342</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Contract assets</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47,415</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47,415</w:t>
            </w: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Inventories</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136,519</w:t>
            </w:r>
          </w:p>
        </w:tc>
        <w:tc>
          <w:tcPr>
            <w:tcW w:w="560" w:type="dxa"/>
            <w:vAlign w:val="bottom"/>
          </w:tcPr>
          <w:p>
            <w:pPr>
              <w:spacing w:after="0"/>
              <w:rPr>
                <w:sz w:val="16"/>
                <w:szCs w:val="16"/>
                <w:color w:val="auto"/>
              </w:rPr>
            </w:pPr>
          </w:p>
        </w:tc>
        <w:tc>
          <w:tcPr>
            <w:tcW w:w="15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(47,054)</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89,465</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Income taxes prepaid and receivable</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6,266</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6,266</w:t>
            </w:r>
          </w:p>
        </w:tc>
        <w:tc>
          <w:tcPr>
            <w:tcW w:w="0" w:type="dxa"/>
            <w:vAlign w:val="bottom"/>
          </w:tcPr>
          <w:p>
            <w:pPr>
              <w:spacing w:after="0"/>
              <w:rPr>
                <w:sz w:val="1"/>
                <w:szCs w:val="1"/>
                <w:color w:val="auto"/>
              </w:rPr>
            </w:pPr>
          </w:p>
        </w:tc>
      </w:tr>
      <w:tr>
        <w:trPr>
          <w:trHeight w:val="206"/>
        </w:trPr>
        <w:tc>
          <w:tcPr>
            <w:tcW w:w="5260" w:type="dxa"/>
            <w:vAlign w:val="bottom"/>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2040" w:type="dxa"/>
            <w:vAlign w:val="bottom"/>
            <w:gridSpan w:val="3"/>
          </w:tcPr>
          <w:p>
            <w:pPr>
              <w:jc w:val="right"/>
              <w:ind w:right="100"/>
              <w:spacing w:after="0"/>
              <w:rPr>
                <w:sz w:val="20"/>
                <w:szCs w:val="20"/>
                <w:color w:val="auto"/>
              </w:rPr>
            </w:pPr>
            <w:r>
              <w:rPr>
                <w:rFonts w:ascii="Arial" w:cs="Arial" w:eastAsia="Arial" w:hAnsi="Arial"/>
                <w:sz w:val="17"/>
                <w:szCs w:val="17"/>
                <w:color w:val="auto"/>
              </w:rPr>
              <w:t>14,520</w:t>
            </w:r>
          </w:p>
        </w:tc>
        <w:tc>
          <w:tcPr>
            <w:tcW w:w="560" w:type="dxa"/>
            <w:vAlign w:val="bottom"/>
          </w:tcPr>
          <w:p>
            <w:pPr>
              <w:spacing w:after="0"/>
              <w:rPr>
                <w:sz w:val="17"/>
                <w:szCs w:val="17"/>
                <w:color w:val="auto"/>
              </w:rPr>
            </w:pPr>
          </w:p>
        </w:tc>
        <w:tc>
          <w:tcPr>
            <w:tcW w:w="1520" w:type="dxa"/>
            <w:vAlign w:val="bottom"/>
            <w:gridSpan w:val="2"/>
          </w:tcPr>
          <w:p>
            <w:pPr>
              <w:jc w:val="right"/>
              <w:ind w:right="39"/>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14,520</w:t>
            </w:r>
          </w:p>
        </w:tc>
        <w:tc>
          <w:tcPr>
            <w:tcW w:w="0" w:type="dxa"/>
            <w:vAlign w:val="bottom"/>
          </w:tcPr>
          <w:p>
            <w:pPr>
              <w:spacing w:after="0"/>
              <w:rPr>
                <w:sz w:val="1"/>
                <w:szCs w:val="1"/>
                <w:color w:val="auto"/>
              </w:rPr>
            </w:pPr>
          </w:p>
        </w:tc>
      </w:tr>
      <w:tr>
        <w:trPr>
          <w:trHeight w:val="186"/>
        </w:trPr>
        <w:tc>
          <w:tcPr>
            <w:tcW w:w="5260" w:type="dxa"/>
            <w:vAlign w:val="bottom"/>
            <w:tcBorders>
              <w:top w:val="single" w:sz="8" w:color="BFBFBF"/>
            </w:tcBorders>
            <w:shd w:val="clear" w:color="auto" w:fill="BFBFBF"/>
          </w:tcPr>
          <w:p>
            <w:pPr>
              <w:ind w:left="280"/>
              <w:spacing w:after="0" w:line="186" w:lineRule="exact"/>
              <w:rPr>
                <w:sz w:val="20"/>
                <w:szCs w:val="20"/>
                <w:color w:val="auto"/>
              </w:rPr>
            </w:pPr>
            <w:r>
              <w:rPr>
                <w:rFonts w:ascii="Arial" w:cs="Arial" w:eastAsia="Arial" w:hAnsi="Arial"/>
                <w:sz w:val="17"/>
                <w:szCs w:val="17"/>
                <w:color w:val="auto"/>
              </w:rPr>
              <w:t>Total current assets</w:t>
            </w:r>
          </w:p>
        </w:tc>
        <w:tc>
          <w:tcPr>
            <w:tcW w:w="560" w:type="dxa"/>
            <w:vAlign w:val="bottom"/>
            <w:tcBorders>
              <w:top w:val="single" w:sz="8" w:color="BFBFBF"/>
            </w:tcBorders>
            <w:shd w:val="clear" w:color="auto" w:fill="BFBFBF"/>
          </w:tcPr>
          <w:p>
            <w:pPr>
              <w:spacing w:after="0"/>
              <w:rPr>
                <w:sz w:val="16"/>
                <w:szCs w:val="16"/>
                <w:color w:val="auto"/>
              </w:rPr>
            </w:pPr>
          </w:p>
        </w:tc>
        <w:tc>
          <w:tcPr>
            <w:tcW w:w="138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543,707</w:t>
            </w:r>
          </w:p>
        </w:tc>
        <w:tc>
          <w:tcPr>
            <w:tcW w:w="100" w:type="dxa"/>
            <w:vAlign w:val="bottom"/>
            <w:tcBorders>
              <w:top w:val="single" w:sz="8" w:color="BFBFBF"/>
            </w:tcBorders>
            <w:shd w:val="clear" w:color="auto" w:fill="BFBFBF"/>
          </w:tcPr>
          <w:p>
            <w:pPr>
              <w:spacing w:after="0"/>
              <w:rPr>
                <w:sz w:val="16"/>
                <w:szCs w:val="16"/>
                <w:color w:val="auto"/>
              </w:rPr>
            </w:pPr>
          </w:p>
        </w:tc>
        <w:tc>
          <w:tcPr>
            <w:tcW w:w="560" w:type="dxa"/>
            <w:vAlign w:val="bottom"/>
            <w:tcBorders>
              <w:top w:val="single" w:sz="8" w:color="BFBFBF"/>
            </w:tcBorders>
            <w:shd w:val="clear" w:color="auto" w:fill="BFBFBF"/>
          </w:tcPr>
          <w:p>
            <w:pPr>
              <w:spacing w:after="0"/>
              <w:rPr>
                <w:sz w:val="16"/>
                <w:szCs w:val="16"/>
                <w:color w:val="auto"/>
              </w:rPr>
            </w:pPr>
          </w:p>
        </w:tc>
        <w:tc>
          <w:tcPr>
            <w:tcW w:w="140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8,028</w:t>
            </w:r>
          </w:p>
        </w:tc>
        <w:tc>
          <w:tcPr>
            <w:tcW w:w="120" w:type="dxa"/>
            <w:vAlign w:val="bottom"/>
            <w:tcBorders>
              <w:top w:val="single" w:sz="8" w:color="BFBFBF"/>
            </w:tcBorders>
            <w:shd w:val="clear" w:color="auto" w:fill="BFBFBF"/>
          </w:tcPr>
          <w:p>
            <w:pPr>
              <w:spacing w:after="0"/>
              <w:rPr>
                <w:sz w:val="16"/>
                <w:szCs w:val="16"/>
                <w:color w:val="auto"/>
              </w:rPr>
            </w:pPr>
          </w:p>
        </w:tc>
        <w:tc>
          <w:tcPr>
            <w:tcW w:w="580" w:type="dxa"/>
            <w:vAlign w:val="bottom"/>
            <w:tcBorders>
              <w:top w:val="single" w:sz="8" w:color="BFBFBF"/>
            </w:tcBorders>
            <w:shd w:val="clear" w:color="auto" w:fill="BFBFBF"/>
          </w:tcPr>
          <w:p>
            <w:pPr>
              <w:spacing w:after="0"/>
              <w:rPr>
                <w:sz w:val="16"/>
                <w:szCs w:val="16"/>
                <w:color w:val="auto"/>
              </w:rPr>
            </w:pPr>
          </w:p>
        </w:tc>
        <w:tc>
          <w:tcPr>
            <w:tcW w:w="13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551,735</w:t>
            </w:r>
          </w:p>
        </w:tc>
        <w:tc>
          <w:tcPr>
            <w:tcW w:w="10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5260" w:type="dxa"/>
            <w:vAlign w:val="bottom"/>
          </w:tcPr>
          <w:p>
            <w:pPr>
              <w:ind w:left="100"/>
              <w:spacing w:after="0"/>
              <w:rPr>
                <w:sz w:val="20"/>
                <w:szCs w:val="20"/>
                <w:color w:val="auto"/>
              </w:rPr>
            </w:pPr>
            <w:r>
              <w:rPr>
                <w:rFonts w:ascii="Arial" w:cs="Arial" w:eastAsia="Arial" w:hAnsi="Arial"/>
                <w:sz w:val="17"/>
                <w:szCs w:val="17"/>
                <w:color w:val="auto"/>
              </w:rPr>
              <w:t>Property, plant and equipment, net</w:t>
            </w:r>
          </w:p>
        </w:tc>
        <w:tc>
          <w:tcPr>
            <w:tcW w:w="2040" w:type="dxa"/>
            <w:vAlign w:val="bottom"/>
            <w:gridSpan w:val="3"/>
          </w:tcPr>
          <w:p>
            <w:pPr>
              <w:jc w:val="right"/>
              <w:ind w:right="100"/>
              <w:spacing w:after="0"/>
              <w:rPr>
                <w:sz w:val="20"/>
                <w:szCs w:val="20"/>
                <w:color w:val="auto"/>
              </w:rPr>
            </w:pPr>
            <w:r>
              <w:rPr>
                <w:rFonts w:ascii="Arial" w:cs="Arial" w:eastAsia="Arial" w:hAnsi="Arial"/>
                <w:sz w:val="17"/>
                <w:szCs w:val="17"/>
                <w:color w:val="auto"/>
              </w:rPr>
              <w:t>454,302</w:t>
            </w:r>
          </w:p>
        </w:tc>
        <w:tc>
          <w:tcPr>
            <w:tcW w:w="560" w:type="dxa"/>
            <w:vAlign w:val="bottom"/>
          </w:tcPr>
          <w:p>
            <w:pPr>
              <w:spacing w:after="0"/>
              <w:rPr>
                <w:sz w:val="24"/>
                <w:szCs w:val="24"/>
                <w:color w:val="auto"/>
              </w:rPr>
            </w:pPr>
          </w:p>
        </w:tc>
        <w:tc>
          <w:tcPr>
            <w:tcW w:w="1520" w:type="dxa"/>
            <w:vAlign w:val="bottom"/>
            <w:gridSpan w:val="2"/>
          </w:tcPr>
          <w:p>
            <w:pPr>
              <w:jc w:val="right"/>
              <w:ind w:right="39"/>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454,302</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Intangibles, net</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55,441</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55,441</w:t>
            </w: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Goodwill</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166,796</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166,796</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Deferred income taxes</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68,648</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1,756</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70,404</w:t>
            </w: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Noncurrent receivables</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32,811</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32,811</w:t>
            </w: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100"/>
              <w:spacing w:after="0"/>
              <w:rPr>
                <w:sz w:val="20"/>
                <w:szCs w:val="20"/>
                <w:color w:val="auto"/>
              </w:rPr>
            </w:pPr>
            <w:r>
              <w:rPr>
                <w:rFonts w:ascii="Arial" w:cs="Arial" w:eastAsia="Arial" w:hAnsi="Arial"/>
                <w:sz w:val="17"/>
                <w:szCs w:val="17"/>
                <w:color w:val="auto"/>
              </w:rPr>
              <w:t>Other assets</w:t>
            </w:r>
          </w:p>
        </w:tc>
        <w:tc>
          <w:tcPr>
            <w:tcW w:w="560" w:type="dxa"/>
            <w:vAlign w:val="bottom"/>
            <w:shd w:val="clear" w:color="auto" w:fill="BFBFBF"/>
          </w:tcPr>
          <w:p>
            <w:pPr>
              <w:spacing w:after="0"/>
              <w:rPr>
                <w:sz w:val="17"/>
                <w:szCs w:val="17"/>
                <w:color w:val="auto"/>
              </w:rPr>
            </w:pPr>
          </w:p>
        </w:tc>
        <w:tc>
          <w:tcPr>
            <w:tcW w:w="1380" w:type="dxa"/>
            <w:vAlign w:val="bottom"/>
            <w:shd w:val="clear" w:color="auto" w:fill="BFBFBF"/>
          </w:tcPr>
          <w:p>
            <w:pPr>
              <w:jc w:val="right"/>
              <w:spacing w:after="0"/>
              <w:rPr>
                <w:sz w:val="20"/>
                <w:szCs w:val="20"/>
                <w:color w:val="auto"/>
              </w:rPr>
            </w:pPr>
            <w:r>
              <w:rPr>
                <w:rFonts w:ascii="Arial" w:cs="Arial" w:eastAsia="Arial" w:hAnsi="Arial"/>
                <w:sz w:val="17"/>
                <w:szCs w:val="17"/>
                <w:color w:val="auto"/>
              </w:rPr>
              <w:t>39,493</w:t>
            </w:r>
          </w:p>
        </w:tc>
        <w:tc>
          <w:tcPr>
            <w:tcW w:w="1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520" w:type="dxa"/>
            <w:vAlign w:val="bottom"/>
            <w:gridSpan w:val="2"/>
            <w:shd w:val="clear" w:color="auto" w:fill="BFBFBF"/>
          </w:tcPr>
          <w:p>
            <w:pPr>
              <w:jc w:val="right"/>
              <w:ind w:right="39"/>
              <w:spacing w:after="0"/>
              <w:rPr>
                <w:sz w:val="20"/>
                <w:szCs w:val="20"/>
                <w:color w:val="auto"/>
              </w:rPr>
            </w:pPr>
            <w:r>
              <w:rPr>
                <w:rFonts w:ascii="Arial" w:cs="Arial" w:eastAsia="Arial" w:hAnsi="Arial"/>
                <w:sz w:val="17"/>
                <w:szCs w:val="17"/>
                <w:color w:val="auto"/>
              </w:rPr>
              <w:t>1,119</w:t>
            </w: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40,612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280"/>
              <w:spacing w:after="0"/>
              <w:rPr>
                <w:sz w:val="20"/>
                <w:szCs w:val="20"/>
                <w:color w:val="auto"/>
              </w:rPr>
            </w:pPr>
            <w:r>
              <w:rPr>
                <w:rFonts w:ascii="Arial" w:cs="Arial" w:eastAsia="Arial" w:hAnsi="Arial"/>
                <w:sz w:val="17"/>
                <w:szCs w:val="17"/>
                <w:color w:val="auto"/>
              </w:rPr>
              <w:t>Total assets</w:t>
            </w:r>
          </w:p>
        </w:tc>
        <w:tc>
          <w:tcPr>
            <w:tcW w:w="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$1,361,198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gridSpan w:val="2"/>
          </w:tcPr>
          <w:p>
            <w:pPr>
              <w:jc w:val="right"/>
              <w:ind w:right="39"/>
              <w:spacing w:after="0"/>
              <w:rPr>
                <w:sz w:val="20"/>
                <w:szCs w:val="20"/>
                <w:color w:val="auto"/>
              </w:rPr>
            </w:pPr>
            <w:r>
              <w:rPr>
                <w:rFonts w:ascii="Arial" w:cs="Arial" w:eastAsia="Arial" w:hAnsi="Arial"/>
                <w:sz w:val="17"/>
                <w:szCs w:val="17"/>
                <w:color w:val="auto"/>
              </w:rPr>
              <w:t>$10,903</w:t>
            </w:r>
          </w:p>
        </w:tc>
        <w:tc>
          <w:tcPr>
            <w:tcW w:w="5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$1,372,101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5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Notes and loans payable</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$262</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194"/>
        </w:trPr>
        <w:tc>
          <w:tcPr>
            <w:tcW w:w="5260" w:type="dxa"/>
            <w:vAlign w:val="bottom"/>
          </w:tcPr>
          <w:p>
            <w:pPr>
              <w:ind w:left="80"/>
              <w:spacing w:after="0" w:line="194" w:lineRule="exact"/>
              <w:rPr>
                <w:sz w:val="20"/>
                <w:szCs w:val="20"/>
                <w:color w:val="auto"/>
              </w:rPr>
            </w:pPr>
            <w:r>
              <w:rPr>
                <w:rFonts w:ascii="Arial" w:cs="Arial" w:eastAsia="Arial" w:hAnsi="Arial"/>
                <w:sz w:val="17"/>
                <w:szCs w:val="17"/>
                <w:color w:val="auto"/>
              </w:rPr>
              <w:t>Accounts payable</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44,899</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44,899</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80"/>
              <w:spacing w:after="0" w:line="194" w:lineRule="exact"/>
              <w:rPr>
                <w:sz w:val="20"/>
                <w:szCs w:val="20"/>
                <w:color w:val="auto"/>
              </w:rPr>
            </w:pPr>
            <w:r>
              <w:rPr>
                <w:rFonts w:ascii="Arial" w:cs="Arial" w:eastAsia="Arial" w:hAnsi="Arial"/>
                <w:sz w:val="17"/>
                <w:szCs w:val="17"/>
                <w:color w:val="auto"/>
              </w:rPr>
              <w:t>Accrued liabilities</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105,914</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16,808</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122,722</w:t>
            </w: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Current maturities of long-term debt</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1,799</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1,799</w:t>
            </w: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100"/>
              <w:spacing w:after="0"/>
              <w:rPr>
                <w:sz w:val="20"/>
                <w:szCs w:val="20"/>
                <w:color w:val="auto"/>
              </w:rPr>
            </w:pPr>
            <w:r>
              <w:rPr>
                <w:rFonts w:ascii="Arial" w:cs="Arial" w:eastAsia="Arial" w:hAnsi="Arial"/>
                <w:sz w:val="17"/>
                <w:szCs w:val="17"/>
                <w:color w:val="auto"/>
              </w:rPr>
              <w:t>Income taxes payable</w:t>
            </w:r>
          </w:p>
        </w:tc>
        <w:tc>
          <w:tcPr>
            <w:tcW w:w="2040" w:type="dxa"/>
            <w:vAlign w:val="bottom"/>
            <w:gridSpan w:val="3"/>
            <w:shd w:val="clear" w:color="auto" w:fill="BFBFBF"/>
          </w:tcPr>
          <w:p>
            <w:pPr>
              <w:jc w:val="right"/>
              <w:ind w:right="100"/>
              <w:spacing w:after="0"/>
              <w:rPr>
                <w:sz w:val="20"/>
                <w:szCs w:val="20"/>
                <w:color w:val="auto"/>
              </w:rPr>
            </w:pPr>
            <w:r>
              <w:rPr>
                <w:rFonts w:ascii="Arial" w:cs="Arial" w:eastAsia="Arial" w:hAnsi="Arial"/>
                <w:sz w:val="17"/>
                <w:szCs w:val="17"/>
                <w:color w:val="auto"/>
              </w:rPr>
              <w:t>8,643</w:t>
            </w:r>
          </w:p>
        </w:tc>
        <w:tc>
          <w:tcPr>
            <w:tcW w:w="560" w:type="dxa"/>
            <w:vAlign w:val="bottom"/>
            <w:shd w:val="clear" w:color="auto" w:fill="BFBFBF"/>
          </w:tcPr>
          <w:p>
            <w:pPr>
              <w:spacing w:after="0"/>
              <w:rPr>
                <w:sz w:val="17"/>
                <w:szCs w:val="17"/>
                <w:color w:val="auto"/>
              </w:rPr>
            </w:pPr>
          </w:p>
        </w:tc>
        <w:tc>
          <w:tcPr>
            <w:tcW w:w="1520" w:type="dxa"/>
            <w:vAlign w:val="bottom"/>
            <w:gridSpan w:val="2"/>
            <w:shd w:val="clear" w:color="auto" w:fill="BFBFBF"/>
          </w:tcPr>
          <w:p>
            <w:pPr>
              <w:jc w:val="right"/>
              <w:ind w:right="39"/>
              <w:spacing w:after="0"/>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8,643</w:t>
            </w:r>
          </w:p>
        </w:tc>
        <w:tc>
          <w:tcPr>
            <w:tcW w:w="0" w:type="dxa"/>
            <w:vAlign w:val="bottom"/>
          </w:tcPr>
          <w:p>
            <w:pPr>
              <w:spacing w:after="0"/>
              <w:rPr>
                <w:sz w:val="1"/>
                <w:szCs w:val="1"/>
                <w:color w:val="auto"/>
              </w:rPr>
            </w:pPr>
          </w:p>
        </w:tc>
      </w:tr>
      <w:tr>
        <w:trPr>
          <w:trHeight w:val="199"/>
        </w:trPr>
        <w:tc>
          <w:tcPr>
            <w:tcW w:w="5260" w:type="dxa"/>
            <w:vAlign w:val="bottom"/>
          </w:tcPr>
          <w:p>
            <w:pPr>
              <w:ind w:left="100"/>
              <w:spacing w:after="0"/>
              <w:rPr>
                <w:sz w:val="20"/>
                <w:szCs w:val="20"/>
                <w:color w:val="auto"/>
              </w:rPr>
            </w:pPr>
            <w:r>
              <w:rPr>
                <w:rFonts w:ascii="Arial" w:cs="Arial" w:eastAsia="Arial" w:hAnsi="Arial"/>
                <w:sz w:val="17"/>
                <w:szCs w:val="17"/>
                <w:color w:val="auto"/>
              </w:rPr>
              <w:t>Total current liabilities</w:t>
            </w:r>
          </w:p>
        </w:tc>
        <w:tc>
          <w:tcPr>
            <w:tcW w:w="56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161,517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16,808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Long-term debt</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514,120</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514,120</w:t>
            </w: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Other noncurrent liabilities</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101,555</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101,555</w:t>
            </w: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100"/>
              <w:spacing w:after="0"/>
              <w:rPr>
                <w:sz w:val="20"/>
                <w:szCs w:val="20"/>
                <w:color w:val="auto"/>
              </w:rPr>
            </w:pPr>
            <w:r>
              <w:rPr>
                <w:rFonts w:ascii="Arial" w:cs="Arial" w:eastAsia="Arial" w:hAnsi="Arial"/>
                <w:sz w:val="17"/>
                <w:szCs w:val="17"/>
                <w:color w:val="auto"/>
              </w:rPr>
              <w:t>Deferred taxes and other liabilities</w:t>
            </w:r>
          </w:p>
        </w:tc>
        <w:tc>
          <w:tcPr>
            <w:tcW w:w="2040" w:type="dxa"/>
            <w:vAlign w:val="bottom"/>
            <w:gridSpan w:val="3"/>
            <w:shd w:val="clear" w:color="auto" w:fill="BFBFBF"/>
          </w:tcPr>
          <w:p>
            <w:pPr>
              <w:jc w:val="right"/>
              <w:ind w:right="100"/>
              <w:spacing w:after="0"/>
              <w:rPr>
                <w:sz w:val="20"/>
                <w:szCs w:val="20"/>
                <w:color w:val="auto"/>
              </w:rPr>
            </w:pPr>
            <w:r>
              <w:rPr>
                <w:rFonts w:ascii="Arial" w:cs="Arial" w:eastAsia="Arial" w:hAnsi="Arial"/>
                <w:sz w:val="17"/>
                <w:szCs w:val="17"/>
                <w:color w:val="auto"/>
              </w:rPr>
              <w:t>10,991</w:t>
            </w:r>
          </w:p>
        </w:tc>
        <w:tc>
          <w:tcPr>
            <w:tcW w:w="560" w:type="dxa"/>
            <w:vAlign w:val="bottom"/>
            <w:shd w:val="clear" w:color="auto" w:fill="BFBFBF"/>
          </w:tcPr>
          <w:p>
            <w:pPr>
              <w:spacing w:after="0"/>
              <w:rPr>
                <w:sz w:val="17"/>
                <w:szCs w:val="17"/>
                <w:color w:val="auto"/>
              </w:rPr>
            </w:pPr>
          </w:p>
        </w:tc>
        <w:tc>
          <w:tcPr>
            <w:tcW w:w="1520" w:type="dxa"/>
            <w:vAlign w:val="bottom"/>
            <w:gridSpan w:val="2"/>
            <w:shd w:val="clear" w:color="auto" w:fill="BFBFBF"/>
          </w:tcPr>
          <w:p>
            <w:pPr>
              <w:jc w:val="right"/>
              <w:ind w:right="39"/>
              <w:spacing w:after="0"/>
              <w:rPr>
                <w:sz w:val="20"/>
                <w:szCs w:val="20"/>
                <w:color w:val="auto"/>
              </w:rPr>
            </w:pPr>
            <w:r>
              <w:rPr>
                <w:rFonts w:ascii="Arial" w:cs="Arial" w:eastAsia="Arial" w:hAnsi="Arial"/>
                <w:sz w:val="17"/>
                <w:szCs w:val="17"/>
                <w:color w:val="auto"/>
              </w:rPr>
              <w:t>52</w:t>
            </w: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11,043</w:t>
            </w:r>
          </w:p>
        </w:tc>
        <w:tc>
          <w:tcPr>
            <w:tcW w:w="0" w:type="dxa"/>
            <w:vAlign w:val="bottom"/>
          </w:tcPr>
          <w:p>
            <w:pPr>
              <w:spacing w:after="0"/>
              <w:rPr>
                <w:sz w:val="1"/>
                <w:szCs w:val="1"/>
                <w:color w:val="auto"/>
              </w:rPr>
            </w:pPr>
          </w:p>
        </w:tc>
      </w:tr>
      <w:tr>
        <w:trPr>
          <w:trHeight w:val="186"/>
        </w:trPr>
        <w:tc>
          <w:tcPr>
            <w:tcW w:w="5260" w:type="dxa"/>
            <w:vAlign w:val="bottom"/>
          </w:tcPr>
          <w:p>
            <w:pPr>
              <w:ind w:left="100"/>
              <w:spacing w:after="0" w:line="185" w:lineRule="exact"/>
              <w:rPr>
                <w:sz w:val="20"/>
                <w:szCs w:val="20"/>
                <w:color w:val="auto"/>
              </w:rPr>
            </w:pPr>
            <w:r>
              <w:rPr>
                <w:rFonts w:ascii="Arial" w:cs="Arial" w:eastAsia="Arial" w:hAnsi="Arial"/>
                <w:sz w:val="17"/>
                <w:szCs w:val="17"/>
                <w:color w:val="auto"/>
              </w:rPr>
              <w:t>Total liabilities</w:t>
            </w:r>
          </w:p>
        </w:tc>
        <w:tc>
          <w:tcPr>
            <w:tcW w:w="56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788,183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16,860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805,043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260" w:type="dxa"/>
            <w:vAlign w:val="bottom"/>
          </w:tcPr>
          <w:p>
            <w:pPr>
              <w:spacing w:after="0"/>
              <w:rPr>
                <w:sz w:val="20"/>
                <w:szCs w:val="20"/>
                <w:color w:val="auto"/>
              </w:rPr>
            </w:pPr>
            <w:r>
              <w:rPr>
                <w:rFonts w:ascii="Arial" w:cs="Arial" w:eastAsia="Arial" w:hAnsi="Arial"/>
                <w:sz w:val="17"/>
                <w:szCs w:val="17"/>
                <w:color w:val="auto"/>
              </w:rPr>
              <w:t>SHAREHOLDERS' EQUITY</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60" w:type="dxa"/>
            <w:vAlign w:val="bottom"/>
            <w:shd w:val="clear" w:color="auto" w:fill="BFBFBF"/>
          </w:tcPr>
          <w:p>
            <w:pPr>
              <w:ind w:left="100"/>
              <w:spacing w:after="0" w:line="193" w:lineRule="exact"/>
              <w:rPr>
                <w:sz w:val="20"/>
                <w:szCs w:val="20"/>
                <w:color w:val="auto"/>
              </w:rPr>
            </w:pPr>
            <w:r>
              <w:rPr>
                <w:rFonts w:ascii="Arial" w:cs="Arial" w:eastAsia="Arial" w:hAnsi="Arial"/>
                <w:sz w:val="17"/>
                <w:szCs w:val="17"/>
                <w:color w:val="auto"/>
              </w:rPr>
              <w:t>Preferred stock, par value $5.00 per share;</w:t>
            </w:r>
          </w:p>
        </w:tc>
        <w:tc>
          <w:tcPr>
            <w:tcW w:w="560" w:type="dxa"/>
            <w:vAlign w:val="bottom"/>
            <w:shd w:val="clear" w:color="auto" w:fill="BFBFBF"/>
          </w:tcPr>
          <w:p>
            <w:pPr>
              <w:spacing w:after="0"/>
              <w:rPr>
                <w:sz w:val="16"/>
                <w:szCs w:val="16"/>
                <w:color w:val="auto"/>
              </w:rPr>
            </w:pPr>
          </w:p>
        </w:tc>
        <w:tc>
          <w:tcPr>
            <w:tcW w:w="138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60" w:type="dxa"/>
            <w:vAlign w:val="bottom"/>
            <w:shd w:val="clear" w:color="auto" w:fill="BFBFBF"/>
          </w:tcPr>
          <w:p>
            <w:pPr>
              <w:spacing w:after="0"/>
              <w:rPr>
                <w:sz w:val="16"/>
                <w:szCs w:val="16"/>
                <w:color w:val="auto"/>
              </w:rPr>
            </w:pPr>
          </w:p>
        </w:tc>
        <w:tc>
          <w:tcPr>
            <w:tcW w:w="140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80"/>
              <w:spacing w:after="0" w:line="194" w:lineRule="exact"/>
              <w:rPr>
                <w:sz w:val="20"/>
                <w:szCs w:val="20"/>
                <w:color w:val="auto"/>
              </w:rPr>
            </w:pPr>
            <w:r>
              <w:rPr>
                <w:rFonts w:ascii="Arial" w:cs="Arial" w:eastAsia="Arial" w:hAnsi="Arial"/>
                <w:sz w:val="17"/>
                <w:szCs w:val="17"/>
                <w:color w:val="auto"/>
              </w:rPr>
              <w:t>authorized 2,000,000 shares; none issued</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5260" w:type="dxa"/>
            <w:vAlign w:val="bottom"/>
          </w:tcPr>
          <w:p>
            <w:pPr>
              <w:ind w:left="100"/>
              <w:spacing w:after="0" w:line="193" w:lineRule="exact"/>
              <w:rPr>
                <w:sz w:val="20"/>
                <w:szCs w:val="20"/>
                <w:color w:val="auto"/>
              </w:rPr>
            </w:pPr>
            <w:r>
              <w:rPr>
                <w:rFonts w:ascii="Arial" w:cs="Arial" w:eastAsia="Arial" w:hAnsi="Arial"/>
                <w:sz w:val="17"/>
                <w:szCs w:val="17"/>
                <w:color w:val="auto"/>
              </w:rPr>
              <w:t>Class A Common Stock, par value $.001 per share;</w:t>
            </w: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280"/>
              <w:spacing w:after="0" w:line="194" w:lineRule="exact"/>
              <w:rPr>
                <w:sz w:val="20"/>
                <w:szCs w:val="20"/>
                <w:color w:val="auto"/>
              </w:rPr>
            </w:pPr>
            <w:r>
              <w:rPr>
                <w:rFonts w:ascii="Arial" w:cs="Arial" w:eastAsia="Arial" w:hAnsi="Arial"/>
                <w:sz w:val="17"/>
                <w:szCs w:val="17"/>
                <w:color w:val="auto"/>
              </w:rPr>
              <w:t>authorized 100,000,000 shares; issued 37,395,753 in 2017</w:t>
            </w: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480"/>
              <w:spacing w:after="0" w:line="194" w:lineRule="exact"/>
              <w:rPr>
                <w:sz w:val="20"/>
                <w:szCs w:val="20"/>
                <w:color w:val="auto"/>
              </w:rPr>
            </w:pPr>
            <w:r>
              <w:rPr>
                <w:rFonts w:ascii="Arial" w:cs="Arial" w:eastAsia="Arial" w:hAnsi="Arial"/>
                <w:sz w:val="17"/>
                <w:szCs w:val="17"/>
                <w:color w:val="auto"/>
              </w:rPr>
              <w:t>and 37,319,266 in 2016</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37</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93"/>
        </w:trPr>
        <w:tc>
          <w:tcPr>
            <w:tcW w:w="5260" w:type="dxa"/>
            <w:vAlign w:val="bottom"/>
            <w:shd w:val="clear" w:color="auto" w:fill="BFBFBF"/>
          </w:tcPr>
          <w:p>
            <w:pPr>
              <w:ind w:left="100"/>
              <w:spacing w:after="0" w:line="193" w:lineRule="exact"/>
              <w:rPr>
                <w:sz w:val="20"/>
                <w:szCs w:val="20"/>
                <w:color w:val="auto"/>
              </w:rPr>
            </w:pPr>
            <w:r>
              <w:rPr>
                <w:rFonts w:ascii="Arial" w:cs="Arial" w:eastAsia="Arial" w:hAnsi="Arial"/>
                <w:sz w:val="17"/>
                <w:szCs w:val="17"/>
                <w:color w:val="auto"/>
              </w:rPr>
              <w:t>Class B Common Stock, par value $.001 per share;</w:t>
            </w:r>
          </w:p>
        </w:tc>
        <w:tc>
          <w:tcPr>
            <w:tcW w:w="560" w:type="dxa"/>
            <w:vAlign w:val="bottom"/>
            <w:shd w:val="clear" w:color="auto" w:fill="BFBFBF"/>
          </w:tcPr>
          <w:p>
            <w:pPr>
              <w:spacing w:after="0"/>
              <w:rPr>
                <w:sz w:val="16"/>
                <w:szCs w:val="16"/>
                <w:color w:val="auto"/>
              </w:rPr>
            </w:pPr>
          </w:p>
        </w:tc>
        <w:tc>
          <w:tcPr>
            <w:tcW w:w="138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60" w:type="dxa"/>
            <w:vAlign w:val="bottom"/>
            <w:shd w:val="clear" w:color="auto" w:fill="BFBFBF"/>
          </w:tcPr>
          <w:p>
            <w:pPr>
              <w:spacing w:after="0"/>
              <w:rPr>
                <w:sz w:val="16"/>
                <w:szCs w:val="16"/>
                <w:color w:val="auto"/>
              </w:rPr>
            </w:pPr>
          </w:p>
        </w:tc>
        <w:tc>
          <w:tcPr>
            <w:tcW w:w="140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80"/>
              <w:spacing w:after="0" w:line="194" w:lineRule="exact"/>
              <w:rPr>
                <w:sz w:val="20"/>
                <w:szCs w:val="20"/>
                <w:color w:val="auto"/>
              </w:rPr>
            </w:pPr>
            <w:r>
              <w:rPr>
                <w:rFonts w:ascii="Arial" w:cs="Arial" w:eastAsia="Arial" w:hAnsi="Arial"/>
                <w:sz w:val="17"/>
                <w:szCs w:val="17"/>
                <w:color w:val="auto"/>
              </w:rPr>
              <w:t>authorized 25,000,000 shares; issued and</w:t>
            </w:r>
          </w:p>
        </w:tc>
        <w:tc>
          <w:tcPr>
            <w:tcW w:w="560" w:type="dxa"/>
            <w:vAlign w:val="bottom"/>
            <w:shd w:val="clear" w:color="auto" w:fill="BFBFBF"/>
          </w:tcPr>
          <w:p>
            <w:pPr>
              <w:spacing w:after="0"/>
              <w:rPr>
                <w:sz w:val="16"/>
                <w:szCs w:val="16"/>
                <w:color w:val="auto"/>
              </w:rPr>
            </w:pPr>
          </w:p>
        </w:tc>
        <w:tc>
          <w:tcPr>
            <w:tcW w:w="138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60" w:type="dxa"/>
            <w:vAlign w:val="bottom"/>
            <w:shd w:val="clear" w:color="auto" w:fill="BFBFBF"/>
          </w:tcPr>
          <w:p>
            <w:pPr>
              <w:spacing w:after="0"/>
              <w:rPr>
                <w:sz w:val="16"/>
                <w:szCs w:val="16"/>
                <w:color w:val="auto"/>
              </w:rPr>
            </w:pPr>
          </w:p>
        </w:tc>
        <w:tc>
          <w:tcPr>
            <w:tcW w:w="140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80"/>
              <w:spacing w:after="0" w:line="194" w:lineRule="exact"/>
              <w:rPr>
                <w:sz w:val="20"/>
                <w:szCs w:val="20"/>
                <w:color w:val="auto"/>
              </w:rPr>
            </w:pPr>
            <w:r>
              <w:rPr>
                <w:rFonts w:ascii="Arial" w:cs="Arial" w:eastAsia="Arial" w:hAnsi="Arial"/>
                <w:sz w:val="17"/>
                <w:szCs w:val="17"/>
                <w:color w:val="auto"/>
              </w:rPr>
              <w:t>outstanding 3,233,998 in 2017 and 2016</w:t>
            </w:r>
          </w:p>
        </w:tc>
        <w:tc>
          <w:tcPr>
            <w:tcW w:w="560" w:type="dxa"/>
            <w:vAlign w:val="bottom"/>
            <w:shd w:val="clear" w:color="auto" w:fill="BFBFBF"/>
          </w:tcPr>
          <w:p>
            <w:pPr>
              <w:spacing w:after="0"/>
              <w:rPr>
                <w:sz w:val="16"/>
                <w:szCs w:val="16"/>
                <w:color w:val="auto"/>
              </w:rPr>
            </w:pPr>
          </w:p>
        </w:tc>
        <w:tc>
          <w:tcPr>
            <w:tcW w:w="14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4"/>
        </w:trPr>
        <w:tc>
          <w:tcPr>
            <w:tcW w:w="5260" w:type="dxa"/>
            <w:vAlign w:val="bottom"/>
          </w:tcPr>
          <w:p>
            <w:pPr>
              <w:ind w:left="80"/>
              <w:spacing w:after="0" w:line="194" w:lineRule="exact"/>
              <w:rPr>
                <w:sz w:val="20"/>
                <w:szCs w:val="20"/>
                <w:color w:val="auto"/>
              </w:rPr>
            </w:pPr>
            <w:r>
              <w:rPr>
                <w:rFonts w:ascii="Arial" w:cs="Arial" w:eastAsia="Arial" w:hAnsi="Arial"/>
                <w:sz w:val="17"/>
                <w:szCs w:val="17"/>
                <w:color w:val="auto"/>
              </w:rPr>
              <w:t>Additional paid in capital</w:t>
            </w:r>
          </w:p>
        </w:tc>
        <w:tc>
          <w:tcPr>
            <w:tcW w:w="560" w:type="dxa"/>
            <w:vAlign w:val="bottom"/>
          </w:tcPr>
          <w:p>
            <w:pPr>
              <w:spacing w:after="0"/>
              <w:rPr>
                <w:sz w:val="16"/>
                <w:szCs w:val="16"/>
                <w:color w:val="auto"/>
              </w:rPr>
            </w:pPr>
          </w:p>
        </w:tc>
        <w:tc>
          <w:tcPr>
            <w:tcW w:w="14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428,423</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428,423</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Retained earnings</w:t>
            </w:r>
          </w:p>
        </w:tc>
        <w:tc>
          <w:tcPr>
            <w:tcW w:w="204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534,082</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(5,630)</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528,452</w:t>
            </w:r>
          </w:p>
        </w:tc>
        <w:tc>
          <w:tcPr>
            <w:tcW w:w="0" w:type="dxa"/>
            <w:vAlign w:val="bottom"/>
          </w:tcPr>
          <w:p>
            <w:pPr>
              <w:spacing w:after="0"/>
              <w:rPr>
                <w:sz w:val="1"/>
                <w:szCs w:val="1"/>
                <w:color w:val="auto"/>
              </w:rPr>
            </w:pPr>
          </w:p>
        </w:tc>
      </w:tr>
      <w:tr>
        <w:trPr>
          <w:trHeight w:val="193"/>
        </w:trPr>
        <w:tc>
          <w:tcPr>
            <w:tcW w:w="5260" w:type="dxa"/>
            <w:vAlign w:val="bottom"/>
          </w:tcPr>
          <w:p>
            <w:pPr>
              <w:ind w:left="80"/>
              <w:spacing w:after="0" w:line="193" w:lineRule="exact"/>
              <w:rPr>
                <w:sz w:val="20"/>
                <w:szCs w:val="20"/>
                <w:color w:val="auto"/>
              </w:rPr>
            </w:pPr>
            <w:r>
              <w:rPr>
                <w:rFonts w:ascii="Arial" w:cs="Arial" w:eastAsia="Arial" w:hAnsi="Arial"/>
                <w:sz w:val="17"/>
                <w:szCs w:val="17"/>
                <w:color w:val="auto"/>
              </w:rPr>
              <w:t>Accumulated items of other comprehensive income:</w:t>
            </w: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280"/>
              <w:spacing w:after="0" w:line="194" w:lineRule="exact"/>
              <w:rPr>
                <w:sz w:val="20"/>
                <w:szCs w:val="20"/>
                <w:color w:val="auto"/>
              </w:rPr>
            </w:pPr>
            <w:r>
              <w:rPr>
                <w:rFonts w:ascii="Arial" w:cs="Arial" w:eastAsia="Arial" w:hAnsi="Arial"/>
                <w:sz w:val="17"/>
                <w:szCs w:val="17"/>
                <w:color w:val="auto"/>
              </w:rPr>
              <w:t>Translation adjustments</w:t>
            </w:r>
          </w:p>
        </w:tc>
        <w:tc>
          <w:tcPr>
            <w:tcW w:w="204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(87,318)</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(87,318)</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Pension and postretirement liability adjustments</w:t>
            </w:r>
          </w:p>
        </w:tc>
        <w:tc>
          <w:tcPr>
            <w:tcW w:w="2040" w:type="dxa"/>
            <w:vAlign w:val="bottom"/>
            <w:gridSpan w:val="3"/>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(50,536)</w:t>
            </w:r>
          </w:p>
        </w:tc>
        <w:tc>
          <w:tcPr>
            <w:tcW w:w="560" w:type="dxa"/>
            <w:vAlign w:val="bottom"/>
            <w:shd w:val="clear" w:color="auto" w:fill="BFBFBF"/>
          </w:tcPr>
          <w:p>
            <w:pPr>
              <w:spacing w:after="0"/>
              <w:rPr>
                <w:sz w:val="16"/>
                <w:szCs w:val="16"/>
                <w:color w:val="auto"/>
              </w:rPr>
            </w:pPr>
          </w:p>
        </w:tc>
        <w:tc>
          <w:tcPr>
            <w:tcW w:w="1520" w:type="dxa"/>
            <w:vAlign w:val="bottom"/>
            <w:gridSpan w:val="2"/>
            <w:shd w:val="clear" w:color="auto" w:fill="BFBFBF"/>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(50,536)</w:t>
            </w: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Derivative valuation adjustment</w:t>
            </w:r>
          </w:p>
        </w:tc>
        <w:tc>
          <w:tcPr>
            <w:tcW w:w="20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1,953</w:t>
            </w:r>
          </w:p>
        </w:tc>
        <w:tc>
          <w:tcPr>
            <w:tcW w:w="560" w:type="dxa"/>
            <w:vAlign w:val="bottom"/>
          </w:tcPr>
          <w:p>
            <w:pPr>
              <w:spacing w:after="0"/>
              <w:rPr>
                <w:sz w:val="16"/>
                <w:szCs w:val="16"/>
                <w:color w:val="auto"/>
              </w:rPr>
            </w:pPr>
          </w:p>
        </w:tc>
        <w:tc>
          <w:tcPr>
            <w:tcW w:w="1520" w:type="dxa"/>
            <w:vAlign w:val="bottom"/>
            <w:gridSpan w:val="2"/>
          </w:tcPr>
          <w:p>
            <w:pPr>
              <w:jc w:val="right"/>
              <w:ind w:right="39"/>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1,953</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Treasury stock (Class A), at cost 8,431,335 shares in 2017</w:t>
            </w:r>
          </w:p>
        </w:tc>
        <w:tc>
          <w:tcPr>
            <w:tcW w:w="2040" w:type="dxa"/>
            <w:vAlign w:val="bottom"/>
            <w:gridSpan w:val="3"/>
            <w:vMerge w:val="restart"/>
            <w:shd w:val="clear" w:color="auto" w:fill="BFBFBF"/>
          </w:tcPr>
          <w:p>
            <w:pPr>
              <w:jc w:val="right"/>
              <w:ind w:right="60"/>
              <w:spacing w:after="0"/>
              <w:rPr>
                <w:sz w:val="20"/>
                <w:szCs w:val="20"/>
                <w:color w:val="auto"/>
              </w:rPr>
            </w:pPr>
            <w:r>
              <w:rPr>
                <w:rFonts w:ascii="Arial" w:cs="Arial" w:eastAsia="Arial" w:hAnsi="Arial"/>
                <w:sz w:val="17"/>
                <w:szCs w:val="17"/>
                <w:color w:val="auto"/>
              </w:rPr>
              <w:t>(256,876)</w:t>
            </w:r>
          </w:p>
        </w:tc>
        <w:tc>
          <w:tcPr>
            <w:tcW w:w="560" w:type="dxa"/>
            <w:vAlign w:val="bottom"/>
            <w:shd w:val="clear" w:color="auto" w:fill="BFBFBF"/>
          </w:tcPr>
          <w:p>
            <w:pPr>
              <w:spacing w:after="0"/>
              <w:rPr>
                <w:sz w:val="16"/>
                <w:szCs w:val="16"/>
                <w:color w:val="auto"/>
              </w:rPr>
            </w:pPr>
          </w:p>
        </w:tc>
        <w:tc>
          <w:tcPr>
            <w:tcW w:w="140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240"/>
              <w:spacing w:after="0"/>
              <w:rPr>
                <w:sz w:val="20"/>
                <w:szCs w:val="20"/>
                <w:color w:val="auto"/>
              </w:rPr>
            </w:pPr>
            <w:r>
              <w:rPr>
                <w:rFonts w:ascii="Arial" w:cs="Arial" w:eastAsia="Arial" w:hAnsi="Arial"/>
                <w:sz w:val="17"/>
                <w:szCs w:val="17"/>
                <w:color w:val="auto"/>
              </w:rPr>
              <w:t>and 8,443,444 shares in 2016</w:t>
            </w:r>
          </w:p>
        </w:tc>
        <w:tc>
          <w:tcPr>
            <w:tcW w:w="2040" w:type="dxa"/>
            <w:vAlign w:val="bottom"/>
            <w:gridSpan w:val="3"/>
            <w:vMerge w:val="continue"/>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520" w:type="dxa"/>
            <w:vAlign w:val="bottom"/>
            <w:gridSpan w:val="2"/>
            <w:shd w:val="clear" w:color="auto" w:fill="BFBFBF"/>
          </w:tcPr>
          <w:p>
            <w:pPr>
              <w:jc w:val="right"/>
              <w:ind w:right="39"/>
              <w:spacing w:after="0"/>
              <w:rPr>
                <w:sz w:val="20"/>
                <w:szCs w:val="20"/>
                <w:color w:val="auto"/>
              </w:rPr>
            </w:pPr>
            <w:r>
              <w:rPr>
                <w:rFonts w:ascii="Arial" w:cs="Arial" w:eastAsia="Arial" w:hAnsi="Arial"/>
                <w:sz w:val="17"/>
                <w:szCs w:val="17"/>
                <w:color w:val="auto"/>
              </w:rPr>
              <w:t>-</w:t>
            </w: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ind w:right="40"/>
              <w:spacing w:after="0"/>
              <w:rPr>
                <w:sz w:val="20"/>
                <w:szCs w:val="20"/>
                <w:color w:val="auto"/>
              </w:rPr>
            </w:pPr>
            <w:r>
              <w:rPr>
                <w:rFonts w:ascii="Arial" w:cs="Arial" w:eastAsia="Arial" w:hAnsi="Arial"/>
                <w:sz w:val="17"/>
                <w:szCs w:val="17"/>
                <w:color w:val="auto"/>
              </w:rPr>
              <w:t>(256,876)</w:t>
            </w:r>
          </w:p>
        </w:tc>
        <w:tc>
          <w:tcPr>
            <w:tcW w:w="0" w:type="dxa"/>
            <w:vAlign w:val="bottom"/>
          </w:tcPr>
          <w:p>
            <w:pPr>
              <w:spacing w:after="0"/>
              <w:rPr>
                <w:sz w:val="1"/>
                <w:szCs w:val="1"/>
                <w:color w:val="auto"/>
              </w:rPr>
            </w:pPr>
          </w:p>
        </w:tc>
      </w:tr>
      <w:tr>
        <w:trPr>
          <w:trHeight w:val="186"/>
        </w:trPr>
        <w:tc>
          <w:tcPr>
            <w:tcW w:w="5260" w:type="dxa"/>
            <w:vAlign w:val="bottom"/>
          </w:tcPr>
          <w:p>
            <w:pPr>
              <w:ind w:left="100"/>
              <w:spacing w:after="0" w:line="186" w:lineRule="exact"/>
              <w:rPr>
                <w:sz w:val="20"/>
                <w:szCs w:val="20"/>
                <w:color w:val="auto"/>
              </w:rPr>
            </w:pPr>
            <w:r>
              <w:rPr>
                <w:rFonts w:ascii="Arial" w:cs="Arial" w:eastAsia="Arial" w:hAnsi="Arial"/>
                <w:sz w:val="17"/>
                <w:szCs w:val="17"/>
                <w:color w:val="auto"/>
              </w:rPr>
              <w:t>Total Company shareholders' equity</w:t>
            </w:r>
          </w:p>
        </w:tc>
        <w:tc>
          <w:tcPr>
            <w:tcW w:w="560" w:type="dxa"/>
            <w:vAlign w:val="bottom"/>
          </w:tcPr>
          <w:p>
            <w:pPr>
              <w:spacing w:after="0"/>
              <w:rPr>
                <w:sz w:val="16"/>
                <w:szCs w:val="16"/>
                <w:color w:val="auto"/>
              </w:rPr>
            </w:pPr>
          </w:p>
        </w:tc>
        <w:tc>
          <w:tcPr>
            <w:tcW w:w="138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569,768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(5,630)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564,138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100"/>
              <w:spacing w:after="0"/>
              <w:rPr>
                <w:sz w:val="20"/>
                <w:szCs w:val="20"/>
                <w:color w:val="auto"/>
              </w:rPr>
            </w:pPr>
            <w:r>
              <w:rPr>
                <w:rFonts w:ascii="Arial" w:cs="Arial" w:eastAsia="Arial" w:hAnsi="Arial"/>
                <w:sz w:val="17"/>
                <w:szCs w:val="17"/>
                <w:color w:val="auto"/>
              </w:rPr>
              <w:t>Noncontrolling interest</w:t>
            </w:r>
          </w:p>
        </w:tc>
        <w:tc>
          <w:tcPr>
            <w:tcW w:w="2040" w:type="dxa"/>
            <w:vAlign w:val="bottom"/>
            <w:gridSpan w:val="3"/>
            <w:shd w:val="clear" w:color="auto" w:fill="BFBFBF"/>
          </w:tcPr>
          <w:p>
            <w:pPr>
              <w:jc w:val="right"/>
              <w:ind w:right="100"/>
              <w:spacing w:after="0"/>
              <w:rPr>
                <w:sz w:val="20"/>
                <w:szCs w:val="20"/>
                <w:color w:val="auto"/>
              </w:rPr>
            </w:pPr>
            <w:r>
              <w:rPr>
                <w:rFonts w:ascii="Arial" w:cs="Arial" w:eastAsia="Arial" w:hAnsi="Arial"/>
                <w:sz w:val="17"/>
                <w:szCs w:val="17"/>
                <w:color w:val="auto"/>
              </w:rPr>
              <w:t>3,247</w:t>
            </w:r>
          </w:p>
        </w:tc>
        <w:tc>
          <w:tcPr>
            <w:tcW w:w="560" w:type="dxa"/>
            <w:vAlign w:val="bottom"/>
            <w:shd w:val="clear" w:color="auto" w:fill="BFBFBF"/>
          </w:tcPr>
          <w:p>
            <w:pPr>
              <w:spacing w:after="0"/>
              <w:rPr>
                <w:sz w:val="17"/>
                <w:szCs w:val="17"/>
                <w:color w:val="auto"/>
              </w:rPr>
            </w:pPr>
          </w:p>
        </w:tc>
        <w:tc>
          <w:tcPr>
            <w:tcW w:w="1520" w:type="dxa"/>
            <w:vAlign w:val="bottom"/>
            <w:gridSpan w:val="2"/>
            <w:shd w:val="clear" w:color="auto" w:fill="BFBFBF"/>
          </w:tcPr>
          <w:p>
            <w:pPr>
              <w:jc w:val="right"/>
              <w:spacing w:after="0"/>
              <w:rPr>
                <w:sz w:val="20"/>
                <w:szCs w:val="20"/>
                <w:color w:val="auto"/>
              </w:rPr>
            </w:pPr>
            <w:r>
              <w:rPr>
                <w:rFonts w:ascii="Arial" w:cs="Arial" w:eastAsia="Arial" w:hAnsi="Arial"/>
                <w:sz w:val="17"/>
                <w:szCs w:val="17"/>
                <w:color w:val="auto"/>
              </w:rPr>
              <w:t>(327)</w:t>
            </w: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2,920</w:t>
            </w:r>
          </w:p>
        </w:tc>
        <w:tc>
          <w:tcPr>
            <w:tcW w:w="0" w:type="dxa"/>
            <w:vAlign w:val="bottom"/>
          </w:tcPr>
          <w:p>
            <w:pPr>
              <w:spacing w:after="0"/>
              <w:rPr>
                <w:sz w:val="1"/>
                <w:szCs w:val="1"/>
                <w:color w:val="auto"/>
              </w:rPr>
            </w:pPr>
          </w:p>
        </w:tc>
      </w:tr>
      <w:tr>
        <w:trPr>
          <w:trHeight w:val="186"/>
        </w:trPr>
        <w:tc>
          <w:tcPr>
            <w:tcW w:w="5260" w:type="dxa"/>
            <w:vAlign w:val="bottom"/>
            <w:tcBorders>
              <w:bottom w:val="single" w:sz="8" w:color="BFBFBF"/>
            </w:tcBorders>
          </w:tcPr>
          <w:p>
            <w:pPr>
              <w:ind w:left="40"/>
              <w:spacing w:after="0" w:line="185" w:lineRule="exact"/>
              <w:rPr>
                <w:sz w:val="20"/>
                <w:szCs w:val="20"/>
                <w:color w:val="auto"/>
              </w:rPr>
            </w:pPr>
            <w:r>
              <w:rPr>
                <w:rFonts w:ascii="Arial" w:cs="Arial" w:eastAsia="Arial" w:hAnsi="Arial"/>
                <w:sz w:val="17"/>
                <w:szCs w:val="17"/>
                <w:color w:val="auto"/>
              </w:rPr>
              <w:t>Total equity</w:t>
            </w:r>
          </w:p>
        </w:tc>
        <w:tc>
          <w:tcPr>
            <w:tcW w:w="560" w:type="dxa"/>
            <w:vAlign w:val="bottom"/>
            <w:tcBorders>
              <w:bottom w:val="single" w:sz="8" w:color="BFBFBF"/>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573,015</w:t>
            </w:r>
          </w:p>
        </w:tc>
        <w:tc>
          <w:tcPr>
            <w:tcW w:w="100" w:type="dxa"/>
            <w:vAlign w:val="bottom"/>
            <w:tcBorders>
              <w:bottom w:val="single" w:sz="8" w:color="BFBFBF"/>
            </w:tcBorders>
          </w:tcPr>
          <w:p>
            <w:pPr>
              <w:spacing w:after="0"/>
              <w:rPr>
                <w:sz w:val="16"/>
                <w:szCs w:val="16"/>
                <w:color w:val="auto"/>
              </w:rPr>
            </w:pPr>
          </w:p>
        </w:tc>
        <w:tc>
          <w:tcPr>
            <w:tcW w:w="560" w:type="dxa"/>
            <w:vAlign w:val="bottom"/>
            <w:tcBorders>
              <w:bottom w:val="single" w:sz="8" w:color="BFBFBF"/>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(5,957</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Borders>
              <w:bottom w:val="single" w:sz="8" w:color="BFBFBF"/>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567,058</w:t>
            </w:r>
          </w:p>
        </w:tc>
        <w:tc>
          <w:tcPr>
            <w:tcW w:w="100" w:type="dxa"/>
            <w:vAlign w:val="bottom"/>
            <w:tcBorders>
              <w:bottom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60" w:type="dxa"/>
            <w:vAlign w:val="bottom"/>
            <w:shd w:val="clear" w:color="auto" w:fill="BFBFBF"/>
          </w:tcPr>
          <w:p>
            <w:pPr>
              <w:ind w:left="280"/>
              <w:spacing w:after="0" w:line="185" w:lineRule="exact"/>
              <w:rPr>
                <w:sz w:val="20"/>
                <w:szCs w:val="20"/>
                <w:color w:val="auto"/>
              </w:rPr>
            </w:pPr>
            <w:r>
              <w:rPr>
                <w:rFonts w:ascii="Arial" w:cs="Arial" w:eastAsia="Arial" w:hAnsi="Arial"/>
                <w:sz w:val="17"/>
                <w:szCs w:val="17"/>
                <w:color w:val="auto"/>
              </w:rPr>
              <w:t>Total liabilities and shareholders' equity</w:t>
            </w:r>
          </w:p>
        </w:tc>
        <w:tc>
          <w:tcPr>
            <w:tcW w:w="2040" w:type="dxa"/>
            <w:vAlign w:val="bottom"/>
            <w:gridSpan w:val="3"/>
            <w:shd w:val="clear" w:color="auto" w:fill="BFBFBF"/>
          </w:tcPr>
          <w:p>
            <w:pPr>
              <w:jc w:val="right"/>
              <w:ind w:right="100"/>
              <w:spacing w:after="0"/>
              <w:rPr>
                <w:sz w:val="20"/>
                <w:szCs w:val="20"/>
                <w:color w:val="auto"/>
              </w:rPr>
            </w:pPr>
            <w:r>
              <w:rPr>
                <w:rFonts w:ascii="Arial" w:cs="Arial" w:eastAsia="Arial" w:hAnsi="Arial"/>
                <w:sz w:val="17"/>
                <w:szCs w:val="17"/>
                <w:color w:val="auto"/>
              </w:rPr>
              <w:t>$1,361,198</w:t>
            </w:r>
          </w:p>
        </w:tc>
        <w:tc>
          <w:tcPr>
            <w:tcW w:w="560" w:type="dxa"/>
            <w:vAlign w:val="bottom"/>
            <w:shd w:val="clear" w:color="auto" w:fill="BFBFBF"/>
          </w:tcPr>
          <w:p>
            <w:pPr>
              <w:spacing w:after="0"/>
              <w:rPr>
                <w:sz w:val="17"/>
                <w:szCs w:val="17"/>
                <w:color w:val="auto"/>
              </w:rPr>
            </w:pPr>
          </w:p>
        </w:tc>
        <w:tc>
          <w:tcPr>
            <w:tcW w:w="1520" w:type="dxa"/>
            <w:vAlign w:val="bottom"/>
            <w:gridSpan w:val="2"/>
            <w:shd w:val="clear" w:color="auto" w:fill="BFBFBF"/>
          </w:tcPr>
          <w:p>
            <w:pPr>
              <w:jc w:val="right"/>
              <w:ind w:right="39"/>
              <w:spacing w:after="0"/>
              <w:rPr>
                <w:sz w:val="20"/>
                <w:szCs w:val="20"/>
                <w:color w:val="auto"/>
              </w:rPr>
            </w:pPr>
            <w:r>
              <w:rPr>
                <w:rFonts w:ascii="Arial" w:cs="Arial" w:eastAsia="Arial" w:hAnsi="Arial"/>
                <w:sz w:val="17"/>
                <w:szCs w:val="17"/>
                <w:color w:val="auto"/>
              </w:rPr>
              <w:t>$10,903</w:t>
            </w: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ind w:right="100"/>
              <w:spacing w:after="0"/>
              <w:rPr>
                <w:sz w:val="20"/>
                <w:szCs w:val="20"/>
                <w:color w:val="auto"/>
              </w:rPr>
            </w:pPr>
            <w:r>
              <w:rPr>
                <w:rFonts w:ascii="Arial" w:cs="Arial" w:eastAsia="Arial" w:hAnsi="Arial"/>
                <w:sz w:val="17"/>
                <w:szCs w:val="17"/>
                <w:color w:val="auto"/>
              </w:rPr>
              <w:t>$1,372,101</w:t>
            </w:r>
          </w:p>
        </w:tc>
        <w:tc>
          <w:tcPr>
            <w:tcW w:w="0" w:type="dxa"/>
            <w:vAlign w:val="bottom"/>
          </w:tcPr>
          <w:p>
            <w:pPr>
              <w:spacing w:after="0"/>
              <w:rPr>
                <w:sz w:val="1"/>
                <w:szCs w:val="1"/>
                <w:color w:val="auto"/>
              </w:rPr>
            </w:pPr>
          </w:p>
        </w:tc>
      </w:tr>
      <w:tr>
        <w:trPr>
          <w:trHeight w:val="20"/>
        </w:trPr>
        <w:tc>
          <w:tcPr>
            <w:tcW w:w="5260" w:type="dxa"/>
            <w:vAlign w:val="bottom"/>
            <w:tcBorders>
              <w:top w:val="single" w:sz="8" w:color="BFBFBF"/>
            </w:tcBorders>
          </w:tcPr>
          <w:p>
            <w:pPr>
              <w:spacing w:after="0" w:line="20" w:lineRule="exact"/>
              <w:rPr>
                <w:sz w:val="1"/>
                <w:szCs w:val="1"/>
                <w:color w:val="auto"/>
              </w:rPr>
            </w:pPr>
          </w:p>
        </w:tc>
        <w:tc>
          <w:tcPr>
            <w:tcW w:w="560" w:type="dxa"/>
            <w:vAlign w:val="bottom"/>
            <w:tcBorders>
              <w:top w:val="single" w:sz="8" w:color="BFBFB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560" w:type="dxa"/>
            <w:vAlign w:val="bottom"/>
            <w:tcBorders>
              <w:top w:val="single" w:sz="8" w:color="BFBFB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580" w:type="dxa"/>
            <w:vAlign w:val="bottom"/>
            <w:tcBorders>
              <w:top w:val="single" w:sz="8" w:color="BFBFB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9" w:name="page10"/>
    <w:bookmarkEnd w:id="9"/>
    <w:p>
      <w:pPr>
        <w:ind w:left="620"/>
        <w:spacing w:after="0"/>
        <w:rPr>
          <w:sz w:val="20"/>
          <w:szCs w:val="20"/>
          <w:color w:val="auto"/>
        </w:rPr>
      </w:pPr>
      <w:r>
        <w:rPr>
          <w:rFonts w:ascii="Arial" w:cs="Arial" w:eastAsia="Arial" w:hAnsi="Arial"/>
          <w:sz w:val="17"/>
          <w:szCs w:val="17"/>
          <w:color w:val="auto"/>
        </w:rPr>
        <w:t>Significant changes to our accounting policies as a result of adopting the new standard are discussed below.</w:t>
      </w:r>
    </w:p>
    <w:p>
      <w:pPr>
        <w:spacing w:after="0" w:line="166"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For periods ending after December 31, 2017, 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under the new revenue standard.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359"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In our Machine Clothing segment, our primary performance obligation in most contracts is to provide solution-based, custom-designed fabrics and belts to the customer. We satisfy this performance obligation upon transferring control of the product to the customer at a specific point in time. Generally, the customer obtains control when the product has been received at the location specified by the customer, at which time the only remaining obligations under the contract are fulfillment costs, which are accrued when control of the product is transferred.</w:t>
      </w:r>
    </w:p>
    <w:p>
      <w:pPr>
        <w:spacing w:after="0" w:line="157" w:lineRule="exact"/>
        <w:rPr>
          <w:sz w:val="20"/>
          <w:szCs w:val="20"/>
          <w:color w:val="auto"/>
        </w:rPr>
      </w:pPr>
    </w:p>
    <w:p>
      <w:pPr>
        <w:ind w:right="120" w:firstLine="620"/>
        <w:spacing w:after="0"/>
        <w:rPr>
          <w:sz w:val="20"/>
          <w:szCs w:val="20"/>
          <w:color w:val="auto"/>
        </w:rPr>
      </w:pPr>
      <w:r>
        <w:rPr>
          <w:rFonts w:ascii="Arial" w:cs="Arial" w:eastAsia="Arial" w:hAnsi="Arial"/>
          <w:sz w:val="17"/>
          <w:szCs w:val="17"/>
          <w:color w:val="auto"/>
        </w:rPr>
        <w:t>In the Machine Clothing segment, some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based on their estimated standalone selling price.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Machine Clothing revenue that is recognized over time.</w:t>
      </w:r>
    </w:p>
    <w:p>
      <w:pPr>
        <w:spacing w:after="0" w:line="156"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In our Albany Engineered Composites (AEC) business segment, we primarily enter into contracts to manufacture and deliver highly engineered advanced composite products to our customers. The majority of AEC revenue is from short duration, firm-fixed-price orders that are placed under a master agreement containing general terms and conditions applicable to all orders placed under the master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manage the contract and provide a significant service of integrating a complex set of tasks and components into a single project or capability, which will often result in the delivery of multiple highly interdependent and interrelated units.</w:t>
      </w:r>
    </w:p>
    <w:p>
      <w:pPr>
        <w:spacing w:after="0" w:line="171"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At the inception of a contract 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380"/>
          </w:cols>
          <w:pgMar w:left="240" w:top="681" w:right="279" w:bottom="1440" w:gutter="0" w:footer="0" w:header="0"/>
        </w:sectPr>
      </w:pPr>
    </w:p>
    <w:bookmarkStart w:id="10" w:name="page11"/>
    <w:bookmarkEnd w:id="10"/>
    <w:p>
      <w:pPr>
        <w:ind w:right="280"/>
        <w:spacing w:after="0" w:line="250" w:lineRule="auto"/>
        <w:rPr>
          <w:sz w:val="20"/>
          <w:szCs w:val="20"/>
          <w:color w:val="auto"/>
        </w:rPr>
      </w:pPr>
      <w:r>
        <w:rPr>
          <w:rFonts w:ascii="Arial" w:cs="Arial" w:eastAsia="Arial" w:hAnsi="Arial"/>
          <w:sz w:val="17"/>
          <w:szCs w:val="17"/>
          <w:color w:val="auto"/>
        </w:rPr>
        <w:t>the existing contract. Therefore, such modifications are accounted for as if they were part of the existing contract, and we accumulate the values of such modifications in our estimates of contract value.</w:t>
      </w:r>
    </w:p>
    <w:p>
      <w:pPr>
        <w:spacing w:after="0" w:line="174" w:lineRule="exact"/>
        <w:rPr>
          <w:sz w:val="20"/>
          <w:szCs w:val="20"/>
          <w:color w:val="auto"/>
        </w:rPr>
      </w:pPr>
    </w:p>
    <w:p>
      <w:pPr>
        <w:ind w:right="40" w:firstLine="620"/>
        <w:spacing w:after="0" w:line="239" w:lineRule="auto"/>
        <w:rPr>
          <w:sz w:val="20"/>
          <w:szCs w:val="20"/>
          <w:color w:val="auto"/>
        </w:rPr>
      </w:pPr>
      <w:r>
        <w:rPr>
          <w:rFonts w:ascii="Arial" w:cs="Arial" w:eastAsia="Arial" w:hAnsi="Arial"/>
          <w:sz w:val="17"/>
          <w:szCs w:val="17"/>
          <w:color w:val="auto"/>
        </w:rPr>
        <w:t>Revenue is recognized over time for a large portion of our contracts in AEC as most of our contracts have provisions that, under the guidance in ASC 606,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is required, any changes from prior estimates are included in revenues or earnings in the period in which the change occurs.</w:t>
      </w:r>
    </w:p>
    <w:p>
      <w:pPr>
        <w:spacing w:after="0" w:line="158" w:lineRule="exact"/>
        <w:rPr>
          <w:sz w:val="20"/>
          <w:szCs w:val="20"/>
          <w:color w:val="auto"/>
        </w:rPr>
      </w:pPr>
    </w:p>
    <w:p>
      <w:pPr>
        <w:ind w:right="300" w:firstLine="620"/>
        <w:spacing w:after="0" w:line="250" w:lineRule="auto"/>
        <w:rPr>
          <w:sz w:val="20"/>
          <w:szCs w:val="20"/>
          <w:color w:val="auto"/>
        </w:rPr>
      </w:pPr>
      <w:r>
        <w:rPr>
          <w:rFonts w:ascii="Arial" w:cs="Arial" w:eastAsia="Arial" w:hAnsi="Arial"/>
          <w:sz w:val="17"/>
          <w:szCs w:val="17"/>
          <w:color w:val="auto"/>
        </w:rPr>
        <w:t>In other AEC contracts, revenue is recognized at a point in time because the products are offered to multiple customers, or do not have an enforceable right to payment until the product is shipped or delivered to the location specified by the customer in the contract.</w:t>
      </w:r>
    </w:p>
    <w:p>
      <w:pPr>
        <w:spacing w:after="0" w:line="161" w:lineRule="exact"/>
        <w:rPr>
          <w:sz w:val="20"/>
          <w:szCs w:val="20"/>
          <w:color w:val="auto"/>
        </w:rPr>
      </w:pPr>
    </w:p>
    <w:p>
      <w:pPr>
        <w:jc w:val="both"/>
        <w:ind w:right="20" w:firstLine="620"/>
        <w:spacing w:after="0" w:line="241" w:lineRule="auto"/>
        <w:rPr>
          <w:sz w:val="20"/>
          <w:szCs w:val="20"/>
          <w:color w:val="auto"/>
        </w:rPr>
      </w:pPr>
      <w:r>
        <w:rPr>
          <w:rFonts w:ascii="Arial" w:cs="Arial" w:eastAsia="Arial" w:hAnsi="Arial"/>
          <w:sz w:val="17"/>
          <w:szCs w:val="17"/>
          <w:color w:val="auto"/>
        </w:rPr>
        <w:t>AEC’s largest source of revenue is derived from the LEAP contract (see Note 3) under a cost- plus-fee agreement. Beginning in 2018, the fee is variable based on our success in achieving certain cost targets. Revenue is recognized over time as costs are incurred. Under this contract, there is significant judgment involved in determining applicable contract costs and expected margin, and therefore in determining the amount of revenue to be recognized.</w:t>
      </w:r>
    </w:p>
    <w:p>
      <w:pPr>
        <w:spacing w:after="0" w:line="157" w:lineRule="exact"/>
        <w:rPr>
          <w:sz w:val="20"/>
          <w:szCs w:val="20"/>
          <w:color w:val="auto"/>
        </w:rPr>
      </w:pPr>
    </w:p>
    <w:p>
      <w:pPr>
        <w:ind w:right="60" w:firstLine="620"/>
        <w:spacing w:after="0" w:line="250" w:lineRule="auto"/>
        <w:rPr>
          <w:sz w:val="20"/>
          <w:szCs w:val="20"/>
          <w:color w:val="auto"/>
        </w:rPr>
      </w:pPr>
      <w:r>
        <w:rPr>
          <w:rFonts w:ascii="Arial" w:cs="Arial" w:eastAsia="Arial" w:hAnsi="Arial"/>
          <w:sz w:val="17"/>
          <w:szCs w:val="17"/>
          <w:color w:val="auto"/>
        </w:rPr>
        <w:t>Payment terms granted to MC and AEC customers reflect general competitive practices. Terms vary with product, competitive conditions, and the country of operation.</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composition of each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252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Segment</w:t>
            </w:r>
          </w:p>
        </w:tc>
        <w:tc>
          <w:tcPr>
            <w:tcW w:w="228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Reporting Unit</w:t>
            </w:r>
          </w:p>
        </w:tc>
        <w:tc>
          <w:tcPr>
            <w:tcW w:w="4440" w:type="dxa"/>
            <w:vAlign w:val="bottom"/>
            <w:tcBorders>
              <w:bottom w:val="single" w:sz="8" w:color="auto"/>
            </w:tcBorders>
          </w:tcPr>
          <w:p>
            <w:pPr>
              <w:ind w:left="1100"/>
              <w:spacing w:after="0"/>
              <w:rPr>
                <w:sz w:val="20"/>
                <w:szCs w:val="20"/>
                <w:color w:val="auto"/>
              </w:rPr>
            </w:pPr>
            <w:r>
              <w:rPr>
                <w:rFonts w:ascii="Arial" w:cs="Arial" w:eastAsia="Arial" w:hAnsi="Arial"/>
                <w:sz w:val="17"/>
                <w:szCs w:val="17"/>
                <w:b w:val="1"/>
                <w:bCs w:val="1"/>
                <w:color w:val="auto"/>
              </w:rPr>
              <w:t>Principal Product or Service</w:t>
            </w:r>
          </w:p>
        </w:tc>
        <w:tc>
          <w:tcPr>
            <w:tcW w:w="2580" w:type="dxa"/>
            <w:vAlign w:val="bottom"/>
            <w:tcBorders>
              <w:bottom w:val="single" w:sz="8" w:color="auto"/>
            </w:tcBorders>
          </w:tcPr>
          <w:p>
            <w:pPr>
              <w:ind w:left="560"/>
              <w:spacing w:after="0"/>
              <w:rPr>
                <w:sz w:val="20"/>
                <w:szCs w:val="20"/>
                <w:color w:val="auto"/>
              </w:rPr>
            </w:pPr>
            <w:r>
              <w:rPr>
                <w:rFonts w:ascii="Arial" w:cs="Arial" w:eastAsia="Arial" w:hAnsi="Arial"/>
                <w:sz w:val="17"/>
                <w:szCs w:val="17"/>
                <w:b w:val="1"/>
                <w:bCs w:val="1"/>
                <w:color w:val="auto"/>
              </w:rPr>
              <w:t>Principal Locations</w:t>
            </w: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440" w:type="dxa"/>
            <w:vAlign w:val="bottom"/>
          </w:tcPr>
          <w:p>
            <w:pPr>
              <w:ind w:left="100"/>
              <w:spacing w:after="0" w:line="185" w:lineRule="exact"/>
              <w:rPr>
                <w:sz w:val="20"/>
                <w:szCs w:val="20"/>
                <w:color w:val="auto"/>
              </w:rPr>
            </w:pPr>
            <w:r>
              <w:rPr>
                <w:rFonts w:ascii="Arial" w:cs="Arial" w:eastAsia="Arial" w:hAnsi="Arial"/>
                <w:sz w:val="17"/>
                <w:szCs w:val="17"/>
                <w:color w:val="auto"/>
              </w:rPr>
              <w:t>Paper machine clothing: Permeable and impermeable</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440" w:type="dxa"/>
            <w:vAlign w:val="bottom"/>
          </w:tcPr>
          <w:p>
            <w:pPr>
              <w:ind w:left="100"/>
              <w:spacing w:after="0" w:line="194" w:lineRule="exact"/>
              <w:rPr>
                <w:sz w:val="20"/>
                <w:szCs w:val="20"/>
                <w:color w:val="auto"/>
              </w:rPr>
            </w:pPr>
            <w:r>
              <w:rPr>
                <w:rFonts w:ascii="Arial" w:cs="Arial" w:eastAsia="Arial" w:hAnsi="Arial"/>
                <w:sz w:val="17"/>
                <w:szCs w:val="17"/>
                <w:color w:val="auto"/>
              </w:rPr>
              <w:t>belts used in the manufacture of paper, paperboard,</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20" w:type="dxa"/>
            <w:vAlign w:val="bottom"/>
            <w:vMerge w:val="restart"/>
          </w:tcPr>
          <w:p>
            <w:pPr>
              <w:ind w:left="160"/>
              <w:spacing w:after="0"/>
              <w:rPr>
                <w:sz w:val="20"/>
                <w:szCs w:val="20"/>
                <w:color w:val="auto"/>
              </w:rPr>
            </w:pPr>
            <w:r>
              <w:rPr>
                <w:rFonts w:ascii="Arial" w:cs="Arial" w:eastAsia="Arial" w:hAnsi="Arial"/>
                <w:sz w:val="17"/>
                <w:szCs w:val="17"/>
                <w:color w:val="auto"/>
              </w:rPr>
              <w:t>Machine Clothing (MC)</w:t>
            </w:r>
          </w:p>
        </w:tc>
        <w:tc>
          <w:tcPr>
            <w:tcW w:w="2280" w:type="dxa"/>
            <w:vAlign w:val="bottom"/>
            <w:vMerge w:val="restart"/>
          </w:tcPr>
          <w:p>
            <w:pPr>
              <w:ind w:left="220"/>
              <w:spacing w:after="0"/>
              <w:rPr>
                <w:sz w:val="20"/>
                <w:szCs w:val="20"/>
                <w:color w:val="auto"/>
              </w:rPr>
            </w:pPr>
            <w:r>
              <w:rPr>
                <w:rFonts w:ascii="Arial" w:cs="Arial" w:eastAsia="Arial" w:hAnsi="Arial"/>
                <w:sz w:val="17"/>
                <w:szCs w:val="17"/>
                <w:color w:val="auto"/>
              </w:rPr>
              <w:t>Machine Clothing</w:t>
            </w:r>
          </w:p>
        </w:tc>
        <w:tc>
          <w:tcPr>
            <w:tcW w:w="4440" w:type="dxa"/>
            <w:vAlign w:val="bottom"/>
          </w:tcPr>
          <w:p>
            <w:pPr>
              <w:ind w:left="100"/>
              <w:spacing w:after="0"/>
              <w:rPr>
                <w:sz w:val="20"/>
                <w:szCs w:val="20"/>
                <w:color w:val="auto"/>
              </w:rPr>
            </w:pPr>
            <w:r>
              <w:rPr>
                <w:rFonts w:ascii="Arial" w:cs="Arial" w:eastAsia="Arial" w:hAnsi="Arial"/>
                <w:sz w:val="17"/>
                <w:szCs w:val="17"/>
                <w:color w:val="auto"/>
              </w:rPr>
              <w:t>tissue and towel, and pulp</w:t>
            </w:r>
          </w:p>
        </w:tc>
        <w:tc>
          <w:tcPr>
            <w:tcW w:w="2580" w:type="dxa"/>
            <w:vAlign w:val="bottom"/>
            <w:vMerge w:val="restart"/>
          </w:tcPr>
          <w:p>
            <w:pPr>
              <w:ind w:left="120"/>
              <w:spacing w:after="0"/>
              <w:rPr>
                <w:sz w:val="20"/>
                <w:szCs w:val="20"/>
                <w:color w:val="auto"/>
              </w:rPr>
            </w:pPr>
            <w:r>
              <w:rPr>
                <w:rFonts w:ascii="Arial" w:cs="Arial" w:eastAsia="Arial" w:hAnsi="Arial"/>
                <w:sz w:val="17"/>
                <w:szCs w:val="17"/>
                <w:color w:val="auto"/>
              </w:rPr>
              <w:t>World-wide</w:t>
            </w:r>
          </w:p>
        </w:tc>
        <w:tc>
          <w:tcPr>
            <w:tcW w:w="0" w:type="dxa"/>
            <w:vAlign w:val="bottom"/>
          </w:tcPr>
          <w:p>
            <w:pPr>
              <w:spacing w:after="0"/>
              <w:rPr>
                <w:sz w:val="1"/>
                <w:szCs w:val="1"/>
                <w:color w:val="auto"/>
              </w:rPr>
            </w:pPr>
          </w:p>
        </w:tc>
      </w:tr>
      <w:tr>
        <w:trPr>
          <w:trHeight w:val="194"/>
        </w:trPr>
        <w:tc>
          <w:tcPr>
            <w:tcW w:w="212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4440" w:type="dxa"/>
            <w:vAlign w:val="bottom"/>
            <w:vMerge w:val="restart"/>
          </w:tcPr>
          <w:p>
            <w:pPr>
              <w:ind w:left="100"/>
              <w:spacing w:after="0"/>
              <w:rPr>
                <w:sz w:val="20"/>
                <w:szCs w:val="20"/>
                <w:color w:val="auto"/>
              </w:rPr>
            </w:pPr>
            <w:r>
              <w:rPr>
                <w:rFonts w:ascii="Arial" w:cs="Arial" w:eastAsia="Arial" w:hAnsi="Arial"/>
                <w:sz w:val="17"/>
                <w:szCs w:val="17"/>
                <w:color w:val="auto"/>
              </w:rPr>
              <w:t>Engineered fabrics: Belts used in the manufacture of</w:t>
            </w: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440" w:type="dxa"/>
            <w:vAlign w:val="bottom"/>
          </w:tcPr>
          <w:p>
            <w:pPr>
              <w:ind w:left="100"/>
              <w:spacing w:after="0" w:line="194" w:lineRule="exact"/>
              <w:rPr>
                <w:sz w:val="20"/>
                <w:szCs w:val="20"/>
                <w:color w:val="auto"/>
              </w:rPr>
            </w:pPr>
            <w:r>
              <w:rPr>
                <w:rFonts w:ascii="Arial" w:cs="Arial" w:eastAsia="Arial" w:hAnsi="Arial"/>
                <w:sz w:val="17"/>
                <w:szCs w:val="17"/>
                <w:color w:val="auto"/>
              </w:rPr>
              <w:t>nonwovens, fiber cement and several other industrial</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color w:val="auto"/>
              </w:rPr>
              <w:t>applications</w:t>
            </w:r>
          </w:p>
        </w:tc>
        <w:tc>
          <w:tcPr>
            <w:tcW w:w="2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2280" w:type="dxa"/>
            <w:vAlign w:val="bottom"/>
          </w:tcPr>
          <w:p>
            <w:pPr>
              <w:ind w:left="220"/>
              <w:spacing w:after="0" w:line="185" w:lineRule="exact"/>
              <w:rPr>
                <w:sz w:val="20"/>
                <w:szCs w:val="20"/>
                <w:color w:val="auto"/>
              </w:rPr>
            </w:pPr>
            <w:r>
              <w:rPr>
                <w:rFonts w:ascii="Arial" w:cs="Arial" w:eastAsia="Arial" w:hAnsi="Arial"/>
                <w:sz w:val="17"/>
                <w:szCs w:val="17"/>
                <w:color w:val="auto"/>
              </w:rPr>
              <w:t>Albany Safran</w:t>
            </w:r>
          </w:p>
        </w:tc>
        <w:tc>
          <w:tcPr>
            <w:tcW w:w="4440" w:type="dxa"/>
            <w:vAlign w:val="bottom"/>
          </w:tcPr>
          <w:p>
            <w:pPr>
              <w:ind w:left="100"/>
              <w:spacing w:after="0" w:line="185" w:lineRule="exact"/>
              <w:rPr>
                <w:sz w:val="20"/>
                <w:szCs w:val="20"/>
                <w:color w:val="auto"/>
              </w:rPr>
            </w:pPr>
            <w:r>
              <w:rPr>
                <w:rFonts w:ascii="Arial" w:cs="Arial" w:eastAsia="Arial" w:hAnsi="Arial"/>
                <w:sz w:val="17"/>
                <w:szCs w:val="17"/>
                <w:color w:val="auto"/>
              </w:rPr>
              <w:t>3D-woven, injected composite components for aircraft</w:t>
            </w:r>
          </w:p>
        </w:tc>
        <w:tc>
          <w:tcPr>
            <w:tcW w:w="2580" w:type="dxa"/>
            <w:vAlign w:val="bottom"/>
          </w:tcPr>
          <w:p>
            <w:pPr>
              <w:ind w:left="120"/>
              <w:spacing w:after="0" w:line="185" w:lineRule="exact"/>
              <w:rPr>
                <w:sz w:val="20"/>
                <w:szCs w:val="20"/>
                <w:color w:val="auto"/>
              </w:rPr>
            </w:pPr>
            <w:r>
              <w:rPr>
                <w:rFonts w:ascii="Arial" w:cs="Arial" w:eastAsia="Arial" w:hAnsi="Arial"/>
                <w:sz w:val="17"/>
                <w:szCs w:val="17"/>
                <w:color w:val="auto"/>
              </w:rPr>
              <w:t>Rochester, NH Commercy,</w:t>
            </w:r>
          </w:p>
        </w:tc>
        <w:tc>
          <w:tcPr>
            <w:tcW w:w="0" w:type="dxa"/>
            <w:vAlign w:val="bottom"/>
          </w:tcPr>
          <w:p>
            <w:pPr>
              <w:spacing w:after="0"/>
              <w:rPr>
                <w:sz w:val="1"/>
                <w:szCs w:val="1"/>
                <w:color w:val="auto"/>
              </w:rPr>
            </w:pPr>
          </w:p>
        </w:tc>
      </w:tr>
      <w:tr>
        <w:trPr>
          <w:trHeight w:val="206"/>
        </w:trPr>
        <w:tc>
          <w:tcPr>
            <w:tcW w:w="2120" w:type="dxa"/>
            <w:vAlign w:val="bottom"/>
            <w:vMerge w:val="restart"/>
          </w:tcPr>
          <w:p>
            <w:pPr>
              <w:ind w:left="160"/>
              <w:spacing w:after="0"/>
              <w:rPr>
                <w:sz w:val="20"/>
                <w:szCs w:val="20"/>
                <w:color w:val="auto"/>
              </w:rPr>
            </w:pPr>
            <w:r>
              <w:rPr>
                <w:rFonts w:ascii="Arial" w:cs="Arial" w:eastAsia="Arial" w:hAnsi="Arial"/>
                <w:sz w:val="17"/>
                <w:szCs w:val="17"/>
                <w:color w:val="auto"/>
              </w:rPr>
              <w:t>Albany Engineered</w:t>
            </w:r>
          </w:p>
        </w:tc>
        <w:tc>
          <w:tcPr>
            <w:tcW w:w="2280" w:type="dxa"/>
            <w:vAlign w:val="bottom"/>
          </w:tcPr>
          <w:p>
            <w:pPr>
              <w:ind w:left="220"/>
              <w:spacing w:after="0"/>
              <w:rPr>
                <w:sz w:val="20"/>
                <w:szCs w:val="20"/>
                <w:color w:val="auto"/>
              </w:rPr>
            </w:pPr>
            <w:r>
              <w:rPr>
                <w:rFonts w:ascii="Arial" w:cs="Arial" w:eastAsia="Arial" w:hAnsi="Arial"/>
                <w:sz w:val="17"/>
                <w:szCs w:val="17"/>
                <w:color w:val="auto"/>
              </w:rPr>
              <w:t>Composites (ASC)</w:t>
            </w:r>
          </w:p>
        </w:tc>
        <w:tc>
          <w:tcPr>
            <w:tcW w:w="4440" w:type="dxa"/>
            <w:vAlign w:val="bottom"/>
          </w:tcPr>
          <w:p>
            <w:pPr>
              <w:ind w:left="100"/>
              <w:spacing w:after="0"/>
              <w:rPr>
                <w:sz w:val="20"/>
                <w:szCs w:val="20"/>
                <w:color w:val="auto"/>
              </w:rPr>
            </w:pPr>
            <w:r>
              <w:rPr>
                <w:rFonts w:ascii="Arial" w:cs="Arial" w:eastAsia="Arial" w:hAnsi="Arial"/>
                <w:sz w:val="17"/>
                <w:szCs w:val="17"/>
                <w:color w:val="auto"/>
              </w:rPr>
              <w:t>engines</w:t>
            </w:r>
          </w:p>
        </w:tc>
        <w:tc>
          <w:tcPr>
            <w:tcW w:w="2580" w:type="dxa"/>
            <w:vAlign w:val="bottom"/>
          </w:tcPr>
          <w:p>
            <w:pPr>
              <w:ind w:left="120"/>
              <w:spacing w:after="0"/>
              <w:rPr>
                <w:sz w:val="20"/>
                <w:szCs w:val="20"/>
                <w:color w:val="auto"/>
              </w:rPr>
            </w:pPr>
            <w:r>
              <w:rPr>
                <w:rFonts w:ascii="Arial" w:cs="Arial" w:eastAsia="Arial" w:hAnsi="Arial"/>
                <w:sz w:val="17"/>
                <w:szCs w:val="17"/>
                <w:color w:val="auto"/>
              </w:rPr>
              <w:t>France Queretaro, Mexico</w:t>
            </w:r>
          </w:p>
        </w:tc>
        <w:tc>
          <w:tcPr>
            <w:tcW w:w="0" w:type="dxa"/>
            <w:vAlign w:val="bottom"/>
          </w:tcPr>
          <w:p>
            <w:pPr>
              <w:spacing w:after="0"/>
              <w:rPr>
                <w:sz w:val="1"/>
                <w:szCs w:val="1"/>
                <w:color w:val="auto"/>
              </w:rPr>
            </w:pPr>
          </w:p>
        </w:tc>
      </w:tr>
      <w:tr>
        <w:trPr>
          <w:trHeight w:val="143"/>
        </w:trPr>
        <w:tc>
          <w:tcPr>
            <w:tcW w:w="2120" w:type="dxa"/>
            <w:vAlign w:val="bottom"/>
            <w:vMerge w:val="continue"/>
          </w:tcPr>
          <w:p>
            <w:pPr>
              <w:spacing w:after="0"/>
              <w:rPr>
                <w:sz w:val="12"/>
                <w:szCs w:val="12"/>
                <w:color w:val="auto"/>
              </w:rPr>
            </w:pPr>
          </w:p>
        </w:tc>
        <w:tc>
          <w:tcPr>
            <w:tcW w:w="2280" w:type="dxa"/>
            <w:vAlign w:val="bottom"/>
            <w:vMerge w:val="restart"/>
          </w:tcPr>
          <w:p>
            <w:pPr>
              <w:ind w:left="220"/>
              <w:spacing w:after="0"/>
              <w:rPr>
                <w:sz w:val="20"/>
                <w:szCs w:val="20"/>
                <w:color w:val="auto"/>
              </w:rPr>
            </w:pPr>
            <w:r>
              <w:rPr>
                <w:rFonts w:ascii="Arial" w:cs="Arial" w:eastAsia="Arial" w:hAnsi="Arial"/>
                <w:sz w:val="17"/>
                <w:szCs w:val="17"/>
                <w:color w:val="auto"/>
              </w:rPr>
              <w:t>Airframe and engine</w:t>
            </w:r>
          </w:p>
        </w:tc>
        <w:tc>
          <w:tcPr>
            <w:tcW w:w="4440" w:type="dxa"/>
            <w:vAlign w:val="bottom"/>
            <w:vMerge w:val="restart"/>
          </w:tcPr>
          <w:p>
            <w:pPr>
              <w:ind w:left="100"/>
              <w:spacing w:after="0"/>
              <w:rPr>
                <w:sz w:val="20"/>
                <w:szCs w:val="20"/>
                <w:color w:val="auto"/>
              </w:rPr>
            </w:pPr>
            <w:r>
              <w:rPr>
                <w:rFonts w:ascii="Arial" w:cs="Arial" w:eastAsia="Arial" w:hAnsi="Arial"/>
                <w:sz w:val="17"/>
                <w:szCs w:val="17"/>
                <w:color w:val="auto"/>
              </w:rPr>
              <w:t>Composite airframe and engine components for military</w:t>
            </w:r>
          </w:p>
        </w:tc>
        <w:tc>
          <w:tcPr>
            <w:tcW w:w="2580" w:type="dxa"/>
            <w:vAlign w:val="bottom"/>
            <w:vMerge w:val="restart"/>
          </w:tcPr>
          <w:p>
            <w:pPr>
              <w:ind w:left="120"/>
              <w:spacing w:after="0"/>
              <w:rPr>
                <w:sz w:val="20"/>
                <w:szCs w:val="20"/>
                <w:color w:val="auto"/>
              </w:rPr>
            </w:pPr>
            <w:r>
              <w:rPr>
                <w:rFonts w:ascii="Arial" w:cs="Arial" w:eastAsia="Arial" w:hAnsi="Arial"/>
                <w:sz w:val="17"/>
                <w:szCs w:val="17"/>
                <w:color w:val="auto"/>
              </w:rPr>
              <w:t>Salt Lake City, UT Boerne, TX</w:t>
            </w:r>
          </w:p>
        </w:tc>
        <w:tc>
          <w:tcPr>
            <w:tcW w:w="0" w:type="dxa"/>
            <w:vAlign w:val="bottom"/>
          </w:tcPr>
          <w:p>
            <w:pPr>
              <w:spacing w:after="0"/>
              <w:rPr>
                <w:sz w:val="1"/>
                <w:szCs w:val="1"/>
                <w:color w:val="auto"/>
              </w:rPr>
            </w:pPr>
          </w:p>
        </w:tc>
      </w:tr>
      <w:tr>
        <w:trPr>
          <w:trHeight w:val="168"/>
        </w:trPr>
        <w:tc>
          <w:tcPr>
            <w:tcW w:w="2120" w:type="dxa"/>
            <w:vAlign w:val="bottom"/>
          </w:tcPr>
          <w:p>
            <w:pPr>
              <w:ind w:left="160"/>
              <w:spacing w:after="0" w:line="167" w:lineRule="exact"/>
              <w:rPr>
                <w:sz w:val="20"/>
                <w:szCs w:val="20"/>
                <w:color w:val="auto"/>
              </w:rPr>
            </w:pPr>
            <w:r>
              <w:rPr>
                <w:rFonts w:ascii="Arial" w:cs="Arial" w:eastAsia="Arial" w:hAnsi="Arial"/>
                <w:sz w:val="17"/>
                <w:szCs w:val="17"/>
                <w:color w:val="auto"/>
              </w:rPr>
              <w:t>Composites (AEC)</w:t>
            </w:r>
          </w:p>
        </w:tc>
        <w:tc>
          <w:tcPr>
            <w:tcW w:w="2280" w:type="dxa"/>
            <w:vAlign w:val="bottom"/>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20" w:type="dxa"/>
            <w:vAlign w:val="bottom"/>
          </w:tcPr>
          <w:p>
            <w:pPr>
              <w:spacing w:after="0"/>
              <w:rPr>
                <w:sz w:val="17"/>
                <w:szCs w:val="17"/>
                <w:color w:val="auto"/>
              </w:rPr>
            </w:pPr>
          </w:p>
        </w:tc>
        <w:tc>
          <w:tcPr>
            <w:tcW w:w="2280" w:type="dxa"/>
            <w:vAlign w:val="bottom"/>
          </w:tcPr>
          <w:p>
            <w:pPr>
              <w:ind w:left="220"/>
              <w:spacing w:after="0"/>
              <w:rPr>
                <w:sz w:val="20"/>
                <w:szCs w:val="20"/>
                <w:color w:val="auto"/>
              </w:rPr>
            </w:pPr>
            <w:r>
              <w:rPr>
                <w:rFonts w:ascii="Arial" w:cs="Arial" w:eastAsia="Arial" w:hAnsi="Arial"/>
                <w:sz w:val="17"/>
                <w:szCs w:val="17"/>
                <w:color w:val="auto"/>
              </w:rPr>
              <w:t>Components (Other AEC)</w:t>
            </w:r>
          </w:p>
        </w:tc>
        <w:tc>
          <w:tcPr>
            <w:tcW w:w="4440" w:type="dxa"/>
            <w:vAlign w:val="bottom"/>
          </w:tcPr>
          <w:p>
            <w:pPr>
              <w:ind w:left="100"/>
              <w:spacing w:after="0"/>
              <w:rPr>
                <w:sz w:val="20"/>
                <w:szCs w:val="20"/>
                <w:color w:val="auto"/>
              </w:rPr>
            </w:pPr>
            <w:r>
              <w:rPr>
                <w:rFonts w:ascii="Arial" w:cs="Arial" w:eastAsia="Arial" w:hAnsi="Arial"/>
                <w:sz w:val="17"/>
                <w:szCs w:val="17"/>
                <w:color w:val="auto"/>
              </w:rPr>
              <w:t>and commercial aircraft</w:t>
            </w:r>
          </w:p>
        </w:tc>
        <w:tc>
          <w:tcPr>
            <w:tcW w:w="2580" w:type="dxa"/>
            <w:vAlign w:val="bottom"/>
          </w:tcPr>
          <w:p>
            <w:pPr>
              <w:ind w:left="120"/>
              <w:spacing w:after="0"/>
              <w:rPr>
                <w:sz w:val="20"/>
                <w:szCs w:val="20"/>
                <w:color w:val="auto"/>
              </w:rPr>
            </w:pPr>
            <w:r>
              <w:rPr>
                <w:rFonts w:ascii="Arial" w:cs="Arial" w:eastAsia="Arial" w:hAnsi="Arial"/>
                <w:sz w:val="17"/>
                <w:szCs w:val="17"/>
                <w:color w:val="auto"/>
              </w:rPr>
              <w:t>Queretaro, Mexico</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1" w:name="page12"/>
    <w:bookmarkEnd w:id="11"/>
    <w:p>
      <w:pPr>
        <w:ind w:right="20" w:firstLine="620"/>
        <w:spacing w:after="0" w:line="250" w:lineRule="auto"/>
        <w:rPr>
          <w:sz w:val="20"/>
          <w:szCs w:val="20"/>
          <w:color w:val="auto"/>
        </w:rPr>
      </w:pPr>
      <w:r>
        <w:rPr>
          <w:rFonts w:ascii="Arial" w:cs="Arial" w:eastAsia="Arial" w:hAnsi="Arial"/>
          <w:sz w:val="17"/>
          <w:szCs w:val="17"/>
          <w:color w:val="auto"/>
        </w:rPr>
        <w:t>We disaggregate revenue earned from contracts with customers for each of our business segments and reporting units based on the timing of revenue recognition, and groupings used for internal review purposes.</w:t>
      </w:r>
    </w:p>
    <w:p>
      <w:pPr>
        <w:spacing w:after="0" w:line="3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disaggregates revenue for each reporting unit by timing of revenue recognition: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780" w:type="dxa"/>
            <w:vAlign w:val="bottom"/>
            <w:tcBorders>
              <w:top w:val="single" w:sz="8" w:color="auto"/>
            </w:tcBorders>
          </w:tcPr>
          <w:p>
            <w:pPr>
              <w:spacing w:after="0"/>
              <w:rPr>
                <w:sz w:val="17"/>
                <w:szCs w:val="17"/>
                <w:color w:val="auto"/>
              </w:rPr>
            </w:pPr>
          </w:p>
        </w:tc>
        <w:tc>
          <w:tcPr>
            <w:tcW w:w="5820" w:type="dxa"/>
            <w:vAlign w:val="bottom"/>
            <w:tcBorders>
              <w:top w:val="single" w:sz="8" w:color="auto"/>
            </w:tcBorders>
            <w:gridSpan w:val="2"/>
          </w:tcPr>
          <w:p>
            <w:pPr>
              <w:jc w:val="right"/>
              <w:ind w:right="1614"/>
              <w:spacing w:after="0"/>
              <w:rPr>
                <w:sz w:val="20"/>
                <w:szCs w:val="20"/>
                <w:color w:val="auto"/>
              </w:rPr>
            </w:pPr>
            <w:r>
              <w:rPr>
                <w:rFonts w:ascii="Arial" w:cs="Arial" w:eastAsia="Arial" w:hAnsi="Arial"/>
                <w:sz w:val="17"/>
                <w:szCs w:val="17"/>
                <w:b w:val="1"/>
                <w:bCs w:val="1"/>
                <w:color w:val="auto"/>
              </w:rPr>
              <w:t>For the Six Months Ended</w:t>
            </w: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820" w:type="dxa"/>
            <w:vAlign w:val="bottom"/>
            <w:gridSpan w:val="2"/>
          </w:tcPr>
          <w:p>
            <w:pPr>
              <w:jc w:val="right"/>
              <w:ind w:right="2114"/>
              <w:spacing w:after="0"/>
              <w:rPr>
                <w:sz w:val="20"/>
                <w:szCs w:val="20"/>
                <w:color w:val="auto"/>
              </w:rPr>
            </w:pPr>
            <w:r>
              <w:rPr>
                <w:rFonts w:ascii="Arial" w:cs="Arial" w:eastAsia="Arial" w:hAnsi="Arial"/>
                <w:sz w:val="17"/>
                <w:szCs w:val="17"/>
                <w:b w:val="1"/>
                <w:bCs w:val="1"/>
                <w:color w:val="auto"/>
              </w:rPr>
              <w:t>June 30, 2018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20" w:type="dxa"/>
            <w:vAlign w:val="bottom"/>
          </w:tcPr>
          <w:p>
            <w:pPr>
              <w:jc w:val="right"/>
              <w:ind w:right="294"/>
              <w:spacing w:after="0" w:line="194" w:lineRule="exact"/>
              <w:rPr>
                <w:sz w:val="20"/>
                <w:szCs w:val="20"/>
                <w:color w:val="auto"/>
              </w:rPr>
            </w:pPr>
            <w:r>
              <w:rPr>
                <w:rFonts w:ascii="Arial" w:cs="Arial" w:eastAsia="Arial" w:hAnsi="Arial"/>
                <w:sz w:val="17"/>
                <w:szCs w:val="17"/>
                <w:b w:val="1"/>
                <w:bCs w:val="1"/>
                <w:color w:val="auto"/>
              </w:rPr>
              <w:t>Point in Time Revenue</w:t>
            </w:r>
          </w:p>
        </w:tc>
        <w:tc>
          <w:tcPr>
            <w:tcW w:w="2600" w:type="dxa"/>
            <w:vAlign w:val="bottom"/>
          </w:tcPr>
          <w:p>
            <w:pPr>
              <w:jc w:val="right"/>
              <w:ind w:right="734"/>
              <w:spacing w:after="0" w:line="194" w:lineRule="exact"/>
              <w:rPr>
                <w:sz w:val="20"/>
                <w:szCs w:val="20"/>
                <w:color w:val="auto"/>
              </w:rPr>
            </w:pPr>
            <w:r>
              <w:rPr>
                <w:rFonts w:ascii="Arial" w:cs="Arial" w:eastAsia="Arial" w:hAnsi="Arial"/>
                <w:sz w:val="17"/>
                <w:szCs w:val="17"/>
                <w:b w:val="1"/>
                <w:bCs w:val="1"/>
                <w:color w:val="auto"/>
              </w:rPr>
              <w:t>Over Time Revenue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32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Recognition</w:t>
            </w:r>
          </w:p>
        </w:tc>
        <w:tc>
          <w:tcPr>
            <w:tcW w:w="260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b w:val="1"/>
                <w:bCs w:val="1"/>
                <w:color w:val="auto"/>
              </w:rPr>
              <w:t>Recognition</w:t>
            </w:r>
          </w:p>
        </w:tc>
        <w:tc>
          <w:tcPr>
            <w:tcW w:w="180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80"/>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Machine Clothing</w:t>
            </w:r>
          </w:p>
        </w:tc>
        <w:tc>
          <w:tcPr>
            <w:tcW w:w="32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$309,186</w:t>
            </w:r>
          </w:p>
        </w:tc>
        <w:tc>
          <w:tcPr>
            <w:tcW w:w="26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$1,600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$310,786</w:t>
            </w:r>
          </w:p>
        </w:tc>
        <w:tc>
          <w:tcPr>
            <w:tcW w:w="0" w:type="dxa"/>
            <w:vAlign w:val="bottom"/>
          </w:tcPr>
          <w:p>
            <w:pPr>
              <w:spacing w:after="0"/>
              <w:rPr>
                <w:sz w:val="1"/>
                <w:szCs w:val="1"/>
                <w:color w:val="auto"/>
              </w:rPr>
            </w:pPr>
          </w:p>
        </w:tc>
      </w:tr>
      <w:tr>
        <w:trPr>
          <w:trHeight w:val="379"/>
        </w:trPr>
        <w:tc>
          <w:tcPr>
            <w:tcW w:w="3800" w:type="dxa"/>
            <w:vAlign w:val="bottom"/>
            <w:gridSpan w:val="2"/>
          </w:tcPr>
          <w:p>
            <w:pPr>
              <w:spacing w:after="0"/>
              <w:rPr>
                <w:sz w:val="20"/>
                <w:szCs w:val="20"/>
                <w:color w:val="auto"/>
              </w:rPr>
            </w:pPr>
            <w:r>
              <w:rPr>
                <w:rFonts w:ascii="Arial" w:cs="Arial" w:eastAsia="Arial" w:hAnsi="Arial"/>
                <w:sz w:val="17"/>
                <w:szCs w:val="17"/>
                <w:color w:val="auto"/>
              </w:rPr>
              <w:t>Albany Engineered Composites</w:t>
            </w:r>
          </w:p>
        </w:tc>
        <w:tc>
          <w:tcPr>
            <w:tcW w:w="32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w:t>
            </w:r>
          </w:p>
        </w:tc>
        <w:tc>
          <w:tcPr>
            <w:tcW w:w="260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87,806</w:t>
            </w:r>
          </w:p>
        </w:tc>
        <w:tc>
          <w:tcPr>
            <w:tcW w:w="1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87,806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Pr>
          <w:p>
            <w:pPr>
              <w:ind w:left="440"/>
              <w:spacing w:after="0" w:line="172" w:lineRule="exact"/>
              <w:rPr>
                <w:sz w:val="20"/>
                <w:szCs w:val="20"/>
                <w:color w:val="auto"/>
              </w:rPr>
            </w:pPr>
            <w:r>
              <w:rPr>
                <w:rFonts w:ascii="Arial" w:cs="Arial" w:eastAsia="Arial" w:hAnsi="Arial"/>
                <w:sz w:val="17"/>
                <w:szCs w:val="17"/>
                <w:color w:val="auto"/>
              </w:rPr>
              <w:t>ASC</w:t>
            </w:r>
          </w:p>
        </w:tc>
        <w:tc>
          <w:tcPr>
            <w:tcW w:w="322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Other AEC</w:t>
            </w:r>
          </w:p>
        </w:tc>
        <w:tc>
          <w:tcPr>
            <w:tcW w:w="32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11,744</w:t>
            </w:r>
          </w:p>
        </w:tc>
        <w:tc>
          <w:tcPr>
            <w:tcW w:w="26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75,870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87,614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Albany Engineered Composites</w:t>
            </w:r>
          </w:p>
        </w:tc>
        <w:tc>
          <w:tcPr>
            <w:tcW w:w="3220" w:type="dxa"/>
            <w:vAlign w:val="bottom"/>
            <w:tcBorders>
              <w:bottom w:val="single" w:sz="8" w:color="auto"/>
            </w:tcBorders>
          </w:tcPr>
          <w:p>
            <w:pPr>
              <w:jc w:val="right"/>
              <w:ind w:right="74"/>
              <w:spacing w:after="0" w:line="186" w:lineRule="exact"/>
              <w:rPr>
                <w:sz w:val="20"/>
                <w:szCs w:val="20"/>
                <w:color w:val="auto"/>
              </w:rPr>
            </w:pPr>
            <w:r>
              <w:rPr>
                <w:rFonts w:ascii="Arial" w:cs="Arial" w:eastAsia="Arial" w:hAnsi="Arial"/>
                <w:sz w:val="17"/>
                <w:szCs w:val="17"/>
                <w:b w:val="1"/>
                <w:bCs w:val="1"/>
                <w:color w:val="auto"/>
              </w:rPr>
              <w:t>11,744</w:t>
            </w:r>
          </w:p>
        </w:tc>
        <w:tc>
          <w:tcPr>
            <w:tcW w:w="2600" w:type="dxa"/>
            <w:vAlign w:val="bottom"/>
            <w:tcBorders>
              <w:bottom w:val="single" w:sz="8" w:color="auto"/>
            </w:tcBorders>
          </w:tcPr>
          <w:p>
            <w:pPr>
              <w:jc w:val="right"/>
              <w:ind w:right="394"/>
              <w:spacing w:after="0" w:line="186" w:lineRule="exact"/>
              <w:rPr>
                <w:sz w:val="20"/>
                <w:szCs w:val="20"/>
                <w:color w:val="auto"/>
              </w:rPr>
            </w:pPr>
            <w:r>
              <w:rPr>
                <w:rFonts w:ascii="Arial" w:cs="Arial" w:eastAsia="Arial" w:hAnsi="Arial"/>
                <w:sz w:val="17"/>
                <w:szCs w:val="17"/>
                <w:b w:val="1"/>
                <w:bCs w:val="1"/>
                <w:color w:val="auto"/>
              </w:rPr>
              <w:t>163,676</w:t>
            </w:r>
          </w:p>
        </w:tc>
        <w:tc>
          <w:tcPr>
            <w:tcW w:w="18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175,420</w:t>
            </w:r>
          </w:p>
        </w:tc>
        <w:tc>
          <w:tcPr>
            <w:tcW w:w="0" w:type="dxa"/>
            <w:vAlign w:val="bottom"/>
          </w:tcPr>
          <w:p>
            <w:pPr>
              <w:spacing w:after="0"/>
              <w:rPr>
                <w:sz w:val="1"/>
                <w:szCs w:val="1"/>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9"/>
                <w:szCs w:val="19"/>
                <w:color w:val="auto"/>
              </w:rPr>
              <w:t>Total Revenue</w:t>
            </w:r>
          </w:p>
        </w:tc>
        <w:tc>
          <w:tcPr>
            <w:tcW w:w="32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$320,930</w:t>
            </w:r>
          </w:p>
        </w:tc>
        <w:tc>
          <w:tcPr>
            <w:tcW w:w="26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$165,276</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$486,206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0" w:firstLine="620"/>
        <w:spacing w:after="0" w:line="250" w:lineRule="auto"/>
        <w:rPr>
          <w:sz w:val="20"/>
          <w:szCs w:val="20"/>
          <w:color w:val="auto"/>
        </w:rPr>
      </w:pPr>
      <w:r>
        <w:rPr>
          <w:rFonts w:ascii="Arial" w:cs="Arial" w:eastAsia="Arial" w:hAnsi="Arial"/>
          <w:sz w:val="17"/>
          <w:szCs w:val="17"/>
          <w:color w:val="auto"/>
        </w:rPr>
        <w:t>The following table disaggregates MC segment revenue by significant product groupings (paper machine clothing (PMC) and engineered fabrics), and, for PMC, the geographical region to which the paper machine clothing was sold: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Borders>
              <w:top w:val="single" w:sz="8" w:color="auto"/>
            </w:tcBorders>
          </w:tcPr>
          <w:p>
            <w:pPr>
              <w:spacing w:after="0"/>
              <w:rPr>
                <w:sz w:val="15"/>
                <w:szCs w:val="15"/>
                <w:color w:val="auto"/>
              </w:rPr>
            </w:pPr>
          </w:p>
        </w:tc>
        <w:tc>
          <w:tcPr>
            <w:tcW w:w="4620" w:type="dxa"/>
            <w:vAlign w:val="bottom"/>
            <w:tcBorders>
              <w:top w:val="single" w:sz="8" w:color="auto"/>
            </w:tcBorders>
          </w:tcPr>
          <w:p>
            <w:pPr>
              <w:jc w:val="right"/>
              <w:ind w:right="974"/>
              <w:spacing w:after="0" w:line="184" w:lineRule="exact"/>
              <w:rPr>
                <w:sz w:val="20"/>
                <w:szCs w:val="20"/>
                <w:color w:val="auto"/>
              </w:rPr>
            </w:pPr>
            <w:r>
              <w:rPr>
                <w:rFonts w:ascii="Arial" w:cs="Arial" w:eastAsia="Arial" w:hAnsi="Arial"/>
                <w:sz w:val="17"/>
                <w:szCs w:val="17"/>
                <w:b w:val="1"/>
                <w:bCs w:val="1"/>
                <w:color w:val="auto"/>
              </w:rPr>
              <w:t>For the Six Months Ended</w:t>
            </w:r>
          </w:p>
        </w:tc>
        <w:tc>
          <w:tcPr>
            <w:tcW w:w="20" w:type="dxa"/>
            <w:vAlign w:val="bottom"/>
          </w:tcPr>
          <w:p>
            <w:pPr>
              <w:spacing w:after="0"/>
              <w:rPr>
                <w:sz w:val="15"/>
                <w:szCs w:val="15"/>
                <w:color w:val="auto"/>
              </w:rPr>
            </w:pPr>
          </w:p>
        </w:tc>
      </w:tr>
      <w:tr>
        <w:trPr>
          <w:trHeight w:val="216"/>
        </w:trPr>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4620" w:type="dxa"/>
            <w:vAlign w:val="bottom"/>
            <w:tcBorders>
              <w:bottom w:val="single" w:sz="8" w:color="auto"/>
            </w:tcBorders>
          </w:tcPr>
          <w:p>
            <w:pPr>
              <w:jc w:val="right"/>
              <w:ind w:right="1474"/>
              <w:spacing w:after="0"/>
              <w:rPr>
                <w:sz w:val="20"/>
                <w:szCs w:val="20"/>
                <w:color w:val="auto"/>
              </w:rPr>
            </w:pPr>
            <w:r>
              <w:rPr>
                <w:rFonts w:ascii="Arial" w:cs="Arial" w:eastAsia="Arial" w:hAnsi="Arial"/>
                <w:sz w:val="17"/>
                <w:szCs w:val="17"/>
                <w:b w:val="1"/>
                <w:bCs w:val="1"/>
                <w:color w:val="auto"/>
              </w:rPr>
              <w:t>June 30, 2018</w:t>
            </w:r>
          </w:p>
        </w:tc>
        <w:tc>
          <w:tcPr>
            <w:tcW w:w="20" w:type="dxa"/>
            <w:vAlign w:val="bottom"/>
          </w:tcPr>
          <w:p>
            <w:pPr>
              <w:spacing w:after="0"/>
              <w:rPr>
                <w:sz w:val="18"/>
                <w:szCs w:val="18"/>
                <w:color w:val="auto"/>
              </w:rPr>
            </w:pPr>
          </w:p>
        </w:tc>
      </w:tr>
      <w:tr>
        <w:trPr>
          <w:trHeight w:val="357"/>
        </w:trPr>
        <w:tc>
          <w:tcPr>
            <w:tcW w:w="3940" w:type="dxa"/>
            <w:vAlign w:val="bottom"/>
          </w:tcPr>
          <w:p>
            <w:pPr>
              <w:spacing w:after="0"/>
              <w:rPr>
                <w:sz w:val="20"/>
                <w:szCs w:val="20"/>
                <w:color w:val="auto"/>
              </w:rPr>
            </w:pPr>
            <w:r>
              <w:rPr>
                <w:rFonts w:ascii="Arial" w:cs="Arial" w:eastAsia="Arial" w:hAnsi="Arial"/>
                <w:sz w:val="17"/>
                <w:szCs w:val="17"/>
                <w:color w:val="auto"/>
              </w:rPr>
              <w:t>Americas PMC</w:t>
            </w:r>
          </w:p>
        </w:tc>
        <w:tc>
          <w:tcPr>
            <w:tcW w:w="46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$152,686</w:t>
            </w:r>
          </w:p>
        </w:tc>
      </w:tr>
      <w:tr>
        <w:trPr>
          <w:trHeight w:val="194"/>
        </w:trPr>
        <w:tc>
          <w:tcPr>
            <w:tcW w:w="3940" w:type="dxa"/>
            <w:vAlign w:val="bottom"/>
          </w:tcPr>
          <w:p>
            <w:pPr>
              <w:spacing w:after="0" w:line="194" w:lineRule="exact"/>
              <w:rPr>
                <w:sz w:val="20"/>
                <w:szCs w:val="20"/>
                <w:color w:val="auto"/>
              </w:rPr>
            </w:pPr>
            <w:r>
              <w:rPr>
                <w:rFonts w:ascii="Arial" w:cs="Arial" w:eastAsia="Arial" w:hAnsi="Arial"/>
                <w:sz w:val="17"/>
                <w:szCs w:val="17"/>
                <w:color w:val="auto"/>
              </w:rPr>
              <w:t>Eurasia PMC</w:t>
            </w:r>
          </w:p>
        </w:tc>
        <w:tc>
          <w:tcPr>
            <w:tcW w:w="46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116,500</w:t>
            </w:r>
          </w:p>
        </w:tc>
        <w:tc>
          <w:tcPr>
            <w:tcW w:w="20" w:type="dxa"/>
            <w:vAlign w:val="bottom"/>
          </w:tcPr>
          <w:p>
            <w:pPr>
              <w:spacing w:after="0"/>
              <w:rPr>
                <w:sz w:val="16"/>
                <w:szCs w:val="16"/>
                <w:color w:val="auto"/>
              </w:rPr>
            </w:pPr>
          </w:p>
        </w:tc>
      </w:tr>
      <w:tr>
        <w:trPr>
          <w:trHeight w:val="216"/>
        </w:trPr>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Engineered Fabrics</w:t>
            </w:r>
          </w:p>
        </w:tc>
        <w:tc>
          <w:tcPr>
            <w:tcW w:w="4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41,600</w:t>
            </w:r>
          </w:p>
        </w:tc>
      </w:tr>
      <w:tr>
        <w:trPr>
          <w:trHeight w:val="186"/>
        </w:trPr>
        <w:tc>
          <w:tcPr>
            <w:tcW w:w="394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Machine Clothing Net sales</w:t>
            </w:r>
          </w:p>
        </w:tc>
        <w:tc>
          <w:tcPr>
            <w:tcW w:w="464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$310,786</w:t>
            </w:r>
          </w:p>
        </w:tc>
      </w:tr>
    </w:tbl>
    <w:p>
      <w:pPr>
        <w:spacing w:after="0" w:line="167" w:lineRule="exact"/>
        <w:rPr>
          <w:sz w:val="20"/>
          <w:szCs w:val="20"/>
          <w:color w:val="auto"/>
        </w:rPr>
      </w:pPr>
    </w:p>
    <w:p>
      <w:pPr>
        <w:ind w:right="180" w:firstLine="620"/>
        <w:spacing w:after="0"/>
        <w:rPr>
          <w:sz w:val="20"/>
          <w:szCs w:val="20"/>
          <w:color w:val="auto"/>
        </w:rPr>
      </w:pPr>
      <w:r>
        <w:rPr>
          <w:rFonts w:ascii="Arial" w:cs="Arial" w:eastAsia="Arial" w:hAnsi="Arial"/>
          <w:sz w:val="17"/>
          <w:szCs w:val="17"/>
          <w:color w:val="auto"/>
        </w:rPr>
        <w:t>In accordance with ASC 606-10-50-14, we do not disclose the value of unsatisfied performance obligations for contracts with an original expected duration of one year or less. Contracts in the Machine Clothing segment are generally for periods of less than a year. Most contracts in the AEC segment are short duration firm-fixed price orders representing performance obligations with an original maturity of less than one year. Performance obligations as of June 30, 2018 that had an original duration of greater than one year totaled $105 million and relate primarily to firm contracts in the AEC segment. Of that amount, we expect to recognize as revenue approximately $35 million during 2018, with the remainder to be recognized between 2019 and 2021.</w:t>
      </w:r>
    </w:p>
    <w:p>
      <w:pPr>
        <w:spacing w:after="0" w:line="350" w:lineRule="exact"/>
        <w:rPr>
          <w:sz w:val="20"/>
          <w:szCs w:val="20"/>
          <w:color w:val="auto"/>
        </w:rPr>
      </w:pPr>
    </w:p>
    <w:p>
      <w:pPr>
        <w:ind w:right="140" w:firstLine="620"/>
        <w:spacing w:after="0"/>
        <w:rPr>
          <w:sz w:val="20"/>
          <w:szCs w:val="20"/>
          <w:color w:val="auto"/>
        </w:rPr>
      </w:pPr>
      <w:r>
        <w:rPr>
          <w:rFonts w:ascii="Arial" w:cs="Arial" w:eastAsia="Arial" w:hAnsi="Arial"/>
          <w:sz w:val="17"/>
          <w:szCs w:val="17"/>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2" w:name="page13"/>
    <w:bookmarkEnd w:id="12"/>
    <w:p>
      <w:pPr>
        <w:jc w:val="both"/>
        <w:ind w:right="200" w:firstLine="620"/>
        <w:spacing w:after="0" w:line="243" w:lineRule="auto"/>
        <w:rPr>
          <w:sz w:val="20"/>
          <w:szCs w:val="20"/>
          <w:color w:val="auto"/>
        </w:rPr>
      </w:pPr>
      <w:r>
        <w:rPr>
          <w:rFonts w:ascii="Arial" w:cs="Arial" w:eastAsia="Arial" w:hAnsi="Arial"/>
          <w:sz w:val="17"/>
          <w:szCs w:val="17"/>
          <w:color w:val="auto"/>
        </w:rPr>
        <w:t>As a result of applying the cumulative effect method for transition to ASC 606, we are required to disclose the effect of the new standard on each line of the consolidated financial statements. The following tables show the balances as reported for the period ended June 30, 2018, and how the consolidated financial statements would have appeared if we had not adopted ASC 606.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ALBANY INTERNATIONAL CORP.</w:t>
      </w:r>
    </w:p>
    <w:p>
      <w:pPr>
        <w:jc w:val="center"/>
        <w:spacing w:after="0" w:line="237" w:lineRule="auto"/>
        <w:rPr>
          <w:sz w:val="20"/>
          <w:szCs w:val="20"/>
          <w:color w:val="auto"/>
        </w:rPr>
      </w:pPr>
      <w:r>
        <w:rPr>
          <w:rFonts w:ascii="Arial" w:cs="Arial" w:eastAsia="Arial" w:hAnsi="Arial"/>
          <w:sz w:val="17"/>
          <w:szCs w:val="17"/>
          <w:color w:val="auto"/>
        </w:rPr>
        <w:t>CONSOLIDATED STATEMENT OF INCOME</w:t>
      </w:r>
    </w:p>
    <w:p>
      <w:pPr>
        <w:jc w:val="center"/>
        <w:spacing w:after="0" w:line="238" w:lineRule="auto"/>
        <w:rPr>
          <w:sz w:val="20"/>
          <w:szCs w:val="20"/>
          <w:color w:val="auto"/>
        </w:rPr>
      </w:pPr>
      <w:r>
        <w:rPr>
          <w:rFonts w:ascii="Arial" w:cs="Arial" w:eastAsia="Arial" w:hAnsi="Arial"/>
          <w:sz w:val="17"/>
          <w:szCs w:val="17"/>
          <w:color w:val="auto"/>
        </w:rPr>
        <w:t>(in thousands, except per share amounts)</w:t>
      </w:r>
    </w:p>
    <w:p>
      <w:pPr>
        <w:jc w:val="center"/>
        <w:spacing w:after="0"/>
        <w:rPr>
          <w:sz w:val="20"/>
          <w:szCs w:val="20"/>
          <w:color w:val="auto"/>
        </w:rPr>
      </w:pPr>
      <w:r>
        <w:rPr>
          <w:rFonts w:ascii="Arial" w:cs="Arial" w:eastAsia="Arial" w:hAnsi="Arial"/>
          <w:sz w:val="17"/>
          <w:szCs w:val="17"/>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7"/>
                <w:szCs w:val="17"/>
                <w:color w:val="auto"/>
              </w:rPr>
              <w:t>As adjusted</w:t>
            </w: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rPr>
              <w:t>As adjusted</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for the</w:t>
            </w: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for the Six</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Three</w:t>
            </w: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Months</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As reported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Months</w:t>
            </w:r>
          </w:p>
        </w:tc>
        <w:tc>
          <w:tcPr>
            <w:tcW w:w="5320" w:type="dxa"/>
            <w:vAlign w:val="bottom"/>
          </w:tcPr>
          <w:p>
            <w:pPr>
              <w:spacing w:after="0"/>
              <w:rPr>
                <w:sz w:val="16"/>
                <w:szCs w:val="16"/>
                <w:color w:val="auto"/>
              </w:rPr>
            </w:pPr>
          </w:p>
        </w:tc>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As reported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Ended</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for the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Ended June</w:t>
            </w:r>
          </w:p>
        </w:tc>
        <w:tc>
          <w:tcPr>
            <w:tcW w:w="5320" w:type="dxa"/>
            <w:vAlign w:val="bottom"/>
          </w:tcPr>
          <w:p>
            <w:pPr>
              <w:spacing w:after="0"/>
              <w:rPr>
                <w:sz w:val="16"/>
                <w:szCs w:val="16"/>
                <w:color w:val="auto"/>
              </w:rPr>
            </w:pPr>
          </w:p>
        </w:tc>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for the Six</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June 30,</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Three</w:t>
            </w:r>
          </w:p>
        </w:tc>
        <w:tc>
          <w:tcPr>
            <w:tcW w:w="108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Adjustments</w:t>
            </w:r>
          </w:p>
        </w:tc>
        <w:tc>
          <w:tcPr>
            <w:tcW w:w="98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30, 2018 to</w:t>
            </w:r>
          </w:p>
        </w:tc>
        <w:tc>
          <w:tcPr>
            <w:tcW w:w="5320" w:type="dxa"/>
            <w:vAlign w:val="bottom"/>
          </w:tcPr>
          <w:p>
            <w:pPr>
              <w:spacing w:after="0"/>
              <w:rPr>
                <w:sz w:val="16"/>
                <w:szCs w:val="16"/>
                <w:color w:val="auto"/>
              </w:rPr>
            </w:pPr>
          </w:p>
        </w:tc>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Months</w:t>
            </w:r>
          </w:p>
        </w:tc>
        <w:tc>
          <w:tcPr>
            <w:tcW w:w="108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Adjustments</w:t>
            </w:r>
          </w:p>
        </w:tc>
        <w:tc>
          <w:tcPr>
            <w:tcW w:w="9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2018 to</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Months</w:t>
            </w:r>
          </w:p>
        </w:tc>
        <w:tc>
          <w:tcPr>
            <w:tcW w:w="108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to reverse</w:t>
            </w:r>
          </w:p>
        </w:tc>
        <w:tc>
          <w:tcPr>
            <w:tcW w:w="98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w w:val="98"/>
              </w:rPr>
              <w:t>exclude</w:t>
            </w:r>
          </w:p>
        </w:tc>
        <w:tc>
          <w:tcPr>
            <w:tcW w:w="5320" w:type="dxa"/>
            <w:vAlign w:val="bottom"/>
          </w:tcPr>
          <w:p>
            <w:pPr>
              <w:spacing w:after="0"/>
              <w:rPr>
                <w:sz w:val="16"/>
                <w:szCs w:val="16"/>
                <w:color w:val="auto"/>
              </w:rPr>
            </w:pPr>
          </w:p>
        </w:tc>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Ended</w:t>
            </w:r>
          </w:p>
        </w:tc>
        <w:tc>
          <w:tcPr>
            <w:tcW w:w="108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to reverse</w:t>
            </w:r>
          </w:p>
        </w:tc>
        <w:tc>
          <w:tcPr>
            <w:tcW w:w="94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8"/>
              </w:rPr>
              <w:t>exclude</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Ended June</w:t>
            </w:r>
          </w:p>
        </w:tc>
        <w:tc>
          <w:tcPr>
            <w:tcW w:w="108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effects of</w:t>
            </w:r>
          </w:p>
        </w:tc>
        <w:tc>
          <w:tcPr>
            <w:tcW w:w="98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adoption of</w:t>
            </w:r>
          </w:p>
        </w:tc>
        <w:tc>
          <w:tcPr>
            <w:tcW w:w="5320" w:type="dxa"/>
            <w:vAlign w:val="bottom"/>
          </w:tcPr>
          <w:p>
            <w:pPr>
              <w:spacing w:after="0"/>
              <w:rPr>
                <w:sz w:val="16"/>
                <w:szCs w:val="16"/>
                <w:color w:val="auto"/>
              </w:rPr>
            </w:pPr>
          </w:p>
        </w:tc>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June 30,</w:t>
            </w:r>
          </w:p>
        </w:tc>
        <w:tc>
          <w:tcPr>
            <w:tcW w:w="108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effects of</w:t>
            </w:r>
          </w:p>
        </w:tc>
        <w:tc>
          <w:tcPr>
            <w:tcW w:w="9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adoption of</w:t>
            </w:r>
          </w:p>
        </w:tc>
        <w:tc>
          <w:tcPr>
            <w:tcW w:w="0" w:type="dxa"/>
            <w:vAlign w:val="bottom"/>
          </w:tcPr>
          <w:p>
            <w:pPr>
              <w:spacing w:after="0"/>
              <w:rPr>
                <w:sz w:val="1"/>
                <w:szCs w:val="1"/>
                <w:color w:val="auto"/>
              </w:rPr>
            </w:pPr>
          </w:p>
        </w:tc>
      </w:tr>
      <w:tr>
        <w:trPr>
          <w:trHeight w:val="194"/>
        </w:trPr>
        <w:tc>
          <w:tcPr>
            <w:tcW w:w="940" w:type="dxa"/>
            <w:vAlign w:val="bottom"/>
          </w:tcPr>
          <w:p>
            <w:pPr>
              <w:jc w:val="center"/>
              <w:spacing w:after="0" w:line="194" w:lineRule="exact"/>
              <w:rPr>
                <w:sz w:val="20"/>
                <w:szCs w:val="20"/>
                <w:color w:val="auto"/>
              </w:rPr>
            </w:pPr>
            <w:r>
              <w:rPr>
                <w:rFonts w:ascii="Arial" w:cs="Arial" w:eastAsia="Arial" w:hAnsi="Arial"/>
                <w:sz w:val="17"/>
                <w:szCs w:val="17"/>
                <w:color w:val="auto"/>
                <w:w w:val="99"/>
              </w:rPr>
              <w:t>30, 2018</w:t>
            </w:r>
          </w:p>
        </w:tc>
        <w:tc>
          <w:tcPr>
            <w:tcW w:w="80" w:type="dxa"/>
            <w:vAlign w:val="bottom"/>
          </w:tcPr>
          <w:p>
            <w:pPr>
              <w:spacing w:after="0"/>
              <w:rPr>
                <w:sz w:val="16"/>
                <w:szCs w:val="16"/>
                <w:color w:val="auto"/>
              </w:rPr>
            </w:pPr>
          </w:p>
        </w:tc>
        <w:tc>
          <w:tcPr>
            <w:tcW w:w="108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ASC 606</w:t>
            </w:r>
          </w:p>
        </w:tc>
        <w:tc>
          <w:tcPr>
            <w:tcW w:w="98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ASC 606</w:t>
            </w:r>
          </w:p>
        </w:tc>
        <w:tc>
          <w:tcPr>
            <w:tcW w:w="5320" w:type="dxa"/>
            <w:vAlign w:val="bottom"/>
          </w:tcPr>
          <w:p>
            <w:pPr>
              <w:spacing w:after="0"/>
              <w:rPr>
                <w:sz w:val="16"/>
                <w:szCs w:val="16"/>
                <w:color w:val="auto"/>
              </w:rPr>
            </w:pPr>
          </w:p>
        </w:tc>
        <w:tc>
          <w:tcPr>
            <w:tcW w:w="920" w:type="dxa"/>
            <w:vAlign w:val="bottom"/>
          </w:tcPr>
          <w:p>
            <w:pPr>
              <w:jc w:val="center"/>
              <w:spacing w:after="0" w:line="194" w:lineRule="exact"/>
              <w:rPr>
                <w:sz w:val="20"/>
                <w:szCs w:val="20"/>
                <w:color w:val="auto"/>
              </w:rPr>
            </w:pPr>
            <w:r>
              <w:rPr>
                <w:rFonts w:ascii="Arial" w:cs="Arial" w:eastAsia="Arial" w:hAnsi="Arial"/>
                <w:sz w:val="17"/>
                <w:szCs w:val="17"/>
                <w:color w:val="auto"/>
              </w:rPr>
              <w:t>2018</w:t>
            </w:r>
          </w:p>
        </w:tc>
        <w:tc>
          <w:tcPr>
            <w:tcW w:w="100" w:type="dxa"/>
            <w:vAlign w:val="bottom"/>
          </w:tcPr>
          <w:p>
            <w:pPr>
              <w:spacing w:after="0"/>
              <w:rPr>
                <w:sz w:val="16"/>
                <w:szCs w:val="16"/>
                <w:color w:val="auto"/>
              </w:rPr>
            </w:pPr>
          </w:p>
        </w:tc>
        <w:tc>
          <w:tcPr>
            <w:tcW w:w="108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w w:val="99"/>
              </w:rPr>
              <w:t>ASC 606</w:t>
            </w:r>
          </w:p>
        </w:tc>
        <w:tc>
          <w:tcPr>
            <w:tcW w:w="9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ASC 606</w:t>
            </w: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$256,225</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$400</w:t>
            </w:r>
          </w:p>
        </w:tc>
        <w:tc>
          <w:tcPr>
            <w:tcW w:w="98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$256,625</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Net sales</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$486,206</w:t>
            </w:r>
          </w:p>
        </w:tc>
        <w:tc>
          <w:tcPr>
            <w:tcW w:w="98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($8,034)</w:t>
            </w:r>
          </w:p>
        </w:tc>
        <w:tc>
          <w:tcPr>
            <w:tcW w:w="100" w:type="dxa"/>
            <w:vAlign w:val="bottom"/>
            <w:shd w:val="clear" w:color="auto" w:fill="BFBFBF"/>
          </w:tcPr>
          <w:p>
            <w:pPr>
              <w:spacing w:after="0"/>
              <w:rPr>
                <w:sz w:val="16"/>
                <w:szCs w:val="16"/>
                <w:color w:val="auto"/>
              </w:rPr>
            </w:pP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$478,172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164,047</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2,304</w:t>
            </w:r>
          </w:p>
        </w:tc>
        <w:tc>
          <w:tcPr>
            <w:tcW w:w="9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166,351</w:t>
            </w:r>
          </w:p>
        </w:tc>
        <w:tc>
          <w:tcPr>
            <w:tcW w:w="5320" w:type="dxa"/>
            <w:vAlign w:val="bottom"/>
          </w:tcPr>
          <w:p>
            <w:pPr>
              <w:ind w:left="40"/>
              <w:spacing w:after="0" w:line="194" w:lineRule="exact"/>
              <w:rPr>
                <w:sz w:val="20"/>
                <w:szCs w:val="20"/>
                <w:color w:val="auto"/>
              </w:rPr>
            </w:pPr>
            <w:r>
              <w:rPr>
                <w:rFonts w:ascii="Arial" w:cs="Arial" w:eastAsia="Arial" w:hAnsi="Arial"/>
                <w:sz w:val="17"/>
                <w:szCs w:val="17"/>
                <w:color w:val="auto"/>
              </w:rPr>
              <w:t>Cost of goods sold</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312,377</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(4,222)</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308,155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92,178</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(1,904)</w:t>
            </w:r>
          </w:p>
        </w:tc>
        <w:tc>
          <w:tcPr>
            <w:tcW w:w="98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90,274</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Gross profit</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173,829</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(3,812)</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170,017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36,707</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c>
          <w:tcPr>
            <w:tcW w:w="100" w:type="dxa"/>
            <w:vAlign w:val="bottom"/>
          </w:tcPr>
          <w:p>
            <w:pPr>
              <w:spacing w:after="0"/>
              <w:rPr>
                <w:sz w:val="16"/>
                <w:szCs w:val="16"/>
                <w:color w:val="auto"/>
              </w:rPr>
            </w:pPr>
          </w:p>
        </w:tc>
        <w:tc>
          <w:tcPr>
            <w:tcW w:w="9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36,712</w:t>
            </w:r>
          </w:p>
        </w:tc>
        <w:tc>
          <w:tcPr>
            <w:tcW w:w="5320" w:type="dxa"/>
            <w:vAlign w:val="bottom"/>
          </w:tcPr>
          <w:p>
            <w:pPr>
              <w:ind w:left="180"/>
              <w:spacing w:after="0" w:line="194" w:lineRule="exact"/>
              <w:rPr>
                <w:sz w:val="20"/>
                <w:szCs w:val="20"/>
                <w:color w:val="auto"/>
              </w:rPr>
            </w:pPr>
            <w:r>
              <w:rPr>
                <w:rFonts w:ascii="Arial" w:cs="Arial" w:eastAsia="Arial" w:hAnsi="Arial"/>
                <w:sz w:val="17"/>
                <w:szCs w:val="17"/>
                <w:color w:val="auto"/>
              </w:rPr>
              <w:t>Selling, general, and administrative expenses</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78,637</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(55)</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78,582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10,198</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10,198</w:t>
            </w:r>
          </w:p>
        </w:tc>
        <w:tc>
          <w:tcPr>
            <w:tcW w:w="5320" w:type="dxa"/>
            <w:vAlign w:val="bottom"/>
            <w:shd w:val="clear" w:color="auto" w:fill="BFBFBF"/>
          </w:tcPr>
          <w:p>
            <w:pPr>
              <w:ind w:left="180"/>
              <w:spacing w:after="0" w:line="194" w:lineRule="exact"/>
              <w:rPr>
                <w:sz w:val="20"/>
                <w:szCs w:val="20"/>
                <w:color w:val="auto"/>
              </w:rPr>
            </w:pPr>
            <w:r>
              <w:rPr>
                <w:rFonts w:ascii="Arial" w:cs="Arial" w:eastAsia="Arial" w:hAnsi="Arial"/>
                <w:sz w:val="17"/>
                <w:szCs w:val="17"/>
                <w:color w:val="auto"/>
              </w:rPr>
              <w:t>Technical and research expenses</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20,515</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20,515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2,589</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2,589</w:t>
            </w:r>
          </w:p>
        </w:tc>
        <w:tc>
          <w:tcPr>
            <w:tcW w:w="5320" w:type="dxa"/>
            <w:vAlign w:val="bottom"/>
          </w:tcPr>
          <w:p>
            <w:pPr>
              <w:ind w:left="180"/>
              <w:spacing w:after="0" w:line="194" w:lineRule="exact"/>
              <w:rPr>
                <w:sz w:val="20"/>
                <w:szCs w:val="20"/>
                <w:color w:val="auto"/>
              </w:rPr>
            </w:pPr>
            <w:r>
              <w:rPr>
                <w:rFonts w:ascii="Arial" w:cs="Arial" w:eastAsia="Arial" w:hAnsi="Arial"/>
                <w:sz w:val="17"/>
                <w:szCs w:val="17"/>
                <w:color w:val="auto"/>
              </w:rPr>
              <w:t>Restructuring expenses, net</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11,162</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11,162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42,684</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(1,909)</w:t>
            </w:r>
          </w:p>
        </w:tc>
        <w:tc>
          <w:tcPr>
            <w:tcW w:w="98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40,775</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Operating income</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63,515</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(3,757)</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59,758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4,621</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4,621</w:t>
            </w:r>
          </w:p>
        </w:tc>
        <w:tc>
          <w:tcPr>
            <w:tcW w:w="5320" w:type="dxa"/>
            <w:vAlign w:val="bottom"/>
          </w:tcPr>
          <w:p>
            <w:pPr>
              <w:ind w:left="180"/>
              <w:spacing w:after="0" w:line="194" w:lineRule="exact"/>
              <w:rPr>
                <w:sz w:val="20"/>
                <w:szCs w:val="20"/>
                <w:color w:val="auto"/>
              </w:rPr>
            </w:pPr>
            <w:r>
              <w:rPr>
                <w:rFonts w:ascii="Arial" w:cs="Arial" w:eastAsia="Arial" w:hAnsi="Arial"/>
                <w:sz w:val="17"/>
                <w:szCs w:val="17"/>
                <w:color w:val="auto"/>
              </w:rPr>
              <w:t>Interest expense, net</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8,909</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8,909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726</w:t>
            </w:r>
          </w:p>
        </w:tc>
        <w:tc>
          <w:tcPr>
            <w:tcW w:w="80" w:type="dxa"/>
            <w:vAlign w:val="bottom"/>
            <w:shd w:val="clear" w:color="auto" w:fill="BFBFBF"/>
          </w:tcPr>
          <w:p>
            <w:pPr>
              <w:spacing w:after="0"/>
              <w:rPr>
                <w:sz w:val="16"/>
                <w:szCs w:val="16"/>
                <w:color w:val="auto"/>
              </w:rPr>
            </w:pP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726</w:t>
            </w:r>
          </w:p>
        </w:tc>
        <w:tc>
          <w:tcPr>
            <w:tcW w:w="40" w:type="dxa"/>
            <w:vAlign w:val="bottom"/>
            <w:shd w:val="clear" w:color="auto" w:fill="BFBFBF"/>
          </w:tcPr>
          <w:p>
            <w:pPr>
              <w:spacing w:after="0"/>
              <w:rPr>
                <w:sz w:val="16"/>
                <w:szCs w:val="16"/>
                <w:color w:val="auto"/>
              </w:rPr>
            </w:pPr>
          </w:p>
        </w:tc>
        <w:tc>
          <w:tcPr>
            <w:tcW w:w="5320" w:type="dxa"/>
            <w:vAlign w:val="bottom"/>
            <w:shd w:val="clear" w:color="auto" w:fill="BFBFBF"/>
          </w:tcPr>
          <w:p>
            <w:pPr>
              <w:ind w:left="180"/>
              <w:spacing w:after="0" w:line="194" w:lineRule="exact"/>
              <w:rPr>
                <w:sz w:val="20"/>
                <w:szCs w:val="20"/>
                <w:color w:val="auto"/>
              </w:rPr>
            </w:pPr>
            <w:r>
              <w:rPr>
                <w:rFonts w:ascii="Arial" w:cs="Arial" w:eastAsia="Arial" w:hAnsi="Arial"/>
                <w:sz w:val="17"/>
                <w:szCs w:val="17"/>
                <w:color w:val="auto"/>
              </w:rPr>
              <w:t>Other expense, net</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2,178</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2,178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40" w:type="dxa"/>
            <w:vAlign w:val="bottom"/>
          </w:tcPr>
          <w:p>
            <w:pPr>
              <w:jc w:val="right"/>
              <w:spacing w:after="0"/>
              <w:rPr>
                <w:sz w:val="20"/>
                <w:szCs w:val="20"/>
                <w:color w:val="auto"/>
              </w:rPr>
            </w:pPr>
            <w:r>
              <w:rPr>
                <w:rFonts w:ascii="Arial" w:cs="Arial" w:eastAsia="Arial" w:hAnsi="Arial"/>
                <w:sz w:val="17"/>
                <w:szCs w:val="17"/>
                <w:color w:val="auto"/>
              </w:rPr>
              <w:t>37,337</w:t>
            </w:r>
          </w:p>
        </w:tc>
        <w:tc>
          <w:tcPr>
            <w:tcW w:w="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(1,909)</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35,428</w:t>
            </w:r>
          </w:p>
        </w:tc>
        <w:tc>
          <w:tcPr>
            <w:tcW w:w="5320" w:type="dxa"/>
            <w:vAlign w:val="bottom"/>
          </w:tcPr>
          <w:p>
            <w:pPr>
              <w:ind w:left="40"/>
              <w:spacing w:after="0"/>
              <w:rPr>
                <w:sz w:val="20"/>
                <w:szCs w:val="20"/>
                <w:color w:val="auto"/>
              </w:rPr>
            </w:pPr>
            <w:r>
              <w:rPr>
                <w:rFonts w:ascii="Arial" w:cs="Arial" w:eastAsia="Arial" w:hAnsi="Arial"/>
                <w:sz w:val="17"/>
                <w:szCs w:val="17"/>
                <w:color w:val="auto"/>
              </w:rPr>
              <w:t>Income before income taxes</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52,428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(3,757)</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48,671</w:t>
            </w:r>
          </w:p>
        </w:tc>
        <w:tc>
          <w:tcPr>
            <w:tcW w:w="0" w:type="dxa"/>
            <w:vAlign w:val="bottom"/>
          </w:tcPr>
          <w:p>
            <w:pPr>
              <w:spacing w:after="0"/>
              <w:rPr>
                <w:sz w:val="1"/>
                <w:szCs w:val="1"/>
                <w:color w:val="auto"/>
              </w:rPr>
            </w:pPr>
          </w:p>
        </w:tc>
      </w:tr>
      <w:tr>
        <w:trPr>
          <w:trHeight w:val="194"/>
        </w:trPr>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7,031</w:t>
            </w:r>
          </w:p>
        </w:tc>
        <w:tc>
          <w:tcPr>
            <w:tcW w:w="80" w:type="dxa"/>
            <w:vAlign w:val="bottom"/>
            <w:shd w:val="clear" w:color="auto" w:fill="BFBFBF"/>
          </w:tcPr>
          <w:p>
            <w:pPr>
              <w:spacing w:after="0"/>
              <w:rPr>
                <w:sz w:val="16"/>
                <w:szCs w:val="16"/>
                <w:color w:val="auto"/>
              </w:rPr>
            </w:pPr>
          </w:p>
        </w:tc>
        <w:tc>
          <w:tcPr>
            <w:tcW w:w="98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(507)</w:t>
            </w:r>
          </w:p>
        </w:tc>
        <w:tc>
          <w:tcPr>
            <w:tcW w:w="100" w:type="dxa"/>
            <w:vAlign w:val="bottom"/>
            <w:shd w:val="clear" w:color="auto" w:fill="BFBFBF"/>
          </w:tcPr>
          <w:p>
            <w:pPr>
              <w:spacing w:after="0"/>
              <w:rPr>
                <w:sz w:val="16"/>
                <w:szCs w:val="16"/>
                <w:color w:val="auto"/>
              </w:rPr>
            </w:pPr>
          </w:p>
        </w:tc>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6,524</w:t>
            </w:r>
          </w:p>
        </w:tc>
        <w:tc>
          <w:tcPr>
            <w:tcW w:w="40" w:type="dxa"/>
            <w:vAlign w:val="bottom"/>
            <w:shd w:val="clear" w:color="auto" w:fill="BFBFBF"/>
          </w:tcPr>
          <w:p>
            <w:pPr>
              <w:spacing w:after="0"/>
              <w:rPr>
                <w:sz w:val="16"/>
                <w:szCs w:val="16"/>
                <w:color w:val="auto"/>
              </w:rPr>
            </w:pPr>
          </w:p>
        </w:tc>
        <w:tc>
          <w:tcPr>
            <w:tcW w:w="5320" w:type="dxa"/>
            <w:vAlign w:val="bottom"/>
            <w:shd w:val="clear" w:color="auto" w:fill="BFBFBF"/>
          </w:tcPr>
          <w:p>
            <w:pPr>
              <w:ind w:left="180"/>
              <w:spacing w:after="0" w:line="194" w:lineRule="exact"/>
              <w:rPr>
                <w:sz w:val="20"/>
                <w:szCs w:val="20"/>
                <w:color w:val="auto"/>
              </w:rPr>
            </w:pPr>
            <w:r>
              <w:rPr>
                <w:rFonts w:ascii="Arial" w:cs="Arial" w:eastAsia="Arial" w:hAnsi="Arial"/>
                <w:sz w:val="17"/>
                <w:szCs w:val="17"/>
                <w:color w:val="auto"/>
              </w:rPr>
              <w:t>Income tax expense</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11,640</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(1,108)</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10,532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40" w:type="dxa"/>
            <w:vAlign w:val="bottom"/>
          </w:tcPr>
          <w:p>
            <w:pPr>
              <w:jc w:val="right"/>
              <w:spacing w:after="0"/>
              <w:rPr>
                <w:sz w:val="20"/>
                <w:szCs w:val="20"/>
                <w:color w:val="auto"/>
              </w:rPr>
            </w:pPr>
            <w:r>
              <w:rPr>
                <w:rFonts w:ascii="Arial" w:cs="Arial" w:eastAsia="Arial" w:hAnsi="Arial"/>
                <w:sz w:val="17"/>
                <w:szCs w:val="17"/>
                <w:color w:val="auto"/>
              </w:rPr>
              <w:t>30,306</w:t>
            </w:r>
          </w:p>
        </w:tc>
        <w:tc>
          <w:tcPr>
            <w:tcW w:w="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(1,402)</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28,904</w:t>
            </w:r>
          </w:p>
        </w:tc>
        <w:tc>
          <w:tcPr>
            <w:tcW w:w="5320" w:type="dxa"/>
            <w:vAlign w:val="bottom"/>
          </w:tcPr>
          <w:p>
            <w:pPr>
              <w:ind w:left="80"/>
              <w:spacing w:after="0"/>
              <w:rPr>
                <w:sz w:val="20"/>
                <w:szCs w:val="20"/>
                <w:color w:val="auto"/>
              </w:rPr>
            </w:pPr>
            <w:r>
              <w:rPr>
                <w:rFonts w:ascii="Arial" w:cs="Arial" w:eastAsia="Arial" w:hAnsi="Arial"/>
                <w:sz w:val="17"/>
                <w:szCs w:val="17"/>
                <w:color w:val="auto"/>
              </w:rPr>
              <w:t>Net income</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40,788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(2,649)</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38,139</w:t>
            </w: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(59)</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98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(86)</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Net income/(loss) attributable to the noncontrolling interest</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178</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(84)</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$30,365</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($1,375)</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$28,990</w:t>
            </w:r>
          </w:p>
        </w:tc>
        <w:tc>
          <w:tcPr>
            <w:tcW w:w="40" w:type="dxa"/>
            <w:vAlign w:val="bottom"/>
          </w:tcPr>
          <w:p>
            <w:pPr>
              <w:spacing w:after="0"/>
              <w:rPr>
                <w:sz w:val="16"/>
                <w:szCs w:val="16"/>
                <w:color w:val="auto"/>
              </w:rPr>
            </w:pPr>
          </w:p>
        </w:tc>
        <w:tc>
          <w:tcPr>
            <w:tcW w:w="5320" w:type="dxa"/>
            <w:vAlign w:val="bottom"/>
          </w:tcPr>
          <w:p>
            <w:pPr>
              <w:ind w:left="80"/>
              <w:spacing w:after="0" w:line="186" w:lineRule="exact"/>
              <w:rPr>
                <w:sz w:val="20"/>
                <w:szCs w:val="20"/>
                <w:color w:val="auto"/>
              </w:rPr>
            </w:pPr>
            <w:r>
              <w:rPr>
                <w:rFonts w:ascii="Arial" w:cs="Arial" w:eastAsia="Arial" w:hAnsi="Arial"/>
                <w:sz w:val="17"/>
                <w:szCs w:val="17"/>
                <w:color w:val="auto"/>
              </w:rPr>
              <w:t>Net income attributable to the Company</w:t>
            </w:r>
          </w:p>
        </w:tc>
        <w:tc>
          <w:tcPr>
            <w:tcW w:w="9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$40,610</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($2,565)</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$38,045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$0.94</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($0.04)</w:t>
            </w:r>
          </w:p>
        </w:tc>
        <w:tc>
          <w:tcPr>
            <w:tcW w:w="98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$0.90</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Earnings per share attributable to Company shareholders - Basic</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$1.26</w:t>
            </w:r>
          </w:p>
        </w:tc>
        <w:tc>
          <w:tcPr>
            <w:tcW w:w="108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($0.08)</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$0.94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($0.04)</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$0.90</w:t>
            </w:r>
          </w:p>
        </w:tc>
        <w:tc>
          <w:tcPr>
            <w:tcW w:w="5320" w:type="dxa"/>
            <w:vAlign w:val="bottom"/>
          </w:tcPr>
          <w:p>
            <w:pPr>
              <w:ind w:left="40"/>
              <w:spacing w:after="0"/>
              <w:rPr>
                <w:sz w:val="20"/>
                <w:szCs w:val="20"/>
                <w:color w:val="auto"/>
              </w:rPr>
            </w:pPr>
            <w:r>
              <w:rPr>
                <w:rFonts w:ascii="Arial" w:cs="Arial" w:eastAsia="Arial" w:hAnsi="Arial"/>
                <w:sz w:val="17"/>
                <w:szCs w:val="17"/>
                <w:color w:val="auto"/>
              </w:rPr>
              <w:t>Earnings per share attributable to Company shareholders - Diluted</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$1.26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($0.08)</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ALBANY INTERNATIONAL CORP.</w:t>
      </w:r>
    </w:p>
    <w:p>
      <w:pPr>
        <w:jc w:val="center"/>
        <w:spacing w:after="0" w:line="237" w:lineRule="auto"/>
        <w:rPr>
          <w:sz w:val="20"/>
          <w:szCs w:val="20"/>
          <w:color w:val="auto"/>
        </w:rPr>
      </w:pPr>
      <w:r>
        <w:rPr>
          <w:rFonts w:ascii="Arial" w:cs="Arial" w:eastAsia="Arial" w:hAnsi="Arial"/>
          <w:sz w:val="17"/>
          <w:szCs w:val="17"/>
          <w:color w:val="auto"/>
        </w:rPr>
        <w:t>CONSOLIDATED STATEMENT OF COMPREHENSIVE INCOME/(LOSS)</w:t>
      </w:r>
    </w:p>
    <w:p>
      <w:pPr>
        <w:jc w:val="center"/>
        <w:spacing w:after="0" w:line="238" w:lineRule="auto"/>
        <w:rPr>
          <w:sz w:val="20"/>
          <w:szCs w:val="20"/>
          <w:color w:val="auto"/>
        </w:rPr>
      </w:pPr>
      <w:r>
        <w:rPr>
          <w:rFonts w:ascii="Arial" w:cs="Arial" w:eastAsia="Arial" w:hAnsi="Arial"/>
          <w:sz w:val="17"/>
          <w:szCs w:val="17"/>
          <w:color w:val="auto"/>
        </w:rPr>
        <w:t>(in thousands)</w:t>
      </w:r>
    </w:p>
    <w:p>
      <w:pPr>
        <w:jc w:val="center"/>
        <w:spacing w:after="0"/>
        <w:rPr>
          <w:sz w:val="20"/>
          <w:szCs w:val="20"/>
          <w:color w:val="auto"/>
        </w:rPr>
      </w:pPr>
      <w:r>
        <w:rPr>
          <w:rFonts w:ascii="Arial" w:cs="Arial" w:eastAsia="Arial" w:hAnsi="Arial"/>
          <w:sz w:val="17"/>
          <w:szCs w:val="17"/>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7"/>
                <w:szCs w:val="17"/>
                <w:color w:val="auto"/>
              </w:rPr>
              <w:t>As adjusted</w:t>
            </w: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w w:val="99"/>
              </w:rPr>
              <w:t>for the</w:t>
            </w: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w w:val="99"/>
              </w:rPr>
              <w:t>As adjusted</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Three</w:t>
            </w: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w w:val="99"/>
              </w:rPr>
              <w:t>for the Six</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As reported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Months</w:t>
            </w: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Months</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for the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Ended June</w:t>
            </w:r>
          </w:p>
        </w:tc>
        <w:tc>
          <w:tcPr>
            <w:tcW w:w="5320" w:type="dxa"/>
            <w:vAlign w:val="bottom"/>
          </w:tcPr>
          <w:p>
            <w:pPr>
              <w:spacing w:after="0"/>
              <w:rPr>
                <w:sz w:val="16"/>
                <w:szCs w:val="16"/>
                <w:color w:val="auto"/>
              </w:rPr>
            </w:pPr>
          </w:p>
        </w:tc>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As reported</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Ended June</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Three</w:t>
            </w:r>
          </w:p>
        </w:tc>
        <w:tc>
          <w:tcPr>
            <w:tcW w:w="106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Adjustments</w:t>
            </w:r>
          </w:p>
        </w:tc>
        <w:tc>
          <w:tcPr>
            <w:tcW w:w="96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30, 2018 to</w:t>
            </w:r>
          </w:p>
        </w:tc>
        <w:tc>
          <w:tcPr>
            <w:tcW w:w="5320" w:type="dxa"/>
            <w:vAlign w:val="bottom"/>
          </w:tcPr>
          <w:p>
            <w:pPr>
              <w:spacing w:after="0"/>
              <w:rPr>
                <w:sz w:val="16"/>
                <w:szCs w:val="16"/>
                <w:color w:val="auto"/>
              </w:rPr>
            </w:pPr>
          </w:p>
        </w:tc>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99"/>
              </w:rPr>
              <w:t>for the Six</w:t>
            </w:r>
          </w:p>
        </w:tc>
        <w:tc>
          <w:tcPr>
            <w:tcW w:w="1120" w:type="dxa"/>
            <w:vAlign w:val="bottom"/>
            <w:gridSpan w:val="2"/>
          </w:tcPr>
          <w:p>
            <w:pPr>
              <w:jc w:val="center"/>
              <w:ind w:right="160"/>
              <w:spacing w:after="0" w:line="194" w:lineRule="exact"/>
              <w:rPr>
                <w:sz w:val="20"/>
                <w:szCs w:val="20"/>
                <w:color w:val="auto"/>
              </w:rPr>
            </w:pPr>
            <w:r>
              <w:rPr>
                <w:rFonts w:ascii="Arial" w:cs="Arial" w:eastAsia="Arial" w:hAnsi="Arial"/>
                <w:sz w:val="17"/>
                <w:szCs w:val="17"/>
                <w:color w:val="auto"/>
              </w:rPr>
              <w:t>Adjustments</w:t>
            </w: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30, 2018 to</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Months</w:t>
            </w:r>
          </w:p>
        </w:tc>
        <w:tc>
          <w:tcPr>
            <w:tcW w:w="106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to reverse</w:t>
            </w:r>
          </w:p>
        </w:tc>
        <w:tc>
          <w:tcPr>
            <w:tcW w:w="960" w:type="dxa"/>
            <w:vAlign w:val="bottom"/>
            <w:gridSpan w:val="2"/>
          </w:tcPr>
          <w:p>
            <w:pPr>
              <w:jc w:val="center"/>
              <w:ind w:right="40"/>
              <w:spacing w:after="0" w:line="194" w:lineRule="exact"/>
              <w:rPr>
                <w:sz w:val="20"/>
                <w:szCs w:val="20"/>
                <w:color w:val="auto"/>
              </w:rPr>
            </w:pPr>
            <w:r>
              <w:rPr>
                <w:rFonts w:ascii="Arial" w:cs="Arial" w:eastAsia="Arial" w:hAnsi="Arial"/>
                <w:sz w:val="17"/>
                <w:szCs w:val="17"/>
                <w:color w:val="auto"/>
              </w:rPr>
              <w:t>exclude</w:t>
            </w:r>
          </w:p>
        </w:tc>
        <w:tc>
          <w:tcPr>
            <w:tcW w:w="5320" w:type="dxa"/>
            <w:vAlign w:val="bottom"/>
          </w:tcPr>
          <w:p>
            <w:pPr>
              <w:spacing w:after="0"/>
              <w:rPr>
                <w:sz w:val="16"/>
                <w:szCs w:val="16"/>
                <w:color w:val="auto"/>
              </w:rPr>
            </w:pPr>
          </w:p>
        </w:tc>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Months</w:t>
            </w:r>
          </w:p>
        </w:tc>
        <w:tc>
          <w:tcPr>
            <w:tcW w:w="1120" w:type="dxa"/>
            <w:vAlign w:val="bottom"/>
            <w:gridSpan w:val="2"/>
          </w:tcPr>
          <w:p>
            <w:pPr>
              <w:jc w:val="center"/>
              <w:ind w:right="160"/>
              <w:spacing w:after="0" w:line="194" w:lineRule="exact"/>
              <w:rPr>
                <w:sz w:val="20"/>
                <w:szCs w:val="20"/>
                <w:color w:val="auto"/>
              </w:rPr>
            </w:pPr>
            <w:r>
              <w:rPr>
                <w:rFonts w:ascii="Arial" w:cs="Arial" w:eastAsia="Arial" w:hAnsi="Arial"/>
                <w:sz w:val="17"/>
                <w:szCs w:val="17"/>
                <w:color w:val="auto"/>
              </w:rPr>
              <w:t>to reverse</w:t>
            </w: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exclude</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Ended June</w:t>
            </w:r>
          </w:p>
        </w:tc>
        <w:tc>
          <w:tcPr>
            <w:tcW w:w="106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98"/>
              </w:rPr>
              <w:t>effects of</w:t>
            </w:r>
          </w:p>
        </w:tc>
        <w:tc>
          <w:tcPr>
            <w:tcW w:w="96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rPr>
              <w:t>adoption of</w:t>
            </w:r>
          </w:p>
        </w:tc>
        <w:tc>
          <w:tcPr>
            <w:tcW w:w="5320" w:type="dxa"/>
            <w:vAlign w:val="bottom"/>
          </w:tcPr>
          <w:p>
            <w:pPr>
              <w:spacing w:after="0"/>
              <w:rPr>
                <w:sz w:val="16"/>
                <w:szCs w:val="16"/>
                <w:color w:val="auto"/>
              </w:rPr>
            </w:pPr>
          </w:p>
        </w:tc>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Ended June</w:t>
            </w:r>
          </w:p>
        </w:tc>
        <w:tc>
          <w:tcPr>
            <w:tcW w:w="1120" w:type="dxa"/>
            <w:vAlign w:val="bottom"/>
            <w:gridSpan w:val="2"/>
          </w:tcPr>
          <w:p>
            <w:pPr>
              <w:jc w:val="center"/>
              <w:ind w:right="140"/>
              <w:spacing w:after="0" w:line="194" w:lineRule="exact"/>
              <w:rPr>
                <w:sz w:val="20"/>
                <w:szCs w:val="20"/>
                <w:color w:val="auto"/>
              </w:rPr>
            </w:pPr>
            <w:r>
              <w:rPr>
                <w:rFonts w:ascii="Arial" w:cs="Arial" w:eastAsia="Arial" w:hAnsi="Arial"/>
                <w:sz w:val="17"/>
                <w:szCs w:val="17"/>
                <w:color w:val="auto"/>
              </w:rPr>
              <w:t>effects of</w:t>
            </w:r>
          </w:p>
        </w:tc>
        <w:tc>
          <w:tcPr>
            <w:tcW w:w="940" w:type="dxa"/>
            <w:vAlign w:val="bottom"/>
            <w:gridSpan w:val="2"/>
          </w:tcPr>
          <w:p>
            <w:pPr>
              <w:jc w:val="center"/>
              <w:ind w:right="20"/>
              <w:spacing w:after="0" w:line="194" w:lineRule="exact"/>
              <w:rPr>
                <w:sz w:val="20"/>
                <w:szCs w:val="20"/>
                <w:color w:val="auto"/>
              </w:rPr>
            </w:pPr>
            <w:r>
              <w:rPr>
                <w:rFonts w:ascii="Arial" w:cs="Arial" w:eastAsia="Arial" w:hAnsi="Arial"/>
                <w:sz w:val="17"/>
                <w:szCs w:val="17"/>
                <w:color w:val="auto"/>
                <w:w w:val="99"/>
              </w:rPr>
              <w:t>adoption of</w:t>
            </w:r>
          </w:p>
        </w:tc>
        <w:tc>
          <w:tcPr>
            <w:tcW w:w="0" w:type="dxa"/>
            <w:vAlign w:val="bottom"/>
          </w:tcPr>
          <w:p>
            <w:pPr>
              <w:spacing w:after="0"/>
              <w:rPr>
                <w:sz w:val="1"/>
                <w:szCs w:val="1"/>
                <w:color w:val="auto"/>
              </w:rPr>
            </w:pPr>
          </w:p>
        </w:tc>
      </w:tr>
      <w:tr>
        <w:trPr>
          <w:trHeight w:val="194"/>
        </w:trPr>
        <w:tc>
          <w:tcPr>
            <w:tcW w:w="940" w:type="dxa"/>
            <w:vAlign w:val="bottom"/>
          </w:tcPr>
          <w:p>
            <w:pPr>
              <w:jc w:val="center"/>
              <w:spacing w:after="0" w:line="194" w:lineRule="exact"/>
              <w:rPr>
                <w:sz w:val="20"/>
                <w:szCs w:val="20"/>
                <w:color w:val="auto"/>
              </w:rPr>
            </w:pPr>
            <w:r>
              <w:rPr>
                <w:rFonts w:ascii="Arial" w:cs="Arial" w:eastAsia="Arial" w:hAnsi="Arial"/>
                <w:sz w:val="17"/>
                <w:szCs w:val="17"/>
                <w:color w:val="auto"/>
                <w:w w:val="99"/>
              </w:rPr>
              <w:t>30, 2018</w:t>
            </w:r>
          </w:p>
        </w:tc>
        <w:tc>
          <w:tcPr>
            <w:tcW w:w="80" w:type="dxa"/>
            <w:vAlign w:val="bottom"/>
          </w:tcPr>
          <w:p>
            <w:pPr>
              <w:spacing w:after="0"/>
              <w:rPr>
                <w:sz w:val="16"/>
                <w:szCs w:val="16"/>
                <w:color w:val="auto"/>
              </w:rPr>
            </w:pPr>
          </w:p>
        </w:tc>
        <w:tc>
          <w:tcPr>
            <w:tcW w:w="106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99"/>
              </w:rPr>
              <w:t>ASC 606</w:t>
            </w:r>
          </w:p>
        </w:tc>
        <w:tc>
          <w:tcPr>
            <w:tcW w:w="96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ASC 606</w:t>
            </w:r>
          </w:p>
        </w:tc>
        <w:tc>
          <w:tcPr>
            <w:tcW w:w="5320" w:type="dxa"/>
            <w:vAlign w:val="bottom"/>
          </w:tcPr>
          <w:p>
            <w:pPr>
              <w:spacing w:after="0"/>
              <w:rPr>
                <w:sz w:val="16"/>
                <w:szCs w:val="16"/>
                <w:color w:val="auto"/>
              </w:rPr>
            </w:pPr>
          </w:p>
        </w:tc>
        <w:tc>
          <w:tcPr>
            <w:tcW w:w="920" w:type="dxa"/>
            <w:vAlign w:val="bottom"/>
          </w:tcPr>
          <w:p>
            <w:pPr>
              <w:jc w:val="center"/>
              <w:spacing w:after="0" w:line="194" w:lineRule="exact"/>
              <w:rPr>
                <w:sz w:val="20"/>
                <w:szCs w:val="20"/>
                <w:color w:val="auto"/>
              </w:rPr>
            </w:pPr>
            <w:r>
              <w:rPr>
                <w:rFonts w:ascii="Arial" w:cs="Arial" w:eastAsia="Arial" w:hAnsi="Arial"/>
                <w:sz w:val="17"/>
                <w:szCs w:val="17"/>
                <w:color w:val="auto"/>
              </w:rPr>
              <w:t>30, 2018</w:t>
            </w:r>
          </w:p>
        </w:tc>
        <w:tc>
          <w:tcPr>
            <w:tcW w:w="100" w:type="dxa"/>
            <w:vAlign w:val="bottom"/>
          </w:tcPr>
          <w:p>
            <w:pPr>
              <w:spacing w:after="0"/>
              <w:rPr>
                <w:sz w:val="16"/>
                <w:szCs w:val="16"/>
                <w:color w:val="auto"/>
              </w:rPr>
            </w:pPr>
          </w:p>
        </w:tc>
        <w:tc>
          <w:tcPr>
            <w:tcW w:w="1120" w:type="dxa"/>
            <w:vAlign w:val="bottom"/>
            <w:gridSpan w:val="2"/>
          </w:tcPr>
          <w:p>
            <w:pPr>
              <w:jc w:val="center"/>
              <w:ind w:right="160"/>
              <w:spacing w:after="0" w:line="194" w:lineRule="exact"/>
              <w:rPr>
                <w:sz w:val="20"/>
                <w:szCs w:val="20"/>
                <w:color w:val="auto"/>
              </w:rPr>
            </w:pPr>
            <w:r>
              <w:rPr>
                <w:rFonts w:ascii="Arial" w:cs="Arial" w:eastAsia="Arial" w:hAnsi="Arial"/>
                <w:sz w:val="17"/>
                <w:szCs w:val="17"/>
                <w:color w:val="auto"/>
                <w:w w:val="99"/>
              </w:rPr>
              <w:t>ASC 606</w:t>
            </w:r>
          </w:p>
        </w:tc>
        <w:tc>
          <w:tcPr>
            <w:tcW w:w="9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ASC 606</w:t>
            </w: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$30,306</w:t>
            </w:r>
          </w:p>
        </w:tc>
        <w:tc>
          <w:tcPr>
            <w:tcW w:w="9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($1,402)</w:t>
            </w:r>
          </w:p>
        </w:tc>
        <w:tc>
          <w:tcPr>
            <w:tcW w:w="100" w:type="dxa"/>
            <w:vAlign w:val="bottom"/>
            <w:shd w:val="clear" w:color="auto" w:fill="BFBFBF"/>
          </w:tcPr>
          <w:p>
            <w:pPr>
              <w:spacing w:after="0"/>
              <w:rPr>
                <w:sz w:val="16"/>
                <w:szCs w:val="16"/>
                <w:color w:val="auto"/>
              </w:rPr>
            </w:pPr>
          </w:p>
        </w:tc>
        <w:tc>
          <w:tcPr>
            <w:tcW w:w="960" w:type="dxa"/>
            <w:vAlign w:val="bottom"/>
            <w:gridSpan w:val="2"/>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$28,904</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Net income</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$40,788</w:t>
            </w:r>
          </w:p>
        </w:tc>
        <w:tc>
          <w:tcPr>
            <w:tcW w:w="100" w:type="dxa"/>
            <w:vAlign w:val="bottom"/>
            <w:shd w:val="clear" w:color="auto" w:fill="BFBFBF"/>
          </w:tcPr>
          <w:p>
            <w:pPr>
              <w:spacing w:after="0"/>
              <w:rPr>
                <w:sz w:val="16"/>
                <w:szCs w:val="16"/>
                <w:color w:val="auto"/>
              </w:rPr>
            </w:pPr>
          </w:p>
        </w:tc>
        <w:tc>
          <w:tcPr>
            <w:tcW w:w="1120" w:type="dxa"/>
            <w:vAlign w:val="bottom"/>
            <w:gridSpan w:val="2"/>
            <w:shd w:val="clear" w:color="auto" w:fill="BFBFBF"/>
          </w:tcPr>
          <w:p>
            <w:pPr>
              <w:jc w:val="right"/>
              <w:ind w:right="160"/>
              <w:spacing w:after="0" w:line="194" w:lineRule="exact"/>
              <w:rPr>
                <w:sz w:val="20"/>
                <w:szCs w:val="20"/>
                <w:color w:val="auto"/>
              </w:rPr>
            </w:pPr>
            <w:r>
              <w:rPr>
                <w:rFonts w:ascii="Arial" w:cs="Arial" w:eastAsia="Arial" w:hAnsi="Arial"/>
                <w:sz w:val="17"/>
                <w:szCs w:val="17"/>
                <w:color w:val="auto"/>
              </w:rPr>
              <w:t>($2,649)</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$38,139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Pr>
          <w:p>
            <w:pPr>
              <w:ind w:left="40"/>
              <w:spacing w:after="0"/>
              <w:rPr>
                <w:sz w:val="20"/>
                <w:szCs w:val="20"/>
                <w:color w:val="auto"/>
              </w:rPr>
            </w:pPr>
            <w:r>
              <w:rPr>
                <w:rFonts w:ascii="Arial" w:cs="Arial" w:eastAsia="Arial" w:hAnsi="Arial"/>
                <w:sz w:val="17"/>
                <w:szCs w:val="17"/>
                <w:color w:val="auto"/>
              </w:rPr>
              <w:t>Other comprehensive income/(loss), before tax:</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(30,851)</w:t>
            </w:r>
          </w:p>
        </w:tc>
        <w:tc>
          <w:tcPr>
            <w:tcW w:w="80" w:type="dxa"/>
            <w:vAlign w:val="bottom"/>
            <w:shd w:val="clear" w:color="auto" w:fill="BFBFBF"/>
          </w:tcPr>
          <w:p>
            <w:pPr>
              <w:spacing w:after="0"/>
              <w:rPr>
                <w:sz w:val="16"/>
                <w:szCs w:val="16"/>
                <w:color w:val="auto"/>
              </w:rPr>
            </w:pPr>
          </w:p>
        </w:tc>
        <w:tc>
          <w:tcPr>
            <w:tcW w:w="9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839</w:t>
            </w:r>
          </w:p>
        </w:tc>
        <w:tc>
          <w:tcPr>
            <w:tcW w:w="100" w:type="dxa"/>
            <w:vAlign w:val="bottom"/>
            <w:shd w:val="clear" w:color="auto" w:fill="BFBFBF"/>
          </w:tcPr>
          <w:p>
            <w:pPr>
              <w:spacing w:after="0"/>
              <w:rPr>
                <w:sz w:val="16"/>
                <w:szCs w:val="16"/>
                <w:color w:val="auto"/>
              </w:rPr>
            </w:pPr>
          </w:p>
        </w:tc>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(30,012)</w:t>
            </w:r>
          </w:p>
        </w:tc>
        <w:tc>
          <w:tcPr>
            <w:tcW w:w="20" w:type="dxa"/>
            <w:vAlign w:val="bottom"/>
            <w:shd w:val="clear" w:color="auto" w:fill="BFBFBF"/>
          </w:tcPr>
          <w:p>
            <w:pPr>
              <w:spacing w:after="0"/>
              <w:rPr>
                <w:sz w:val="16"/>
                <w:szCs w:val="16"/>
                <w:color w:val="auto"/>
              </w:rPr>
            </w:pP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Foreign currency translation adjustments</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(13,346)</w:t>
            </w:r>
          </w:p>
        </w:tc>
        <w:tc>
          <w:tcPr>
            <w:tcW w:w="100" w:type="dxa"/>
            <w:vAlign w:val="bottom"/>
            <w:shd w:val="clear" w:color="auto" w:fill="BFBFBF"/>
          </w:tcPr>
          <w:p>
            <w:pPr>
              <w:spacing w:after="0"/>
              <w:rPr>
                <w:sz w:val="16"/>
                <w:szCs w:val="16"/>
                <w:color w:val="auto"/>
              </w:rPr>
            </w:pPr>
          </w:p>
        </w:tc>
        <w:tc>
          <w:tcPr>
            <w:tcW w:w="9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531</w:t>
            </w:r>
          </w:p>
        </w:tc>
        <w:tc>
          <w:tcPr>
            <w:tcW w:w="160" w:type="dxa"/>
            <w:vAlign w:val="bottom"/>
            <w:shd w:val="clear" w:color="auto" w:fill="BFBFBF"/>
          </w:tcPr>
          <w:p>
            <w:pPr>
              <w:spacing w:after="0"/>
              <w:rPr>
                <w:sz w:val="16"/>
                <w:szCs w:val="16"/>
                <w:color w:val="auto"/>
              </w:rPr>
            </w:pP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(12,815)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(518)</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(518)</w:t>
            </w:r>
          </w:p>
        </w:tc>
        <w:tc>
          <w:tcPr>
            <w:tcW w:w="5320" w:type="dxa"/>
            <w:vAlign w:val="bottom"/>
          </w:tcPr>
          <w:p>
            <w:pPr>
              <w:ind w:left="40"/>
              <w:spacing w:after="0" w:line="194" w:lineRule="exact"/>
              <w:rPr>
                <w:sz w:val="20"/>
                <w:szCs w:val="20"/>
                <w:color w:val="auto"/>
              </w:rPr>
            </w:pPr>
            <w:r>
              <w:rPr>
                <w:rFonts w:ascii="Arial" w:cs="Arial" w:eastAsia="Arial" w:hAnsi="Arial"/>
                <w:sz w:val="17"/>
                <w:szCs w:val="17"/>
                <w:color w:val="auto"/>
              </w:rPr>
              <w:t>Pension/postretirement curtailment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(518)</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(518)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9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94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Amortization of pension liability adjustments:</w:t>
            </w:r>
          </w:p>
        </w:tc>
        <w:tc>
          <w:tcPr>
            <w:tcW w:w="9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96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(1,113)</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(1,113)</w:t>
            </w:r>
          </w:p>
        </w:tc>
        <w:tc>
          <w:tcPr>
            <w:tcW w:w="5320" w:type="dxa"/>
            <w:vAlign w:val="bottom"/>
          </w:tcPr>
          <w:p>
            <w:pPr>
              <w:ind w:left="200"/>
              <w:spacing w:after="0" w:line="194" w:lineRule="exact"/>
              <w:rPr>
                <w:sz w:val="20"/>
                <w:szCs w:val="20"/>
                <w:color w:val="auto"/>
              </w:rPr>
            </w:pPr>
            <w:r>
              <w:rPr>
                <w:rFonts w:ascii="Arial" w:cs="Arial" w:eastAsia="Arial" w:hAnsi="Arial"/>
                <w:sz w:val="17"/>
                <w:szCs w:val="17"/>
                <w:color w:val="auto"/>
              </w:rPr>
              <w:t>Prior service credit</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(2,227)</w:t>
            </w:r>
          </w:p>
        </w:tc>
        <w:tc>
          <w:tcPr>
            <w:tcW w:w="11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(2,227)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1,291</w:t>
            </w:r>
          </w:p>
        </w:tc>
        <w:tc>
          <w:tcPr>
            <w:tcW w:w="10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1,291</w:t>
            </w:r>
          </w:p>
        </w:tc>
        <w:tc>
          <w:tcPr>
            <w:tcW w:w="5320" w:type="dxa"/>
            <w:vAlign w:val="bottom"/>
            <w:shd w:val="clear" w:color="auto" w:fill="BFBFBF"/>
          </w:tcPr>
          <w:p>
            <w:pPr>
              <w:ind w:left="200"/>
              <w:spacing w:after="0" w:line="194" w:lineRule="exact"/>
              <w:rPr>
                <w:sz w:val="20"/>
                <w:szCs w:val="20"/>
                <w:color w:val="auto"/>
              </w:rPr>
            </w:pPr>
            <w:r>
              <w:rPr>
                <w:rFonts w:ascii="Arial" w:cs="Arial" w:eastAsia="Arial" w:hAnsi="Arial"/>
                <w:sz w:val="17"/>
                <w:szCs w:val="17"/>
                <w:color w:val="auto"/>
              </w:rPr>
              <w:t>Net actuarial loss</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2,588</w:t>
            </w:r>
          </w:p>
        </w:tc>
        <w:tc>
          <w:tcPr>
            <w:tcW w:w="1120" w:type="dxa"/>
            <w:vAlign w:val="bottom"/>
            <w:gridSpan w:val="2"/>
            <w:shd w:val="clear" w:color="auto" w:fill="BFBFB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2,588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54</w:t>
            </w:r>
          </w:p>
        </w:tc>
        <w:tc>
          <w:tcPr>
            <w:tcW w:w="106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54</w:t>
            </w:r>
          </w:p>
        </w:tc>
        <w:tc>
          <w:tcPr>
            <w:tcW w:w="5320" w:type="dxa"/>
            <w:vAlign w:val="bottom"/>
          </w:tcPr>
          <w:p>
            <w:pPr>
              <w:ind w:left="40"/>
              <w:spacing w:after="0" w:line="193" w:lineRule="exact"/>
              <w:rPr>
                <w:sz w:val="20"/>
                <w:szCs w:val="20"/>
                <w:color w:val="auto"/>
              </w:rPr>
            </w:pPr>
            <w:r>
              <w:rPr>
                <w:rFonts w:ascii="Arial" w:cs="Arial" w:eastAsia="Arial" w:hAnsi="Arial"/>
                <w:sz w:val="17"/>
                <w:szCs w:val="17"/>
                <w:color w:val="auto"/>
              </w:rPr>
              <w:t>Payments and amortization related to interest rate swaps included in</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234</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93"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20" w:type="dxa"/>
            <w:vAlign w:val="bottom"/>
          </w:tcPr>
          <w:p>
            <w:pPr>
              <w:ind w:left="40"/>
              <w:spacing w:after="0" w:line="194" w:lineRule="exact"/>
              <w:rPr>
                <w:sz w:val="20"/>
                <w:szCs w:val="20"/>
                <w:color w:val="auto"/>
              </w:rPr>
            </w:pPr>
            <w:r>
              <w:rPr>
                <w:rFonts w:ascii="Arial" w:cs="Arial" w:eastAsia="Arial" w:hAnsi="Arial"/>
                <w:sz w:val="17"/>
                <w:szCs w:val="17"/>
                <w:color w:val="auto"/>
              </w:rPr>
              <w:t>earnings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2,211</w:t>
            </w:r>
          </w:p>
        </w:tc>
        <w:tc>
          <w:tcPr>
            <w:tcW w:w="10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2,211</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Derivative valuation adjustment</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7,926</w:t>
            </w:r>
          </w:p>
        </w:tc>
        <w:tc>
          <w:tcPr>
            <w:tcW w:w="1120" w:type="dxa"/>
            <w:vAlign w:val="bottom"/>
            <w:gridSpan w:val="2"/>
            <w:shd w:val="clear" w:color="auto" w:fill="BFBFB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7,926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Pr>
          <w:p>
            <w:pPr>
              <w:ind w:left="40"/>
              <w:spacing w:after="0"/>
              <w:rPr>
                <w:sz w:val="20"/>
                <w:szCs w:val="20"/>
                <w:color w:val="auto"/>
              </w:rPr>
            </w:pPr>
            <w:r>
              <w:rPr>
                <w:rFonts w:ascii="Arial" w:cs="Arial" w:eastAsia="Arial" w:hAnsi="Arial"/>
                <w:sz w:val="17"/>
                <w:szCs w:val="17"/>
                <w:color w:val="auto"/>
              </w:rPr>
              <w:t>Income taxes related to items of other comprehensive income/(loss):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155</w:t>
            </w:r>
          </w:p>
        </w:tc>
        <w:tc>
          <w:tcPr>
            <w:tcW w:w="80" w:type="dxa"/>
            <w:vAlign w:val="bottom"/>
            <w:shd w:val="clear" w:color="auto" w:fill="BFBFBF"/>
          </w:tcPr>
          <w:p>
            <w:pPr>
              <w:spacing w:after="0"/>
              <w:rPr>
                <w:sz w:val="16"/>
                <w:szCs w:val="16"/>
                <w:color w:val="auto"/>
              </w:rPr>
            </w:pPr>
          </w:p>
        </w:tc>
        <w:tc>
          <w:tcPr>
            <w:tcW w:w="10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155</w:t>
            </w:r>
          </w:p>
        </w:tc>
        <w:tc>
          <w:tcPr>
            <w:tcW w:w="20" w:type="dxa"/>
            <w:vAlign w:val="bottom"/>
            <w:shd w:val="clear" w:color="auto" w:fill="BFBFBF"/>
          </w:tcPr>
          <w:p>
            <w:pPr>
              <w:spacing w:after="0"/>
              <w:rPr>
                <w:sz w:val="16"/>
                <w:szCs w:val="16"/>
                <w:color w:val="auto"/>
              </w:rPr>
            </w:pP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Pension/postretirement curtailment</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155</w:t>
            </w:r>
          </w:p>
        </w:tc>
        <w:tc>
          <w:tcPr>
            <w:tcW w:w="100" w:type="dxa"/>
            <w:vAlign w:val="bottom"/>
            <w:shd w:val="clear" w:color="auto" w:fill="BFBFBF"/>
          </w:tcPr>
          <w:p>
            <w:pPr>
              <w:spacing w:after="0"/>
              <w:rPr>
                <w:sz w:val="16"/>
                <w:szCs w:val="16"/>
                <w:color w:val="auto"/>
              </w:rPr>
            </w:pPr>
          </w:p>
        </w:tc>
        <w:tc>
          <w:tcPr>
            <w:tcW w:w="1120" w:type="dxa"/>
            <w:vAlign w:val="bottom"/>
            <w:gridSpan w:val="2"/>
            <w:shd w:val="clear" w:color="auto" w:fill="BFBFB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(53)</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(53)</w:t>
            </w:r>
          </w:p>
        </w:tc>
        <w:tc>
          <w:tcPr>
            <w:tcW w:w="5320" w:type="dxa"/>
            <w:vAlign w:val="bottom"/>
          </w:tcPr>
          <w:p>
            <w:pPr>
              <w:ind w:left="40"/>
              <w:spacing w:after="0" w:line="194" w:lineRule="exact"/>
              <w:rPr>
                <w:sz w:val="20"/>
                <w:szCs w:val="20"/>
                <w:color w:val="auto"/>
              </w:rPr>
            </w:pPr>
            <w:r>
              <w:rPr>
                <w:rFonts w:ascii="Arial" w:cs="Arial" w:eastAsia="Arial" w:hAnsi="Arial"/>
                <w:sz w:val="17"/>
                <w:szCs w:val="17"/>
                <w:color w:val="auto"/>
              </w:rPr>
              <w:t>Amortization of pension liability adjustment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(108)</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80"/>
              <w:spacing w:after="0" w:line="194" w:lineRule="exact"/>
              <w:rPr>
                <w:sz w:val="20"/>
                <w:szCs w:val="20"/>
                <w:color w:val="auto"/>
              </w:rPr>
            </w:pPr>
            <w:r>
              <w:rPr>
                <w:rFonts w:ascii="Arial" w:cs="Arial" w:eastAsia="Arial" w:hAnsi="Arial"/>
                <w:sz w:val="17"/>
                <w:szCs w:val="17"/>
                <w:color w:val="auto"/>
              </w:rPr>
              <w:t>(13)</w:t>
            </w:r>
          </w:p>
        </w:tc>
        <w:tc>
          <w:tcPr>
            <w:tcW w:w="106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(13)</w:t>
            </w:r>
          </w:p>
        </w:tc>
        <w:tc>
          <w:tcPr>
            <w:tcW w:w="532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Payments related to interest rate swaps included in earnings</w:t>
            </w:r>
          </w:p>
        </w:tc>
        <w:tc>
          <w:tcPr>
            <w:tcW w:w="1020" w:type="dxa"/>
            <w:vAlign w:val="bottom"/>
            <w:gridSpan w:val="2"/>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(56)</w:t>
            </w:r>
          </w:p>
        </w:tc>
        <w:tc>
          <w:tcPr>
            <w:tcW w:w="1120" w:type="dxa"/>
            <w:vAlign w:val="bottom"/>
            <w:gridSpan w:val="2"/>
            <w:shd w:val="clear" w:color="auto" w:fill="BFBFB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(530)</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(530)</w:t>
            </w:r>
          </w:p>
        </w:tc>
        <w:tc>
          <w:tcPr>
            <w:tcW w:w="5320" w:type="dxa"/>
            <w:vAlign w:val="bottom"/>
          </w:tcPr>
          <w:p>
            <w:pPr>
              <w:ind w:left="40"/>
              <w:spacing w:after="0" w:line="194" w:lineRule="exact"/>
              <w:rPr>
                <w:sz w:val="20"/>
                <w:szCs w:val="20"/>
                <w:color w:val="auto"/>
              </w:rPr>
            </w:pPr>
            <w:r>
              <w:rPr>
                <w:rFonts w:ascii="Arial" w:cs="Arial" w:eastAsia="Arial" w:hAnsi="Arial"/>
                <w:sz w:val="17"/>
                <w:szCs w:val="17"/>
                <w:color w:val="auto"/>
              </w:rPr>
              <w:t>Derivative valuation adjustment</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(1,902)</w:t>
            </w:r>
          </w:p>
        </w:tc>
        <w:tc>
          <w:tcPr>
            <w:tcW w:w="11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(1,902)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939</w:t>
            </w:r>
          </w:p>
        </w:tc>
        <w:tc>
          <w:tcPr>
            <w:tcW w:w="80" w:type="dxa"/>
            <w:vAlign w:val="bottom"/>
            <w:tcBorders>
              <w:top w:val="single" w:sz="8" w:color="auto"/>
            </w:tcBorders>
            <w:shd w:val="clear" w:color="auto" w:fill="BFBFBF"/>
          </w:tcPr>
          <w:p>
            <w:pPr>
              <w:spacing w:after="0"/>
              <w:rPr>
                <w:sz w:val="16"/>
                <w:szCs w:val="16"/>
                <w:color w:val="auto"/>
              </w:rPr>
            </w:pPr>
          </w:p>
        </w:tc>
        <w:tc>
          <w:tcPr>
            <w:tcW w:w="9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(563)</w:t>
            </w:r>
          </w:p>
        </w:tc>
        <w:tc>
          <w:tcPr>
            <w:tcW w:w="100" w:type="dxa"/>
            <w:vAlign w:val="bottom"/>
            <w:tcBorders>
              <w:top w:val="single" w:sz="8" w:color="auto"/>
            </w:tcBorders>
            <w:shd w:val="clear" w:color="auto" w:fill="BFBFBF"/>
          </w:tcPr>
          <w:p>
            <w:pPr>
              <w:spacing w:after="0"/>
              <w:rPr>
                <w:sz w:val="16"/>
                <w:szCs w:val="16"/>
                <w:color w:val="auto"/>
              </w:rPr>
            </w:pPr>
          </w:p>
        </w:tc>
        <w:tc>
          <w:tcPr>
            <w:tcW w:w="94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376</w:t>
            </w:r>
          </w:p>
        </w:tc>
        <w:tc>
          <w:tcPr>
            <w:tcW w:w="20" w:type="dxa"/>
            <w:vAlign w:val="bottom"/>
            <w:tcBorders>
              <w:top w:val="single" w:sz="8" w:color="BFBFBF"/>
            </w:tcBorders>
            <w:shd w:val="clear" w:color="auto" w:fill="BFBFBF"/>
          </w:tcPr>
          <w:p>
            <w:pPr>
              <w:spacing w:after="0"/>
              <w:rPr>
                <w:sz w:val="16"/>
                <w:szCs w:val="16"/>
                <w:color w:val="auto"/>
              </w:rPr>
            </w:pPr>
          </w:p>
        </w:tc>
        <w:tc>
          <w:tcPr>
            <w:tcW w:w="5320" w:type="dxa"/>
            <w:vAlign w:val="bottom"/>
            <w:tcBorders>
              <w:top w:val="single" w:sz="8" w:color="BFBFBF"/>
            </w:tcBorders>
            <w:shd w:val="clear" w:color="auto" w:fill="BFBFBF"/>
          </w:tcPr>
          <w:p>
            <w:pPr>
              <w:ind w:left="40"/>
              <w:spacing w:after="0" w:line="185" w:lineRule="exact"/>
              <w:rPr>
                <w:sz w:val="20"/>
                <w:szCs w:val="20"/>
                <w:color w:val="auto"/>
              </w:rPr>
            </w:pPr>
            <w:r>
              <w:rPr>
                <w:rFonts w:ascii="Arial" w:cs="Arial" w:eastAsia="Arial" w:hAnsi="Arial"/>
                <w:sz w:val="17"/>
                <w:szCs w:val="17"/>
                <w:color w:val="auto"/>
              </w:rPr>
              <w:t>Comprehensive income</w:t>
            </w:r>
          </w:p>
        </w:tc>
        <w:tc>
          <w:tcPr>
            <w:tcW w:w="92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33,534</w:t>
            </w:r>
          </w:p>
        </w:tc>
        <w:tc>
          <w:tcPr>
            <w:tcW w:w="100" w:type="dxa"/>
            <w:vAlign w:val="bottom"/>
            <w:tcBorders>
              <w:top w:val="single" w:sz="8" w:color="BFBFBF"/>
            </w:tcBorders>
            <w:shd w:val="clear" w:color="auto" w:fill="BFBFBF"/>
          </w:tcPr>
          <w:p>
            <w:pPr>
              <w:spacing w:after="0"/>
              <w:rPr>
                <w:sz w:val="16"/>
                <w:szCs w:val="16"/>
                <w:color w:val="auto"/>
              </w:rPr>
            </w:pPr>
          </w:p>
        </w:tc>
        <w:tc>
          <w:tcPr>
            <w:tcW w:w="9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(2,118)</w:t>
            </w:r>
          </w:p>
        </w:tc>
        <w:tc>
          <w:tcPr>
            <w:tcW w:w="160" w:type="dxa"/>
            <w:vAlign w:val="bottom"/>
            <w:tcBorders>
              <w:top w:val="single" w:sz="8" w:color="BFBFBF"/>
            </w:tcBorders>
            <w:shd w:val="clear" w:color="auto" w:fill="BFBFBF"/>
          </w:tcPr>
          <w:p>
            <w:pPr>
              <w:spacing w:after="0"/>
              <w:rPr>
                <w:sz w:val="16"/>
                <w:szCs w:val="16"/>
                <w:color w:val="auto"/>
              </w:rPr>
            </w:pPr>
          </w:p>
        </w:tc>
        <w:tc>
          <w:tcPr>
            <w:tcW w:w="92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31,416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(48)</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(75)</w:t>
            </w:r>
          </w:p>
        </w:tc>
        <w:tc>
          <w:tcPr>
            <w:tcW w:w="5320" w:type="dxa"/>
            <w:vAlign w:val="bottom"/>
          </w:tcPr>
          <w:p>
            <w:pPr>
              <w:ind w:left="40"/>
              <w:spacing w:after="0" w:line="194" w:lineRule="exact"/>
              <w:rPr>
                <w:sz w:val="20"/>
                <w:szCs w:val="20"/>
                <w:color w:val="auto"/>
              </w:rPr>
            </w:pPr>
            <w:r>
              <w:rPr>
                <w:rFonts w:ascii="Arial" w:cs="Arial" w:eastAsia="Arial" w:hAnsi="Arial"/>
                <w:sz w:val="17"/>
                <w:szCs w:val="17"/>
                <w:color w:val="auto"/>
              </w:rPr>
              <w:t>Comprehensive income attributable to the noncontrolling interest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182</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(84)</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20" w:type="dxa"/>
            <w:vAlign w:val="bottom"/>
            <w:tcBorders>
              <w:top w:val="single" w:sz="8" w:color="auto"/>
              <w:bottom w:val="single" w:sz="8" w:color="auto"/>
            </w:tcBorders>
            <w:gridSpan w:val="2"/>
            <w:shd w:val="clear" w:color="auto" w:fill="BFBFBF"/>
          </w:tcPr>
          <w:p>
            <w:pPr>
              <w:jc w:val="right"/>
              <w:ind w:right="80"/>
              <w:spacing w:after="0" w:line="186" w:lineRule="exact"/>
              <w:rPr>
                <w:sz w:val="20"/>
                <w:szCs w:val="20"/>
                <w:color w:val="auto"/>
              </w:rPr>
            </w:pPr>
            <w:r>
              <w:rPr>
                <w:rFonts w:ascii="Arial" w:cs="Arial" w:eastAsia="Arial" w:hAnsi="Arial"/>
                <w:sz w:val="17"/>
                <w:szCs w:val="17"/>
                <w:color w:val="auto"/>
              </w:rPr>
              <w:t>$987</w:t>
            </w:r>
          </w:p>
        </w:tc>
        <w:tc>
          <w:tcPr>
            <w:tcW w:w="1060" w:type="dxa"/>
            <w:vAlign w:val="bottom"/>
            <w:tcBorders>
              <w:top w:val="single" w:sz="8" w:color="auto"/>
              <w:bottom w:val="single" w:sz="8" w:color="auto"/>
            </w:tcBorders>
            <w:gridSpan w:val="2"/>
            <w:shd w:val="clear" w:color="auto" w:fill="BFBFBF"/>
          </w:tcPr>
          <w:p>
            <w:pPr>
              <w:jc w:val="right"/>
              <w:ind w:right="100"/>
              <w:spacing w:after="0" w:line="186" w:lineRule="exact"/>
              <w:rPr>
                <w:sz w:val="20"/>
                <w:szCs w:val="20"/>
                <w:color w:val="auto"/>
              </w:rPr>
            </w:pPr>
            <w:r>
              <w:rPr>
                <w:rFonts w:ascii="Arial" w:cs="Arial" w:eastAsia="Arial" w:hAnsi="Arial"/>
                <w:sz w:val="17"/>
                <w:szCs w:val="17"/>
                <w:color w:val="auto"/>
              </w:rPr>
              <w:t>($536)</w:t>
            </w:r>
          </w:p>
        </w:tc>
        <w:tc>
          <w:tcPr>
            <w:tcW w:w="94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$451</w:t>
            </w:r>
          </w:p>
        </w:tc>
        <w:tc>
          <w:tcPr>
            <w:tcW w:w="20" w:type="dxa"/>
            <w:vAlign w:val="bottom"/>
            <w:tcBorders>
              <w:top w:val="single" w:sz="8" w:color="BFBFBF"/>
              <w:bottom w:val="single" w:sz="8" w:color="BFBFBF"/>
            </w:tcBorders>
            <w:shd w:val="clear" w:color="auto" w:fill="BFBFBF"/>
          </w:tcPr>
          <w:p>
            <w:pPr>
              <w:spacing w:after="0"/>
              <w:rPr>
                <w:sz w:val="16"/>
                <w:szCs w:val="16"/>
                <w:color w:val="auto"/>
              </w:rPr>
            </w:pPr>
          </w:p>
        </w:tc>
        <w:tc>
          <w:tcPr>
            <w:tcW w:w="5320" w:type="dxa"/>
            <w:vAlign w:val="bottom"/>
            <w:tcBorders>
              <w:top w:val="single" w:sz="8" w:color="BFBFBF"/>
              <w:bottom w:val="single" w:sz="8" w:color="BFBFBF"/>
            </w:tcBorders>
            <w:shd w:val="clear" w:color="auto" w:fill="BFBFBF"/>
          </w:tcPr>
          <w:p>
            <w:pPr>
              <w:ind w:left="40"/>
              <w:spacing w:after="0" w:line="186" w:lineRule="exact"/>
              <w:rPr>
                <w:sz w:val="20"/>
                <w:szCs w:val="20"/>
                <w:color w:val="auto"/>
              </w:rPr>
            </w:pPr>
            <w:r>
              <w:rPr>
                <w:rFonts w:ascii="Arial" w:cs="Arial" w:eastAsia="Arial" w:hAnsi="Arial"/>
                <w:sz w:val="17"/>
                <w:szCs w:val="17"/>
                <w:color w:val="auto"/>
              </w:rPr>
              <w:t>Comprehensive income attributable to the Company</w:t>
            </w:r>
          </w:p>
        </w:tc>
        <w:tc>
          <w:tcPr>
            <w:tcW w:w="92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$33,352</w:t>
            </w:r>
          </w:p>
        </w:tc>
        <w:tc>
          <w:tcPr>
            <w:tcW w:w="100" w:type="dxa"/>
            <w:vAlign w:val="bottom"/>
            <w:tcBorders>
              <w:top w:val="single" w:sz="8" w:color="BFBFBF"/>
              <w:bottom w:val="single" w:sz="8" w:color="BFBFBF"/>
            </w:tcBorders>
            <w:shd w:val="clear" w:color="auto" w:fill="BFBFBF"/>
          </w:tcPr>
          <w:p>
            <w:pPr>
              <w:spacing w:after="0"/>
              <w:rPr>
                <w:sz w:val="16"/>
                <w:szCs w:val="16"/>
                <w:color w:val="auto"/>
              </w:rPr>
            </w:pPr>
          </w:p>
        </w:tc>
        <w:tc>
          <w:tcPr>
            <w:tcW w:w="96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($2,034)</w:t>
            </w:r>
          </w:p>
        </w:tc>
        <w:tc>
          <w:tcPr>
            <w:tcW w:w="160" w:type="dxa"/>
            <w:vAlign w:val="bottom"/>
            <w:tcBorders>
              <w:top w:val="single" w:sz="8" w:color="BFBFBF"/>
              <w:bottom w:val="single" w:sz="8" w:color="BFBFBF"/>
            </w:tcBorders>
            <w:shd w:val="clear" w:color="auto" w:fill="BFBFBF"/>
          </w:tcPr>
          <w:p>
            <w:pPr>
              <w:spacing w:after="0"/>
              <w:rPr>
                <w:sz w:val="16"/>
                <w:szCs w:val="16"/>
                <w:color w:val="auto"/>
              </w:rPr>
            </w:pPr>
          </w:p>
        </w:tc>
        <w:tc>
          <w:tcPr>
            <w:tcW w:w="92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$31,318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color w:val="auto"/>
        </w:rPr>
        <w:t>ALBANY INTERNATIONAL CORP.</w:t>
      </w:r>
    </w:p>
    <w:p>
      <w:pPr>
        <w:jc w:val="center"/>
        <w:spacing w:after="0" w:line="237" w:lineRule="auto"/>
        <w:rPr>
          <w:sz w:val="20"/>
          <w:szCs w:val="20"/>
          <w:color w:val="auto"/>
        </w:rPr>
      </w:pPr>
      <w:r>
        <w:rPr>
          <w:rFonts w:ascii="Arial" w:cs="Arial" w:eastAsia="Arial" w:hAnsi="Arial"/>
          <w:sz w:val="17"/>
          <w:szCs w:val="17"/>
          <w:color w:val="auto"/>
        </w:rPr>
        <w:t>CONSOLIDATED BALANCE SHEET</w:t>
      </w:r>
    </w:p>
    <w:p>
      <w:pPr>
        <w:jc w:val="center"/>
        <w:spacing w:after="0" w:line="238" w:lineRule="auto"/>
        <w:rPr>
          <w:sz w:val="20"/>
          <w:szCs w:val="20"/>
          <w:color w:val="auto"/>
        </w:rPr>
      </w:pPr>
      <w:r>
        <w:rPr>
          <w:rFonts w:ascii="Arial" w:cs="Arial" w:eastAsia="Arial" w:hAnsi="Arial"/>
          <w:sz w:val="17"/>
          <w:szCs w:val="17"/>
          <w:color w:val="auto"/>
        </w:rPr>
        <w:t>(in thousands, except share data)</w:t>
      </w: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7"/>
                <w:szCs w:val="17"/>
                <w:color w:val="auto"/>
              </w:rPr>
              <w:t>As adjusted for</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Adjustments to</w:t>
            </w:r>
          </w:p>
        </w:tc>
        <w:tc>
          <w:tcPr>
            <w:tcW w:w="580" w:type="dxa"/>
            <w:vAlign w:val="bottom"/>
          </w:tcPr>
          <w:p>
            <w:pPr>
              <w:spacing w:after="0"/>
              <w:rPr>
                <w:sz w:val="16"/>
                <w:szCs w:val="16"/>
                <w:color w:val="auto"/>
              </w:rPr>
            </w:pPr>
          </w:p>
        </w:tc>
        <w:tc>
          <w:tcPr>
            <w:tcW w:w="14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auto"/>
              </w:rPr>
              <w:t>June 30, 2018 to</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8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As reported June</w:t>
            </w:r>
          </w:p>
        </w:tc>
        <w:tc>
          <w:tcPr>
            <w:tcW w:w="14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9"/>
              </w:rPr>
              <w:t>reverse effects of</w:t>
            </w:r>
          </w:p>
        </w:tc>
        <w:tc>
          <w:tcPr>
            <w:tcW w:w="580" w:type="dxa"/>
            <w:vAlign w:val="bottom"/>
          </w:tcPr>
          <w:p>
            <w:pPr>
              <w:spacing w:after="0"/>
              <w:rPr>
                <w:sz w:val="16"/>
                <w:szCs w:val="16"/>
                <w:color w:val="auto"/>
              </w:rPr>
            </w:pPr>
          </w:p>
        </w:tc>
        <w:tc>
          <w:tcPr>
            <w:tcW w:w="1460" w:type="dxa"/>
            <w:vAlign w:val="bottom"/>
            <w:gridSpan w:val="3"/>
          </w:tcPr>
          <w:p>
            <w:pPr>
              <w:jc w:val="center"/>
              <w:spacing w:after="0" w:line="194" w:lineRule="exact"/>
              <w:rPr>
                <w:sz w:val="20"/>
                <w:szCs w:val="20"/>
                <w:color w:val="auto"/>
              </w:rPr>
            </w:pPr>
            <w:r>
              <w:rPr>
                <w:rFonts w:ascii="Arial" w:cs="Arial" w:eastAsia="Arial" w:hAnsi="Arial"/>
                <w:sz w:val="17"/>
                <w:szCs w:val="17"/>
                <w:color w:val="auto"/>
              </w:rPr>
              <w:t>exclude adoption</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1980" w:type="dxa"/>
            <w:vAlign w:val="bottom"/>
            <w:gridSpan w:val="2"/>
          </w:tcPr>
          <w:p>
            <w:pPr>
              <w:jc w:val="right"/>
              <w:ind w:right="214"/>
              <w:spacing w:after="0" w:line="194" w:lineRule="exact"/>
              <w:rPr>
                <w:sz w:val="20"/>
                <w:szCs w:val="20"/>
                <w:color w:val="auto"/>
              </w:rPr>
            </w:pPr>
            <w:r>
              <w:rPr>
                <w:rFonts w:ascii="Arial" w:cs="Arial" w:eastAsia="Arial" w:hAnsi="Arial"/>
                <w:sz w:val="17"/>
                <w:szCs w:val="17"/>
                <w:color w:val="auto"/>
              </w:rPr>
              <w:t>30, 2018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ASC 606</w:t>
            </w:r>
          </w:p>
        </w:tc>
        <w:tc>
          <w:tcPr>
            <w:tcW w:w="580" w:type="dxa"/>
            <w:vAlign w:val="bottom"/>
          </w:tcPr>
          <w:p>
            <w:pPr>
              <w:spacing w:after="0"/>
              <w:rPr>
                <w:sz w:val="16"/>
                <w:szCs w:val="16"/>
                <w:color w:val="auto"/>
              </w:rPr>
            </w:pPr>
          </w:p>
        </w:tc>
        <w:tc>
          <w:tcPr>
            <w:tcW w:w="14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auto"/>
              </w:rPr>
              <w:t>of ASC 606</w:t>
            </w:r>
          </w:p>
        </w:tc>
        <w:tc>
          <w:tcPr>
            <w:tcW w:w="0" w:type="dxa"/>
            <w:vAlign w:val="bottom"/>
          </w:tcPr>
          <w:p>
            <w:pPr>
              <w:spacing w:after="0"/>
              <w:rPr>
                <w:sz w:val="1"/>
                <w:szCs w:val="1"/>
                <w:color w:val="auto"/>
              </w:rPr>
            </w:pPr>
          </w:p>
        </w:tc>
      </w:tr>
      <w:tr>
        <w:trPr>
          <w:trHeight w:val="186"/>
        </w:trPr>
        <w:tc>
          <w:tcPr>
            <w:tcW w:w="5260" w:type="dxa"/>
            <w:vAlign w:val="bottom"/>
          </w:tcPr>
          <w:p>
            <w:pPr>
              <w:spacing w:after="0" w:line="186" w:lineRule="exact"/>
              <w:rPr>
                <w:sz w:val="20"/>
                <w:szCs w:val="20"/>
                <w:color w:val="auto"/>
              </w:rPr>
            </w:pPr>
            <w:r>
              <w:rPr>
                <w:rFonts w:ascii="Arial" w:cs="Arial" w:eastAsia="Arial" w:hAnsi="Arial"/>
                <w:sz w:val="17"/>
                <w:szCs w:val="17"/>
                <w:color w:val="auto"/>
              </w:rPr>
              <w:t>ASSETS</w:t>
            </w:r>
          </w:p>
        </w:tc>
        <w:tc>
          <w:tcPr>
            <w:tcW w:w="5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Cash and cash equivalents</w:t>
            </w:r>
          </w:p>
        </w:tc>
        <w:tc>
          <w:tcPr>
            <w:tcW w:w="2080" w:type="dxa"/>
            <w:vAlign w:val="bottom"/>
            <w:gridSpan w:val="3"/>
            <w:shd w:val="clear" w:color="auto" w:fill="C0C0C0"/>
          </w:tcPr>
          <w:p>
            <w:pPr>
              <w:jc w:val="right"/>
              <w:ind w:right="100"/>
              <w:spacing w:after="0" w:line="194" w:lineRule="exact"/>
              <w:rPr>
                <w:sz w:val="20"/>
                <w:szCs w:val="20"/>
                <w:color w:val="auto"/>
              </w:rPr>
            </w:pPr>
            <w:r>
              <w:rPr>
                <w:rFonts w:ascii="Arial" w:cs="Arial" w:eastAsia="Arial" w:hAnsi="Arial"/>
                <w:sz w:val="17"/>
                <w:szCs w:val="17"/>
                <w:color w:val="auto"/>
              </w:rPr>
              <w:t>$154,744</w:t>
            </w:r>
          </w:p>
        </w:tc>
        <w:tc>
          <w:tcPr>
            <w:tcW w:w="580" w:type="dxa"/>
            <w:vAlign w:val="bottom"/>
            <w:shd w:val="clear" w:color="auto" w:fill="C0C0C0"/>
          </w:tcPr>
          <w:p>
            <w:pPr>
              <w:spacing w:after="0"/>
              <w:rPr>
                <w:sz w:val="16"/>
                <w:szCs w:val="16"/>
                <w:color w:val="auto"/>
              </w:rPr>
            </w:pPr>
          </w:p>
        </w:tc>
        <w:tc>
          <w:tcPr>
            <w:tcW w:w="1460" w:type="dxa"/>
            <w:vAlign w:val="bottom"/>
            <w:gridSpan w:val="2"/>
            <w:shd w:val="clear" w:color="auto" w:fill="BFBFBF"/>
          </w:tcPr>
          <w:p>
            <w:pPr>
              <w:jc w:val="right"/>
              <w:ind w:right="19"/>
              <w:spacing w:after="0" w:line="194" w:lineRule="exact"/>
              <w:rPr>
                <w:sz w:val="20"/>
                <w:szCs w:val="20"/>
                <w:color w:val="auto"/>
              </w:rPr>
            </w:pPr>
            <w:r>
              <w:rPr>
                <w:rFonts w:ascii="Arial" w:cs="Arial" w:eastAsia="Arial" w:hAnsi="Arial"/>
                <w:sz w:val="17"/>
                <w:szCs w:val="17"/>
                <w:color w:val="auto"/>
              </w:rPr>
              <w:t>$-</w:t>
            </w:r>
          </w:p>
        </w:tc>
        <w:tc>
          <w:tcPr>
            <w:tcW w:w="1960" w:type="dxa"/>
            <w:vAlign w:val="bottom"/>
            <w:gridSpan w:val="3"/>
            <w:shd w:val="clear" w:color="auto" w:fill="C0C0C0"/>
          </w:tcPr>
          <w:p>
            <w:pPr>
              <w:jc w:val="right"/>
              <w:ind w:right="20"/>
              <w:spacing w:after="0" w:line="194" w:lineRule="exact"/>
              <w:rPr>
                <w:sz w:val="20"/>
                <w:szCs w:val="20"/>
                <w:color w:val="auto"/>
              </w:rPr>
            </w:pPr>
            <w:r>
              <w:rPr>
                <w:rFonts w:ascii="Arial" w:cs="Arial" w:eastAsia="Arial" w:hAnsi="Arial"/>
                <w:sz w:val="17"/>
                <w:szCs w:val="17"/>
                <w:color w:val="auto"/>
              </w:rPr>
              <w:t>$154,744</w:t>
            </w:r>
          </w:p>
        </w:tc>
        <w:tc>
          <w:tcPr>
            <w:tcW w:w="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80"/>
              <w:spacing w:after="0" w:line="194" w:lineRule="exact"/>
              <w:rPr>
                <w:sz w:val="20"/>
                <w:szCs w:val="20"/>
                <w:color w:val="auto"/>
              </w:rPr>
            </w:pPr>
            <w:r>
              <w:rPr>
                <w:rFonts w:ascii="Arial" w:cs="Arial" w:eastAsia="Arial" w:hAnsi="Arial"/>
                <w:sz w:val="17"/>
                <w:szCs w:val="17"/>
                <w:color w:val="auto"/>
              </w:rPr>
              <w:t>Accounts receivable, net</w:t>
            </w:r>
          </w:p>
        </w:tc>
        <w:tc>
          <w:tcPr>
            <w:tcW w:w="1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249,482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(4,286)</w:t>
            </w: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245,196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Contract assets</w:t>
            </w:r>
          </w:p>
        </w:tc>
        <w:tc>
          <w:tcPr>
            <w:tcW w:w="208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59,244</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(59,244)</w:t>
            </w: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Inventories</w:t>
            </w:r>
          </w:p>
        </w:tc>
        <w:tc>
          <w:tcPr>
            <w:tcW w:w="20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97,659</w:t>
            </w:r>
          </w:p>
        </w:tc>
        <w:tc>
          <w:tcPr>
            <w:tcW w:w="580" w:type="dxa"/>
            <w:vAlign w:val="bottom"/>
          </w:tcPr>
          <w:p>
            <w:pPr>
              <w:spacing w:after="0"/>
              <w:rPr>
                <w:sz w:val="16"/>
                <w:szCs w:val="16"/>
                <w:color w:val="auto"/>
              </w:rPr>
            </w:pPr>
          </w:p>
        </w:tc>
        <w:tc>
          <w:tcPr>
            <w:tcW w:w="1460" w:type="dxa"/>
            <w:vAlign w:val="bottom"/>
            <w:gridSpan w:val="2"/>
          </w:tcPr>
          <w:p>
            <w:pPr>
              <w:jc w:val="right"/>
              <w:ind w:right="19"/>
              <w:spacing w:after="0" w:line="194" w:lineRule="exact"/>
              <w:rPr>
                <w:sz w:val="20"/>
                <w:szCs w:val="20"/>
                <w:color w:val="auto"/>
              </w:rPr>
            </w:pPr>
            <w:r>
              <w:rPr>
                <w:rFonts w:ascii="Arial" w:cs="Arial" w:eastAsia="Arial" w:hAnsi="Arial"/>
                <w:sz w:val="17"/>
                <w:szCs w:val="17"/>
                <w:color w:val="auto"/>
              </w:rPr>
              <w:t>51,736</w:t>
            </w: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149,395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Income taxes prepaid and receivable</w:t>
            </w:r>
          </w:p>
        </w:tc>
        <w:tc>
          <w:tcPr>
            <w:tcW w:w="208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6,087</w:t>
            </w: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6"/>
                <w:szCs w:val="16"/>
                <w:color w:val="auto"/>
              </w:rPr>
            </w:pP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6,087</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2080" w:type="dxa"/>
            <w:vAlign w:val="bottom"/>
            <w:gridSpan w:val="3"/>
          </w:tcPr>
          <w:p>
            <w:pPr>
              <w:jc w:val="right"/>
              <w:ind w:right="100"/>
              <w:spacing w:after="0"/>
              <w:rPr>
                <w:sz w:val="20"/>
                <w:szCs w:val="20"/>
                <w:color w:val="auto"/>
              </w:rPr>
            </w:pPr>
            <w:r>
              <w:rPr>
                <w:rFonts w:ascii="Arial" w:cs="Arial" w:eastAsia="Arial" w:hAnsi="Arial"/>
                <w:sz w:val="17"/>
                <w:szCs w:val="17"/>
                <w:color w:val="auto"/>
              </w:rPr>
              <w:t>19,559</w:t>
            </w:r>
          </w:p>
        </w:tc>
        <w:tc>
          <w:tcPr>
            <w:tcW w:w="5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7"/>
                <w:szCs w:val="17"/>
                <w:color w:val="auto"/>
              </w:rPr>
              <w:t>19,559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260" w:type="dxa"/>
            <w:vAlign w:val="bottom"/>
            <w:tcBorders>
              <w:top w:val="single" w:sz="8" w:color="BFBFBF"/>
            </w:tcBorders>
            <w:shd w:val="clear" w:color="auto" w:fill="BFBFBF"/>
          </w:tcPr>
          <w:p>
            <w:pPr>
              <w:ind w:left="280"/>
              <w:spacing w:after="0" w:line="186" w:lineRule="exact"/>
              <w:rPr>
                <w:sz w:val="20"/>
                <w:szCs w:val="20"/>
                <w:color w:val="auto"/>
              </w:rPr>
            </w:pPr>
            <w:r>
              <w:rPr>
                <w:rFonts w:ascii="Arial" w:cs="Arial" w:eastAsia="Arial" w:hAnsi="Arial"/>
                <w:sz w:val="17"/>
                <w:szCs w:val="17"/>
                <w:color w:val="auto"/>
              </w:rPr>
              <w:t>Total current assets</w:t>
            </w:r>
          </w:p>
        </w:tc>
        <w:tc>
          <w:tcPr>
            <w:tcW w:w="580" w:type="dxa"/>
            <w:vAlign w:val="bottom"/>
            <w:tcBorders>
              <w:top w:val="single" w:sz="8" w:color="BFBFBF"/>
            </w:tcBorders>
            <w:shd w:val="clear" w:color="auto" w:fill="BFBFBF"/>
          </w:tcPr>
          <w:p>
            <w:pPr>
              <w:spacing w:after="0"/>
              <w:rPr>
                <w:sz w:val="16"/>
                <w:szCs w:val="16"/>
                <w:color w:val="auto"/>
              </w:rPr>
            </w:pPr>
          </w:p>
        </w:tc>
        <w:tc>
          <w:tcPr>
            <w:tcW w:w="140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586,775</w:t>
            </w:r>
          </w:p>
        </w:tc>
        <w:tc>
          <w:tcPr>
            <w:tcW w:w="100" w:type="dxa"/>
            <w:vAlign w:val="bottom"/>
            <w:tcBorders>
              <w:top w:val="single" w:sz="8" w:color="BFBFBF"/>
            </w:tcBorders>
            <w:shd w:val="clear" w:color="auto" w:fill="BFBFBF"/>
          </w:tcPr>
          <w:p>
            <w:pPr>
              <w:spacing w:after="0"/>
              <w:rPr>
                <w:sz w:val="16"/>
                <w:szCs w:val="16"/>
                <w:color w:val="auto"/>
              </w:rPr>
            </w:pPr>
          </w:p>
        </w:tc>
        <w:tc>
          <w:tcPr>
            <w:tcW w:w="580" w:type="dxa"/>
            <w:vAlign w:val="bottom"/>
            <w:tcBorders>
              <w:top w:val="single" w:sz="8" w:color="BFBFBF"/>
            </w:tcBorders>
            <w:shd w:val="clear" w:color="auto" w:fill="BFBFBF"/>
          </w:tcPr>
          <w:p>
            <w:pPr>
              <w:spacing w:after="0"/>
              <w:rPr>
                <w:sz w:val="16"/>
                <w:szCs w:val="16"/>
                <w:color w:val="auto"/>
              </w:rPr>
            </w:pPr>
          </w:p>
        </w:tc>
        <w:tc>
          <w:tcPr>
            <w:tcW w:w="13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(11,794)</w:t>
            </w:r>
          </w:p>
        </w:tc>
        <w:tc>
          <w:tcPr>
            <w:tcW w:w="100" w:type="dxa"/>
            <w:vAlign w:val="bottom"/>
            <w:tcBorders>
              <w:top w:val="single" w:sz="8" w:color="BFBFBF"/>
            </w:tcBorders>
            <w:shd w:val="clear" w:color="auto" w:fill="BFBFBF"/>
          </w:tcPr>
          <w:p>
            <w:pPr>
              <w:spacing w:after="0"/>
              <w:rPr>
                <w:sz w:val="16"/>
                <w:szCs w:val="16"/>
                <w:color w:val="auto"/>
              </w:rPr>
            </w:pPr>
          </w:p>
        </w:tc>
        <w:tc>
          <w:tcPr>
            <w:tcW w:w="580" w:type="dxa"/>
            <w:vAlign w:val="bottom"/>
            <w:tcBorders>
              <w:top w:val="single" w:sz="8" w:color="BFBFBF"/>
            </w:tcBorders>
            <w:shd w:val="clear" w:color="auto" w:fill="BFBFBF"/>
          </w:tcPr>
          <w:p>
            <w:pPr>
              <w:spacing w:after="0"/>
              <w:rPr>
                <w:sz w:val="16"/>
                <w:szCs w:val="16"/>
                <w:color w:val="auto"/>
              </w:rPr>
            </w:pPr>
          </w:p>
        </w:tc>
        <w:tc>
          <w:tcPr>
            <w:tcW w:w="13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574,981</w:t>
            </w:r>
          </w:p>
        </w:tc>
        <w:tc>
          <w:tcPr>
            <w:tcW w:w="20" w:type="dxa"/>
            <w:vAlign w:val="bottom"/>
            <w:tcBorders>
              <w:top w:val="single" w:sz="8" w:color="BFBFBF"/>
            </w:tcBorders>
            <w:shd w:val="clear" w:color="auto" w:fill="BFBFBF"/>
          </w:tcPr>
          <w:p>
            <w:pPr>
              <w:spacing w:after="0"/>
              <w:rPr>
                <w:sz w:val="16"/>
                <w:szCs w:val="16"/>
                <w:color w:val="auto"/>
              </w:rPr>
            </w:pPr>
          </w:p>
        </w:tc>
        <w:tc>
          <w:tcPr>
            <w:tcW w:w="8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5260" w:type="dxa"/>
            <w:vAlign w:val="bottom"/>
          </w:tcPr>
          <w:p>
            <w:pPr>
              <w:ind w:left="100"/>
              <w:spacing w:after="0"/>
              <w:rPr>
                <w:sz w:val="20"/>
                <w:szCs w:val="20"/>
                <w:color w:val="auto"/>
              </w:rPr>
            </w:pPr>
            <w:r>
              <w:rPr>
                <w:rFonts w:ascii="Arial" w:cs="Arial" w:eastAsia="Arial" w:hAnsi="Arial"/>
                <w:sz w:val="17"/>
                <w:szCs w:val="17"/>
                <w:color w:val="auto"/>
              </w:rPr>
              <w:t>Property, plant and equipment, net</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450,694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7"/>
                <w:szCs w:val="17"/>
                <w:color w:val="auto"/>
              </w:rPr>
              <w:t>450,694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Intangibles, net</w:t>
            </w:r>
          </w:p>
        </w:tc>
        <w:tc>
          <w:tcPr>
            <w:tcW w:w="208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52,322</w:t>
            </w: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6"/>
                <w:szCs w:val="16"/>
                <w:color w:val="auto"/>
              </w:rPr>
            </w:pP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52,322</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Goodwill</w:t>
            </w:r>
          </w:p>
        </w:tc>
        <w:tc>
          <w:tcPr>
            <w:tcW w:w="1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165,474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165,474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Deferred income taxes</w:t>
            </w:r>
          </w:p>
        </w:tc>
        <w:tc>
          <w:tcPr>
            <w:tcW w:w="208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81,237</w:t>
            </w: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(648)</w:t>
            </w: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80,589</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Noncurrent receivables</w:t>
            </w:r>
          </w:p>
        </w:tc>
        <w:tc>
          <w:tcPr>
            <w:tcW w:w="20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36,981</w:t>
            </w: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36,981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100"/>
              <w:spacing w:after="0"/>
              <w:rPr>
                <w:sz w:val="20"/>
                <w:szCs w:val="20"/>
                <w:color w:val="auto"/>
              </w:rPr>
            </w:pPr>
            <w:r>
              <w:rPr>
                <w:rFonts w:ascii="Arial" w:cs="Arial" w:eastAsia="Arial" w:hAnsi="Arial"/>
                <w:sz w:val="17"/>
                <w:szCs w:val="17"/>
                <w:color w:val="auto"/>
              </w:rPr>
              <w:t>Other assets</w:t>
            </w:r>
          </w:p>
        </w:tc>
        <w:tc>
          <w:tcPr>
            <w:tcW w:w="580" w:type="dxa"/>
            <w:vAlign w:val="bottom"/>
            <w:shd w:val="clear" w:color="auto" w:fill="BFBFBF"/>
          </w:tcPr>
          <w:p>
            <w:pPr>
              <w:spacing w:after="0"/>
              <w:rPr>
                <w:sz w:val="17"/>
                <w:szCs w:val="17"/>
                <w:color w:val="auto"/>
              </w:rPr>
            </w:pPr>
          </w:p>
        </w:tc>
        <w:tc>
          <w:tcPr>
            <w:tcW w:w="1400" w:type="dxa"/>
            <w:vAlign w:val="bottom"/>
            <w:shd w:val="clear" w:color="auto" w:fill="BFBFBF"/>
          </w:tcPr>
          <w:p>
            <w:pPr>
              <w:jc w:val="right"/>
              <w:spacing w:after="0"/>
              <w:rPr>
                <w:sz w:val="20"/>
                <w:szCs w:val="20"/>
                <w:color w:val="auto"/>
              </w:rPr>
            </w:pPr>
            <w:r>
              <w:rPr>
                <w:rFonts w:ascii="Arial" w:cs="Arial" w:eastAsia="Arial" w:hAnsi="Arial"/>
                <w:sz w:val="17"/>
                <w:szCs w:val="17"/>
                <w:color w:val="auto"/>
              </w:rPr>
              <w:t>48,978</w:t>
            </w:r>
          </w:p>
        </w:tc>
        <w:tc>
          <w:tcPr>
            <w:tcW w:w="1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spacing w:after="0"/>
              <w:rPr>
                <w:sz w:val="20"/>
                <w:szCs w:val="20"/>
                <w:color w:val="auto"/>
              </w:rPr>
            </w:pPr>
            <w:r>
              <w:rPr>
                <w:rFonts w:ascii="Arial" w:cs="Arial" w:eastAsia="Arial" w:hAnsi="Arial"/>
                <w:sz w:val="17"/>
                <w:szCs w:val="17"/>
                <w:color w:val="auto"/>
              </w:rPr>
              <w:t>(1,256)</w:t>
            </w:r>
          </w:p>
        </w:tc>
        <w:tc>
          <w:tcPr>
            <w:tcW w:w="1960" w:type="dxa"/>
            <w:vAlign w:val="bottom"/>
            <w:gridSpan w:val="3"/>
            <w:shd w:val="clear" w:color="auto" w:fill="BFBFBF"/>
          </w:tcPr>
          <w:p>
            <w:pPr>
              <w:jc w:val="right"/>
              <w:ind w:right="20"/>
              <w:spacing w:after="0"/>
              <w:rPr>
                <w:sz w:val="20"/>
                <w:szCs w:val="20"/>
                <w:color w:val="auto"/>
              </w:rPr>
            </w:pPr>
            <w:r>
              <w:rPr>
                <w:rFonts w:ascii="Arial" w:cs="Arial" w:eastAsia="Arial" w:hAnsi="Arial"/>
                <w:sz w:val="17"/>
                <w:szCs w:val="17"/>
                <w:color w:val="auto"/>
              </w:rPr>
              <w:t>47,722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60" w:type="dxa"/>
            <w:vAlign w:val="bottom"/>
          </w:tcPr>
          <w:p>
            <w:pPr>
              <w:ind w:left="280"/>
              <w:spacing w:after="0" w:line="185" w:lineRule="exact"/>
              <w:rPr>
                <w:sz w:val="20"/>
                <w:szCs w:val="20"/>
                <w:color w:val="auto"/>
              </w:rPr>
            </w:pPr>
            <w:r>
              <w:rPr>
                <w:rFonts w:ascii="Arial" w:cs="Arial" w:eastAsia="Arial" w:hAnsi="Arial"/>
                <w:sz w:val="17"/>
                <w:szCs w:val="17"/>
                <w:color w:val="auto"/>
              </w:rPr>
              <w:t>Total assets</w:t>
            </w:r>
          </w:p>
        </w:tc>
        <w:tc>
          <w:tcPr>
            <w:tcW w:w="5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$1,422,461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$1,408,763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Notes and loans payable</w:t>
            </w:r>
          </w:p>
        </w:tc>
        <w:tc>
          <w:tcPr>
            <w:tcW w:w="198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$26</w:t>
            </w: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9"/>
              <w:spacing w:after="0" w:line="194" w:lineRule="exact"/>
              <w:rPr>
                <w:sz w:val="20"/>
                <w:szCs w:val="20"/>
                <w:color w:val="auto"/>
              </w:rPr>
            </w:pPr>
            <w:r>
              <w:rPr>
                <w:rFonts w:ascii="Arial" w:cs="Arial" w:eastAsia="Arial" w:hAnsi="Arial"/>
                <w:sz w:val="17"/>
                <w:szCs w:val="17"/>
                <w:color w:val="auto"/>
              </w:rPr>
              <w:t>$-</w:t>
            </w: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$26</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80"/>
              <w:spacing w:after="0" w:line="194" w:lineRule="exact"/>
              <w:rPr>
                <w:sz w:val="20"/>
                <w:szCs w:val="20"/>
                <w:color w:val="auto"/>
              </w:rPr>
            </w:pPr>
            <w:r>
              <w:rPr>
                <w:rFonts w:ascii="Arial" w:cs="Arial" w:eastAsia="Arial" w:hAnsi="Arial"/>
                <w:sz w:val="17"/>
                <w:szCs w:val="17"/>
                <w:color w:val="auto"/>
              </w:rPr>
              <w:t>Accounts payable</w:t>
            </w:r>
          </w:p>
        </w:tc>
        <w:tc>
          <w:tcPr>
            <w:tcW w:w="20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54,752</w:t>
            </w: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54,752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80"/>
              <w:spacing w:after="0" w:line="194" w:lineRule="exact"/>
              <w:rPr>
                <w:sz w:val="20"/>
                <w:szCs w:val="20"/>
                <w:color w:val="auto"/>
              </w:rPr>
            </w:pPr>
            <w:r>
              <w:rPr>
                <w:rFonts w:ascii="Arial" w:cs="Arial" w:eastAsia="Arial" w:hAnsi="Arial"/>
                <w:sz w:val="17"/>
                <w:szCs w:val="17"/>
                <w:color w:val="auto"/>
              </w:rPr>
              <w:t>Accrued liabilities</w:t>
            </w:r>
          </w:p>
        </w:tc>
        <w:tc>
          <w:tcPr>
            <w:tcW w:w="198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125,255</w:t>
            </w: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(17,485)</w:t>
            </w: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107,770</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Current maturities of long-term debt</w:t>
            </w:r>
          </w:p>
        </w:tc>
        <w:tc>
          <w:tcPr>
            <w:tcW w:w="20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1,844</w:t>
            </w: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1,844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100"/>
              <w:spacing w:after="0"/>
              <w:rPr>
                <w:sz w:val="20"/>
                <w:szCs w:val="20"/>
                <w:color w:val="auto"/>
              </w:rPr>
            </w:pPr>
            <w:r>
              <w:rPr>
                <w:rFonts w:ascii="Arial" w:cs="Arial" w:eastAsia="Arial" w:hAnsi="Arial"/>
                <w:sz w:val="17"/>
                <w:szCs w:val="17"/>
                <w:color w:val="auto"/>
              </w:rPr>
              <w:t>Income taxes payable</w:t>
            </w:r>
          </w:p>
        </w:tc>
        <w:tc>
          <w:tcPr>
            <w:tcW w:w="2080" w:type="dxa"/>
            <w:vAlign w:val="bottom"/>
            <w:gridSpan w:val="3"/>
            <w:shd w:val="clear" w:color="auto" w:fill="BFBFBF"/>
          </w:tcPr>
          <w:p>
            <w:pPr>
              <w:jc w:val="right"/>
              <w:ind w:right="100"/>
              <w:spacing w:after="0"/>
              <w:rPr>
                <w:sz w:val="20"/>
                <w:szCs w:val="20"/>
                <w:color w:val="auto"/>
              </w:rPr>
            </w:pPr>
            <w:r>
              <w:rPr>
                <w:rFonts w:ascii="Arial" w:cs="Arial" w:eastAsia="Arial" w:hAnsi="Arial"/>
                <w:sz w:val="17"/>
                <w:szCs w:val="17"/>
                <w:color w:val="auto"/>
              </w:rPr>
              <w:t>14,620</w:t>
            </w:r>
          </w:p>
        </w:tc>
        <w:tc>
          <w:tcPr>
            <w:tcW w:w="580" w:type="dxa"/>
            <w:vAlign w:val="bottom"/>
            <w:shd w:val="clear" w:color="auto" w:fill="BFBFBF"/>
          </w:tcPr>
          <w:p>
            <w:pPr>
              <w:spacing w:after="0"/>
              <w:rPr>
                <w:sz w:val="17"/>
                <w:szCs w:val="17"/>
                <w:color w:val="auto"/>
              </w:rPr>
            </w:pPr>
          </w:p>
        </w:tc>
        <w:tc>
          <w:tcPr>
            <w:tcW w:w="1360" w:type="dxa"/>
            <w:vAlign w:val="bottom"/>
            <w:shd w:val="clear" w:color="auto" w:fill="BFBFB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7"/>
                <w:szCs w:val="17"/>
                <w:color w:val="auto"/>
              </w:rPr>
            </w:pPr>
          </w:p>
        </w:tc>
        <w:tc>
          <w:tcPr>
            <w:tcW w:w="1960" w:type="dxa"/>
            <w:vAlign w:val="bottom"/>
            <w:gridSpan w:val="3"/>
            <w:shd w:val="clear" w:color="auto" w:fill="BFBFBF"/>
          </w:tcPr>
          <w:p>
            <w:pPr>
              <w:jc w:val="right"/>
              <w:ind w:right="20"/>
              <w:spacing w:after="0"/>
              <w:rPr>
                <w:sz w:val="20"/>
                <w:szCs w:val="20"/>
                <w:color w:val="auto"/>
              </w:rPr>
            </w:pPr>
            <w:r>
              <w:rPr>
                <w:rFonts w:ascii="Arial" w:cs="Arial" w:eastAsia="Arial" w:hAnsi="Arial"/>
                <w:sz w:val="17"/>
                <w:szCs w:val="17"/>
                <w:color w:val="auto"/>
              </w:rPr>
              <w:t>14,620</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60" w:type="dxa"/>
            <w:vAlign w:val="bottom"/>
          </w:tcPr>
          <w:p>
            <w:pPr>
              <w:ind w:left="280"/>
              <w:spacing w:after="0"/>
              <w:rPr>
                <w:sz w:val="20"/>
                <w:szCs w:val="20"/>
                <w:color w:val="auto"/>
              </w:rPr>
            </w:pPr>
            <w:r>
              <w:rPr>
                <w:rFonts w:ascii="Arial" w:cs="Arial" w:eastAsia="Arial" w:hAnsi="Arial"/>
                <w:sz w:val="17"/>
                <w:szCs w:val="17"/>
                <w:color w:val="auto"/>
              </w:rPr>
              <w:t>Total current liabilities</w:t>
            </w:r>
          </w:p>
        </w:tc>
        <w:tc>
          <w:tcPr>
            <w:tcW w:w="58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196,497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(17,485)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179,012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Long-term debt</w:t>
            </w:r>
          </w:p>
        </w:tc>
        <w:tc>
          <w:tcPr>
            <w:tcW w:w="198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523,186</w:t>
            </w: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6"/>
                <w:szCs w:val="16"/>
                <w:color w:val="auto"/>
              </w:rPr>
            </w:pP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523,186</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100"/>
              <w:spacing w:after="0" w:line="194" w:lineRule="exact"/>
              <w:rPr>
                <w:sz w:val="20"/>
                <w:szCs w:val="20"/>
                <w:color w:val="auto"/>
              </w:rPr>
            </w:pPr>
            <w:r>
              <w:rPr>
                <w:rFonts w:ascii="Arial" w:cs="Arial" w:eastAsia="Arial" w:hAnsi="Arial"/>
                <w:sz w:val="17"/>
                <w:szCs w:val="17"/>
                <w:color w:val="auto"/>
              </w:rPr>
              <w:t>Other noncurrent liabilities</w:t>
            </w:r>
          </w:p>
        </w:tc>
        <w:tc>
          <w:tcPr>
            <w:tcW w:w="20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97,563</w:t>
            </w: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97,563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BFBFBF"/>
          </w:tcPr>
          <w:p>
            <w:pPr>
              <w:ind w:left="100"/>
              <w:spacing w:after="0"/>
              <w:rPr>
                <w:sz w:val="20"/>
                <w:szCs w:val="20"/>
                <w:color w:val="auto"/>
              </w:rPr>
            </w:pPr>
            <w:r>
              <w:rPr>
                <w:rFonts w:ascii="Arial" w:cs="Arial" w:eastAsia="Arial" w:hAnsi="Arial"/>
                <w:sz w:val="17"/>
                <w:szCs w:val="17"/>
                <w:color w:val="auto"/>
              </w:rPr>
              <w:t>Deferred taxes and other liabilities</w:t>
            </w:r>
          </w:p>
        </w:tc>
        <w:tc>
          <w:tcPr>
            <w:tcW w:w="2080" w:type="dxa"/>
            <w:vAlign w:val="bottom"/>
            <w:gridSpan w:val="3"/>
            <w:shd w:val="clear" w:color="auto" w:fill="BFBFBF"/>
          </w:tcPr>
          <w:p>
            <w:pPr>
              <w:jc w:val="right"/>
              <w:ind w:right="100"/>
              <w:spacing w:after="0"/>
              <w:rPr>
                <w:sz w:val="20"/>
                <w:szCs w:val="20"/>
                <w:color w:val="auto"/>
              </w:rPr>
            </w:pPr>
            <w:r>
              <w:rPr>
                <w:rFonts w:ascii="Arial" w:cs="Arial" w:eastAsia="Arial" w:hAnsi="Arial"/>
                <w:sz w:val="17"/>
                <w:szCs w:val="17"/>
                <w:color w:val="auto"/>
              </w:rPr>
              <w:t>13,556</w:t>
            </w:r>
          </w:p>
        </w:tc>
        <w:tc>
          <w:tcPr>
            <w:tcW w:w="58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spacing w:after="0"/>
              <w:rPr>
                <w:sz w:val="20"/>
                <w:szCs w:val="20"/>
                <w:color w:val="auto"/>
              </w:rPr>
            </w:pPr>
            <w:r>
              <w:rPr>
                <w:rFonts w:ascii="Arial" w:cs="Arial" w:eastAsia="Arial" w:hAnsi="Arial"/>
                <w:sz w:val="17"/>
                <w:szCs w:val="17"/>
                <w:color w:val="auto"/>
              </w:rPr>
              <w:t>(52)</w:t>
            </w:r>
          </w:p>
        </w:tc>
        <w:tc>
          <w:tcPr>
            <w:tcW w:w="1960" w:type="dxa"/>
            <w:vAlign w:val="bottom"/>
            <w:gridSpan w:val="3"/>
            <w:shd w:val="clear" w:color="auto" w:fill="BFBFBF"/>
          </w:tcPr>
          <w:p>
            <w:pPr>
              <w:jc w:val="right"/>
              <w:ind w:right="20"/>
              <w:spacing w:after="0"/>
              <w:rPr>
                <w:sz w:val="20"/>
                <w:szCs w:val="20"/>
                <w:color w:val="auto"/>
              </w:rPr>
            </w:pPr>
            <w:r>
              <w:rPr>
                <w:rFonts w:ascii="Arial" w:cs="Arial" w:eastAsia="Arial" w:hAnsi="Arial"/>
                <w:sz w:val="17"/>
                <w:szCs w:val="17"/>
                <w:color w:val="auto"/>
              </w:rPr>
              <w:t>13,504</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260" w:type="dxa"/>
            <w:vAlign w:val="bottom"/>
          </w:tcPr>
          <w:p>
            <w:pPr>
              <w:ind w:left="280"/>
              <w:spacing w:after="0" w:line="185" w:lineRule="exact"/>
              <w:rPr>
                <w:sz w:val="20"/>
                <w:szCs w:val="20"/>
                <w:color w:val="auto"/>
              </w:rPr>
            </w:pPr>
            <w:r>
              <w:rPr>
                <w:rFonts w:ascii="Arial" w:cs="Arial" w:eastAsia="Arial" w:hAnsi="Arial"/>
                <w:sz w:val="17"/>
                <w:szCs w:val="17"/>
                <w:color w:val="auto"/>
              </w:rPr>
              <w:t>Total liabilities</w:t>
            </w:r>
          </w:p>
        </w:tc>
        <w:tc>
          <w:tcPr>
            <w:tcW w:w="58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830,802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(17,537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813,265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260" w:type="dxa"/>
            <w:vAlign w:val="bottom"/>
          </w:tcPr>
          <w:p>
            <w:pPr>
              <w:spacing w:after="0"/>
              <w:rPr>
                <w:sz w:val="20"/>
                <w:szCs w:val="20"/>
                <w:color w:val="auto"/>
              </w:rPr>
            </w:pPr>
            <w:r>
              <w:rPr>
                <w:rFonts w:ascii="Arial" w:cs="Arial" w:eastAsia="Arial" w:hAnsi="Arial"/>
                <w:sz w:val="17"/>
                <w:szCs w:val="17"/>
                <w:color w:val="auto"/>
              </w:rPr>
              <w:t>SHAREHOLDERS' EQUITY</w:t>
            </w: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60" w:type="dxa"/>
            <w:vAlign w:val="bottom"/>
            <w:shd w:val="clear" w:color="auto" w:fill="BFBFBF"/>
          </w:tcPr>
          <w:p>
            <w:pPr>
              <w:ind w:left="100"/>
              <w:spacing w:after="0" w:line="193" w:lineRule="exact"/>
              <w:rPr>
                <w:sz w:val="20"/>
                <w:szCs w:val="20"/>
                <w:color w:val="auto"/>
              </w:rPr>
            </w:pPr>
            <w:r>
              <w:rPr>
                <w:rFonts w:ascii="Arial" w:cs="Arial" w:eastAsia="Arial" w:hAnsi="Arial"/>
                <w:sz w:val="17"/>
                <w:szCs w:val="17"/>
                <w:color w:val="auto"/>
              </w:rPr>
              <w:t>Preferred stock, par value $5.00 per share;</w:t>
            </w:r>
          </w:p>
        </w:tc>
        <w:tc>
          <w:tcPr>
            <w:tcW w:w="580" w:type="dxa"/>
            <w:vAlign w:val="bottom"/>
            <w:shd w:val="clear" w:color="auto" w:fill="BFBFBF"/>
          </w:tcPr>
          <w:p>
            <w:pPr>
              <w:spacing w:after="0"/>
              <w:rPr>
                <w:sz w:val="16"/>
                <w:szCs w:val="16"/>
                <w:color w:val="auto"/>
              </w:rPr>
            </w:pPr>
          </w:p>
        </w:tc>
        <w:tc>
          <w:tcPr>
            <w:tcW w:w="140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00"/>
              <w:spacing w:after="0" w:line="194" w:lineRule="exact"/>
              <w:rPr>
                <w:sz w:val="20"/>
                <w:szCs w:val="20"/>
                <w:color w:val="auto"/>
              </w:rPr>
            </w:pPr>
            <w:r>
              <w:rPr>
                <w:rFonts w:ascii="Arial" w:cs="Arial" w:eastAsia="Arial" w:hAnsi="Arial"/>
                <w:sz w:val="17"/>
                <w:szCs w:val="17"/>
                <w:color w:val="auto"/>
              </w:rPr>
              <w:t>authorized 2,000,000 shares; none issued</w:t>
            </w:r>
          </w:p>
        </w:tc>
        <w:tc>
          <w:tcPr>
            <w:tcW w:w="198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6"/>
                <w:szCs w:val="16"/>
                <w:color w:val="auto"/>
              </w:rPr>
            </w:pP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60" w:type="dxa"/>
            <w:vAlign w:val="bottom"/>
          </w:tcPr>
          <w:p>
            <w:pPr>
              <w:ind w:left="100"/>
              <w:spacing w:after="0" w:line="193" w:lineRule="exact"/>
              <w:rPr>
                <w:sz w:val="20"/>
                <w:szCs w:val="20"/>
                <w:color w:val="auto"/>
              </w:rPr>
            </w:pPr>
            <w:r>
              <w:rPr>
                <w:rFonts w:ascii="Arial" w:cs="Arial" w:eastAsia="Arial" w:hAnsi="Arial"/>
                <w:sz w:val="17"/>
                <w:szCs w:val="17"/>
                <w:color w:val="auto"/>
              </w:rPr>
              <w:t>Class A Common Stock, par value $.001 per share;</w:t>
            </w: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200"/>
              <w:spacing w:after="0" w:line="194" w:lineRule="exact"/>
              <w:rPr>
                <w:sz w:val="20"/>
                <w:szCs w:val="20"/>
                <w:color w:val="auto"/>
              </w:rPr>
            </w:pPr>
            <w:r>
              <w:rPr>
                <w:rFonts w:ascii="Arial" w:cs="Arial" w:eastAsia="Arial" w:hAnsi="Arial"/>
                <w:sz w:val="17"/>
                <w:szCs w:val="17"/>
                <w:color w:val="auto"/>
              </w:rPr>
              <w:t>authorized 100,000,000 shares; issued 37,447,819 in</w:t>
            </w: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200"/>
              <w:spacing w:after="0" w:line="194" w:lineRule="exact"/>
              <w:rPr>
                <w:sz w:val="20"/>
                <w:szCs w:val="20"/>
                <w:color w:val="auto"/>
              </w:rPr>
            </w:pPr>
            <w:r>
              <w:rPr>
                <w:rFonts w:ascii="Arial" w:cs="Arial" w:eastAsia="Arial" w:hAnsi="Arial"/>
                <w:sz w:val="17"/>
                <w:szCs w:val="17"/>
                <w:color w:val="auto"/>
              </w:rPr>
              <w:t>2018 and 37,395,753 in 2017</w:t>
            </w:r>
          </w:p>
        </w:tc>
        <w:tc>
          <w:tcPr>
            <w:tcW w:w="20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37</w:t>
            </w: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60" w:type="dxa"/>
            <w:vAlign w:val="bottom"/>
            <w:shd w:val="clear" w:color="auto" w:fill="BFBFBF"/>
          </w:tcPr>
          <w:p>
            <w:pPr>
              <w:ind w:left="100"/>
              <w:spacing w:after="0" w:line="193" w:lineRule="exact"/>
              <w:rPr>
                <w:sz w:val="20"/>
                <w:szCs w:val="20"/>
                <w:color w:val="auto"/>
              </w:rPr>
            </w:pPr>
            <w:r>
              <w:rPr>
                <w:rFonts w:ascii="Arial" w:cs="Arial" w:eastAsia="Arial" w:hAnsi="Arial"/>
                <w:sz w:val="17"/>
                <w:szCs w:val="17"/>
                <w:color w:val="auto"/>
              </w:rPr>
              <w:t>Class B Common Stock, par value $.001 per share;</w:t>
            </w:r>
          </w:p>
        </w:tc>
        <w:tc>
          <w:tcPr>
            <w:tcW w:w="580" w:type="dxa"/>
            <w:vAlign w:val="bottom"/>
            <w:shd w:val="clear" w:color="auto" w:fill="BFBFBF"/>
          </w:tcPr>
          <w:p>
            <w:pPr>
              <w:spacing w:after="0"/>
              <w:rPr>
                <w:sz w:val="16"/>
                <w:szCs w:val="16"/>
                <w:color w:val="auto"/>
              </w:rPr>
            </w:pPr>
          </w:p>
        </w:tc>
        <w:tc>
          <w:tcPr>
            <w:tcW w:w="140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00"/>
              <w:spacing w:after="0" w:line="194" w:lineRule="exact"/>
              <w:rPr>
                <w:sz w:val="20"/>
                <w:szCs w:val="20"/>
                <w:color w:val="auto"/>
              </w:rPr>
            </w:pPr>
            <w:r>
              <w:rPr>
                <w:rFonts w:ascii="Arial" w:cs="Arial" w:eastAsia="Arial" w:hAnsi="Arial"/>
                <w:sz w:val="17"/>
                <w:szCs w:val="17"/>
                <w:color w:val="auto"/>
              </w:rPr>
              <w:t>authorized 25,000,000 shares; issued and</w:t>
            </w:r>
          </w:p>
        </w:tc>
        <w:tc>
          <w:tcPr>
            <w:tcW w:w="580" w:type="dxa"/>
            <w:vAlign w:val="bottom"/>
            <w:shd w:val="clear" w:color="auto" w:fill="BFBFBF"/>
          </w:tcPr>
          <w:p>
            <w:pPr>
              <w:spacing w:after="0"/>
              <w:rPr>
                <w:sz w:val="16"/>
                <w:szCs w:val="16"/>
                <w:color w:val="auto"/>
              </w:rPr>
            </w:pPr>
          </w:p>
        </w:tc>
        <w:tc>
          <w:tcPr>
            <w:tcW w:w="140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00"/>
              <w:spacing w:after="0" w:line="194" w:lineRule="exact"/>
              <w:rPr>
                <w:sz w:val="20"/>
                <w:szCs w:val="20"/>
                <w:color w:val="auto"/>
              </w:rPr>
            </w:pPr>
            <w:r>
              <w:rPr>
                <w:rFonts w:ascii="Arial" w:cs="Arial" w:eastAsia="Arial" w:hAnsi="Arial"/>
                <w:sz w:val="17"/>
                <w:szCs w:val="17"/>
                <w:color w:val="auto"/>
              </w:rPr>
              <w:t>outstanding 3,233,998 in 2018 and 2017</w:t>
            </w:r>
          </w:p>
        </w:tc>
        <w:tc>
          <w:tcPr>
            <w:tcW w:w="580" w:type="dxa"/>
            <w:vAlign w:val="bottom"/>
            <w:shd w:val="clear" w:color="auto" w:fill="BFBFBF"/>
          </w:tcPr>
          <w:p>
            <w:pPr>
              <w:spacing w:after="0"/>
              <w:rPr>
                <w:sz w:val="16"/>
                <w:szCs w:val="16"/>
                <w:color w:val="auto"/>
              </w:rPr>
            </w:pPr>
          </w:p>
        </w:tc>
        <w:tc>
          <w:tcPr>
            <w:tcW w:w="140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w:t>
            </w: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6"/>
                <w:szCs w:val="16"/>
                <w:color w:val="auto"/>
              </w:rPr>
            </w:pP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3</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80"/>
              <w:spacing w:after="0" w:line="194" w:lineRule="exact"/>
              <w:rPr>
                <w:sz w:val="20"/>
                <w:szCs w:val="20"/>
                <w:color w:val="auto"/>
              </w:rPr>
            </w:pPr>
            <w:r>
              <w:rPr>
                <w:rFonts w:ascii="Arial" w:cs="Arial" w:eastAsia="Arial" w:hAnsi="Arial"/>
                <w:sz w:val="17"/>
                <w:szCs w:val="17"/>
                <w:color w:val="auto"/>
              </w:rPr>
              <w:t>Additional paid in capital</w:t>
            </w:r>
          </w:p>
        </w:tc>
        <w:tc>
          <w:tcPr>
            <w:tcW w:w="58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429,635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9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429,635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100"/>
              <w:spacing w:after="0" w:line="194" w:lineRule="exact"/>
              <w:rPr>
                <w:sz w:val="20"/>
                <w:szCs w:val="20"/>
                <w:color w:val="auto"/>
              </w:rPr>
            </w:pPr>
            <w:r>
              <w:rPr>
                <w:rFonts w:ascii="Arial" w:cs="Arial" w:eastAsia="Arial" w:hAnsi="Arial"/>
                <w:sz w:val="17"/>
                <w:szCs w:val="17"/>
                <w:color w:val="auto"/>
              </w:rPr>
              <w:t>Retained earnings</w:t>
            </w:r>
          </w:p>
        </w:tc>
        <w:tc>
          <w:tcPr>
            <w:tcW w:w="1980" w:type="dxa"/>
            <w:vAlign w:val="bottom"/>
            <w:gridSpan w:val="2"/>
            <w:shd w:val="clear" w:color="auto" w:fill="BFBFBF"/>
          </w:tcPr>
          <w:p>
            <w:pPr>
              <w:jc w:val="right"/>
              <w:spacing w:after="0" w:line="194" w:lineRule="exact"/>
              <w:rPr>
                <w:sz w:val="20"/>
                <w:szCs w:val="20"/>
                <w:color w:val="auto"/>
              </w:rPr>
            </w:pPr>
            <w:r>
              <w:rPr>
                <w:rFonts w:ascii="Arial" w:cs="Arial" w:eastAsia="Arial" w:hAnsi="Arial"/>
                <w:sz w:val="17"/>
                <w:szCs w:val="17"/>
                <w:color w:val="auto"/>
              </w:rPr>
              <w:t>558,639</w:t>
            </w:r>
          </w:p>
        </w:tc>
        <w:tc>
          <w:tcPr>
            <w:tcW w:w="10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9"/>
              <w:spacing w:after="0" w:line="194" w:lineRule="exact"/>
              <w:rPr>
                <w:sz w:val="20"/>
                <w:szCs w:val="20"/>
                <w:color w:val="auto"/>
              </w:rPr>
            </w:pPr>
            <w:r>
              <w:rPr>
                <w:rFonts w:ascii="Arial" w:cs="Arial" w:eastAsia="Arial" w:hAnsi="Arial"/>
                <w:sz w:val="17"/>
                <w:szCs w:val="17"/>
                <w:color w:val="auto"/>
              </w:rPr>
              <w:t>$3,065</w:t>
            </w: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561,704</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80"/>
              <w:spacing w:after="0" w:line="194" w:lineRule="exact"/>
              <w:rPr>
                <w:sz w:val="20"/>
                <w:szCs w:val="20"/>
                <w:color w:val="auto"/>
              </w:rPr>
            </w:pPr>
            <w:r>
              <w:rPr>
                <w:rFonts w:ascii="Arial" w:cs="Arial" w:eastAsia="Arial" w:hAnsi="Arial"/>
                <w:sz w:val="17"/>
                <w:szCs w:val="17"/>
                <w:color w:val="auto"/>
              </w:rPr>
              <w:t>Accumulated items of other comprehensive income:</w:t>
            </w: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00"/>
              <w:spacing w:after="0" w:line="194" w:lineRule="exact"/>
              <w:rPr>
                <w:sz w:val="20"/>
                <w:szCs w:val="20"/>
                <w:color w:val="auto"/>
              </w:rPr>
            </w:pPr>
            <w:r>
              <w:rPr>
                <w:rFonts w:ascii="Arial" w:cs="Arial" w:eastAsia="Arial" w:hAnsi="Arial"/>
                <w:sz w:val="17"/>
                <w:szCs w:val="17"/>
                <w:color w:val="auto"/>
              </w:rPr>
              <w:t>Translation adjustments</w:t>
            </w:r>
          </w:p>
        </w:tc>
        <w:tc>
          <w:tcPr>
            <w:tcW w:w="2080" w:type="dxa"/>
            <w:vAlign w:val="bottom"/>
            <w:gridSpan w:val="3"/>
            <w:shd w:val="clear" w:color="auto" w:fill="BFBFBF"/>
          </w:tcPr>
          <w:p>
            <w:pPr>
              <w:jc w:val="right"/>
              <w:ind w:right="60"/>
              <w:spacing w:after="0" w:line="194" w:lineRule="exact"/>
              <w:rPr>
                <w:sz w:val="20"/>
                <w:szCs w:val="20"/>
                <w:color w:val="auto"/>
              </w:rPr>
            </w:pPr>
            <w:r>
              <w:rPr>
                <w:rFonts w:ascii="Arial" w:cs="Arial" w:eastAsia="Arial" w:hAnsi="Arial"/>
                <w:sz w:val="17"/>
                <w:szCs w:val="17"/>
                <w:color w:val="auto"/>
              </w:rPr>
              <w:t>(102,888)</w:t>
            </w: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531</w:t>
            </w:r>
          </w:p>
        </w:tc>
        <w:tc>
          <w:tcPr>
            <w:tcW w:w="100" w:type="dxa"/>
            <w:vAlign w:val="bottom"/>
            <w:shd w:val="clear" w:color="auto" w:fill="BFBFBF"/>
          </w:tcPr>
          <w:p>
            <w:pPr>
              <w:spacing w:after="0"/>
              <w:rPr>
                <w:sz w:val="16"/>
                <w:szCs w:val="16"/>
                <w:color w:val="auto"/>
              </w:rPr>
            </w:pPr>
          </w:p>
        </w:tc>
        <w:tc>
          <w:tcPr>
            <w:tcW w:w="2040" w:type="dxa"/>
            <w:vAlign w:val="bottom"/>
            <w:gridSpan w:val="4"/>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(102,357)</w:t>
            </w:r>
          </w:p>
        </w:tc>
        <w:tc>
          <w:tcPr>
            <w:tcW w:w="0" w:type="dxa"/>
            <w:vAlign w:val="bottom"/>
          </w:tcPr>
          <w:p>
            <w:pPr>
              <w:spacing w:after="0"/>
              <w:rPr>
                <w:sz w:val="1"/>
                <w:szCs w:val="1"/>
                <w:color w:val="auto"/>
              </w:rPr>
            </w:pPr>
          </w:p>
        </w:tc>
      </w:tr>
      <w:tr>
        <w:trPr>
          <w:trHeight w:val="194"/>
        </w:trPr>
        <w:tc>
          <w:tcPr>
            <w:tcW w:w="5260" w:type="dxa"/>
            <w:vAlign w:val="bottom"/>
          </w:tcPr>
          <w:p>
            <w:pPr>
              <w:ind w:left="200"/>
              <w:spacing w:after="0" w:line="194" w:lineRule="exact"/>
              <w:rPr>
                <w:sz w:val="20"/>
                <w:szCs w:val="20"/>
                <w:color w:val="auto"/>
              </w:rPr>
            </w:pPr>
            <w:r>
              <w:rPr>
                <w:rFonts w:ascii="Arial" w:cs="Arial" w:eastAsia="Arial" w:hAnsi="Arial"/>
                <w:sz w:val="17"/>
                <w:szCs w:val="17"/>
                <w:color w:val="auto"/>
              </w:rPr>
              <w:t>Pension and postretirement liability adjustments</w:t>
            </w:r>
          </w:p>
        </w:tc>
        <w:tc>
          <w:tcPr>
            <w:tcW w:w="208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(48,422)</w:t>
            </w:r>
          </w:p>
        </w:tc>
        <w:tc>
          <w:tcPr>
            <w:tcW w:w="5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40" w:type="dxa"/>
            <w:vAlign w:val="bottom"/>
            <w:gridSpan w:val="4"/>
          </w:tcPr>
          <w:p>
            <w:pPr>
              <w:jc w:val="right"/>
              <w:ind w:right="40"/>
              <w:spacing w:after="0" w:line="194" w:lineRule="exact"/>
              <w:rPr>
                <w:sz w:val="20"/>
                <w:szCs w:val="20"/>
                <w:color w:val="auto"/>
              </w:rPr>
            </w:pPr>
            <w:r>
              <w:rPr>
                <w:rFonts w:ascii="Arial" w:cs="Arial" w:eastAsia="Arial" w:hAnsi="Arial"/>
                <w:sz w:val="17"/>
                <w:szCs w:val="17"/>
                <w:color w:val="auto"/>
              </w:rPr>
              <w:t>(48,422)</w:t>
            </w:r>
          </w:p>
        </w:tc>
        <w:tc>
          <w:tcPr>
            <w:tcW w:w="0" w:type="dxa"/>
            <w:vAlign w:val="bottom"/>
          </w:tcPr>
          <w:p>
            <w:pPr>
              <w:spacing w:after="0"/>
              <w:rPr>
                <w:sz w:val="1"/>
                <w:szCs w:val="1"/>
                <w:color w:val="auto"/>
              </w:rPr>
            </w:pPr>
          </w:p>
        </w:tc>
      </w:tr>
      <w:tr>
        <w:trPr>
          <w:trHeight w:val="194"/>
        </w:trPr>
        <w:tc>
          <w:tcPr>
            <w:tcW w:w="5260" w:type="dxa"/>
            <w:vAlign w:val="bottom"/>
            <w:shd w:val="clear" w:color="auto" w:fill="BFBFBF"/>
          </w:tcPr>
          <w:p>
            <w:pPr>
              <w:ind w:left="200"/>
              <w:spacing w:after="0" w:line="194" w:lineRule="exact"/>
              <w:rPr>
                <w:sz w:val="20"/>
                <w:szCs w:val="20"/>
                <w:color w:val="auto"/>
              </w:rPr>
            </w:pPr>
            <w:r>
              <w:rPr>
                <w:rFonts w:ascii="Arial" w:cs="Arial" w:eastAsia="Arial" w:hAnsi="Arial"/>
                <w:sz w:val="17"/>
                <w:szCs w:val="17"/>
                <w:color w:val="auto"/>
              </w:rPr>
              <w:t>Derivative valuation adjustment</w:t>
            </w:r>
          </w:p>
        </w:tc>
        <w:tc>
          <w:tcPr>
            <w:tcW w:w="2080" w:type="dxa"/>
            <w:vAlign w:val="bottom"/>
            <w:gridSpan w:val="3"/>
            <w:shd w:val="clear" w:color="auto" w:fill="BFBFBF"/>
          </w:tcPr>
          <w:p>
            <w:pPr>
              <w:jc w:val="right"/>
              <w:ind w:right="100"/>
              <w:spacing w:after="0" w:line="194" w:lineRule="exact"/>
              <w:rPr>
                <w:sz w:val="20"/>
                <w:szCs w:val="20"/>
                <w:color w:val="auto"/>
              </w:rPr>
            </w:pPr>
            <w:r>
              <w:rPr>
                <w:rFonts w:ascii="Arial" w:cs="Arial" w:eastAsia="Arial" w:hAnsi="Arial"/>
                <w:sz w:val="17"/>
                <w:szCs w:val="17"/>
                <w:color w:val="auto"/>
              </w:rPr>
              <w:t>8,155</w:t>
            </w:r>
          </w:p>
        </w:tc>
        <w:tc>
          <w:tcPr>
            <w:tcW w:w="58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BFBFBF"/>
          </w:tcPr>
          <w:p>
            <w:pPr>
              <w:spacing w:after="0"/>
              <w:rPr>
                <w:sz w:val="16"/>
                <w:szCs w:val="16"/>
                <w:color w:val="auto"/>
              </w:rPr>
            </w:pPr>
          </w:p>
        </w:tc>
        <w:tc>
          <w:tcPr>
            <w:tcW w:w="1960" w:type="dxa"/>
            <w:vAlign w:val="bottom"/>
            <w:gridSpan w:val="3"/>
            <w:shd w:val="clear" w:color="auto" w:fill="BFBFBF"/>
          </w:tcPr>
          <w:p>
            <w:pPr>
              <w:jc w:val="right"/>
              <w:ind w:right="20"/>
              <w:spacing w:after="0" w:line="194" w:lineRule="exact"/>
              <w:rPr>
                <w:sz w:val="20"/>
                <w:szCs w:val="20"/>
                <w:color w:val="auto"/>
              </w:rPr>
            </w:pPr>
            <w:r>
              <w:rPr>
                <w:rFonts w:ascii="Arial" w:cs="Arial" w:eastAsia="Arial" w:hAnsi="Arial"/>
                <w:sz w:val="17"/>
                <w:szCs w:val="17"/>
                <w:color w:val="auto"/>
              </w:rPr>
              <w:t>8,155</w:t>
            </w:r>
          </w:p>
        </w:tc>
        <w:tc>
          <w:tcPr>
            <w:tcW w:w="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60" w:type="dxa"/>
            <w:vAlign w:val="bottom"/>
          </w:tcPr>
          <w:p>
            <w:pPr>
              <w:ind w:left="100"/>
              <w:spacing w:after="0" w:line="193" w:lineRule="exact"/>
              <w:rPr>
                <w:sz w:val="20"/>
                <w:szCs w:val="20"/>
                <w:color w:val="auto"/>
              </w:rPr>
            </w:pPr>
            <w:r>
              <w:rPr>
                <w:rFonts w:ascii="Arial" w:cs="Arial" w:eastAsia="Arial" w:hAnsi="Arial"/>
                <w:sz w:val="17"/>
                <w:szCs w:val="17"/>
                <w:color w:val="auto"/>
              </w:rPr>
              <w:t>Treasury stock (Class A), at cost 8,418,620 shares in 2018</w:t>
            </w: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60" w:type="dxa"/>
            <w:vAlign w:val="bottom"/>
          </w:tcPr>
          <w:p>
            <w:pPr>
              <w:ind w:left="140"/>
              <w:spacing w:after="0"/>
              <w:rPr>
                <w:sz w:val="20"/>
                <w:szCs w:val="20"/>
                <w:color w:val="auto"/>
              </w:rPr>
            </w:pPr>
            <w:r>
              <w:rPr>
                <w:rFonts w:ascii="Arial" w:cs="Arial" w:eastAsia="Arial" w:hAnsi="Arial"/>
                <w:sz w:val="17"/>
                <w:szCs w:val="17"/>
                <w:color w:val="auto"/>
              </w:rPr>
              <w:t>and 8,431,335 shares in 2017</w:t>
            </w:r>
          </w:p>
        </w:tc>
        <w:tc>
          <w:tcPr>
            <w:tcW w:w="2080" w:type="dxa"/>
            <w:vAlign w:val="bottom"/>
            <w:gridSpan w:val="3"/>
          </w:tcPr>
          <w:p>
            <w:pPr>
              <w:jc w:val="right"/>
              <w:ind w:right="60"/>
              <w:spacing w:after="0"/>
              <w:rPr>
                <w:sz w:val="20"/>
                <w:szCs w:val="20"/>
                <w:color w:val="auto"/>
              </w:rPr>
            </w:pPr>
            <w:r>
              <w:rPr>
                <w:rFonts w:ascii="Arial" w:cs="Arial" w:eastAsia="Arial" w:hAnsi="Arial"/>
                <w:sz w:val="17"/>
                <w:szCs w:val="17"/>
                <w:color w:val="auto"/>
              </w:rPr>
              <w:t>(256,602)</w:t>
            </w: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7"/>
                <w:szCs w:val="17"/>
                <w:color w:val="auto"/>
              </w:rPr>
              <w:t>(256,602)</w:t>
            </w:r>
          </w:p>
        </w:tc>
        <w:tc>
          <w:tcPr>
            <w:tcW w:w="0" w:type="dxa"/>
            <w:vAlign w:val="bottom"/>
          </w:tcPr>
          <w:p>
            <w:pPr>
              <w:spacing w:after="0"/>
              <w:rPr>
                <w:sz w:val="1"/>
                <w:szCs w:val="1"/>
                <w:color w:val="auto"/>
              </w:rPr>
            </w:pPr>
          </w:p>
        </w:tc>
      </w:tr>
      <w:tr>
        <w:trPr>
          <w:trHeight w:val="186"/>
        </w:trPr>
        <w:tc>
          <w:tcPr>
            <w:tcW w:w="5260" w:type="dxa"/>
            <w:vAlign w:val="bottom"/>
            <w:tcBorders>
              <w:top w:val="single" w:sz="8" w:color="BFBFBF"/>
            </w:tcBorders>
            <w:shd w:val="clear" w:color="auto" w:fill="BFBFBF"/>
          </w:tcPr>
          <w:p>
            <w:pPr>
              <w:ind w:left="280"/>
              <w:spacing w:after="0" w:line="186" w:lineRule="exact"/>
              <w:rPr>
                <w:sz w:val="20"/>
                <w:szCs w:val="20"/>
                <w:color w:val="auto"/>
              </w:rPr>
            </w:pPr>
            <w:r>
              <w:rPr>
                <w:rFonts w:ascii="Arial" w:cs="Arial" w:eastAsia="Arial" w:hAnsi="Arial"/>
                <w:sz w:val="17"/>
                <w:szCs w:val="17"/>
                <w:color w:val="auto"/>
              </w:rPr>
              <w:t>Total Company shareholders' equity</w:t>
            </w:r>
          </w:p>
        </w:tc>
        <w:tc>
          <w:tcPr>
            <w:tcW w:w="580" w:type="dxa"/>
            <w:vAlign w:val="bottom"/>
            <w:tcBorders>
              <w:top w:val="single" w:sz="8" w:color="BFBFBF"/>
            </w:tcBorders>
            <w:shd w:val="clear" w:color="auto" w:fill="BFBFBF"/>
          </w:tcPr>
          <w:p>
            <w:pPr>
              <w:spacing w:after="0"/>
              <w:rPr>
                <w:sz w:val="16"/>
                <w:szCs w:val="16"/>
                <w:color w:val="auto"/>
              </w:rPr>
            </w:pPr>
          </w:p>
        </w:tc>
        <w:tc>
          <w:tcPr>
            <w:tcW w:w="140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588,557</w:t>
            </w:r>
          </w:p>
        </w:tc>
        <w:tc>
          <w:tcPr>
            <w:tcW w:w="100" w:type="dxa"/>
            <w:vAlign w:val="bottom"/>
            <w:tcBorders>
              <w:top w:val="single" w:sz="8" w:color="BFBFBF"/>
            </w:tcBorders>
            <w:shd w:val="clear" w:color="auto" w:fill="BFBFBF"/>
          </w:tcPr>
          <w:p>
            <w:pPr>
              <w:spacing w:after="0"/>
              <w:rPr>
                <w:sz w:val="16"/>
                <w:szCs w:val="16"/>
                <w:color w:val="auto"/>
              </w:rPr>
            </w:pPr>
          </w:p>
        </w:tc>
        <w:tc>
          <w:tcPr>
            <w:tcW w:w="580" w:type="dxa"/>
            <w:vAlign w:val="bottom"/>
            <w:tcBorders>
              <w:top w:val="single" w:sz="8" w:color="BFBFBF"/>
            </w:tcBorders>
            <w:shd w:val="clear" w:color="auto" w:fill="BFBFBF"/>
          </w:tcPr>
          <w:p>
            <w:pPr>
              <w:spacing w:after="0"/>
              <w:rPr>
                <w:sz w:val="16"/>
                <w:szCs w:val="16"/>
                <w:color w:val="auto"/>
              </w:rPr>
            </w:pPr>
          </w:p>
        </w:tc>
        <w:tc>
          <w:tcPr>
            <w:tcW w:w="13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3,596</w:t>
            </w:r>
          </w:p>
        </w:tc>
        <w:tc>
          <w:tcPr>
            <w:tcW w:w="100" w:type="dxa"/>
            <w:vAlign w:val="bottom"/>
            <w:tcBorders>
              <w:top w:val="single" w:sz="8" w:color="BFBFBF"/>
            </w:tcBorders>
            <w:shd w:val="clear" w:color="auto" w:fill="BFBFBF"/>
          </w:tcPr>
          <w:p>
            <w:pPr>
              <w:spacing w:after="0"/>
              <w:rPr>
                <w:sz w:val="16"/>
                <w:szCs w:val="16"/>
                <w:color w:val="auto"/>
              </w:rPr>
            </w:pPr>
          </w:p>
        </w:tc>
        <w:tc>
          <w:tcPr>
            <w:tcW w:w="580" w:type="dxa"/>
            <w:vAlign w:val="bottom"/>
            <w:tcBorders>
              <w:top w:val="single" w:sz="8" w:color="BFBFBF"/>
            </w:tcBorders>
            <w:shd w:val="clear" w:color="auto" w:fill="BFBFBF"/>
          </w:tcPr>
          <w:p>
            <w:pPr>
              <w:spacing w:after="0"/>
              <w:rPr>
                <w:sz w:val="16"/>
                <w:szCs w:val="16"/>
                <w:color w:val="auto"/>
              </w:rPr>
            </w:pPr>
          </w:p>
        </w:tc>
        <w:tc>
          <w:tcPr>
            <w:tcW w:w="1360" w:type="dxa"/>
            <w:vAlign w:val="bottom"/>
            <w:tcBorders>
              <w:top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592,153</w:t>
            </w:r>
          </w:p>
        </w:tc>
        <w:tc>
          <w:tcPr>
            <w:tcW w:w="20" w:type="dxa"/>
            <w:vAlign w:val="bottom"/>
            <w:tcBorders>
              <w:top w:val="single" w:sz="8" w:color="BFBFBF"/>
            </w:tcBorders>
            <w:shd w:val="clear" w:color="auto" w:fill="BFBFBF"/>
          </w:tcPr>
          <w:p>
            <w:pPr>
              <w:spacing w:after="0"/>
              <w:rPr>
                <w:sz w:val="16"/>
                <w:szCs w:val="16"/>
                <w:color w:val="auto"/>
              </w:rPr>
            </w:pPr>
          </w:p>
        </w:tc>
        <w:tc>
          <w:tcPr>
            <w:tcW w:w="8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100"/>
              <w:spacing w:after="0"/>
              <w:rPr>
                <w:sz w:val="20"/>
                <w:szCs w:val="20"/>
                <w:color w:val="auto"/>
              </w:rPr>
            </w:pPr>
            <w:r>
              <w:rPr>
                <w:rFonts w:ascii="Arial" w:cs="Arial" w:eastAsia="Arial" w:hAnsi="Arial"/>
                <w:sz w:val="17"/>
                <w:szCs w:val="17"/>
                <w:color w:val="auto"/>
              </w:rPr>
              <w:t>Noncontrolling interest</w:t>
            </w:r>
          </w:p>
        </w:tc>
        <w:tc>
          <w:tcPr>
            <w:tcW w:w="2080" w:type="dxa"/>
            <w:vAlign w:val="bottom"/>
            <w:gridSpan w:val="3"/>
          </w:tcPr>
          <w:p>
            <w:pPr>
              <w:jc w:val="right"/>
              <w:ind w:right="100"/>
              <w:spacing w:after="0"/>
              <w:rPr>
                <w:sz w:val="20"/>
                <w:szCs w:val="20"/>
                <w:color w:val="auto"/>
              </w:rPr>
            </w:pPr>
            <w:r>
              <w:rPr>
                <w:rFonts w:ascii="Arial" w:cs="Arial" w:eastAsia="Arial" w:hAnsi="Arial"/>
                <w:sz w:val="17"/>
                <w:szCs w:val="17"/>
                <w:color w:val="auto"/>
              </w:rPr>
              <w:t>3,102</w:t>
            </w:r>
          </w:p>
        </w:tc>
        <w:tc>
          <w:tcPr>
            <w:tcW w:w="5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7"/>
                <w:szCs w:val="17"/>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7"/>
                <w:szCs w:val="17"/>
                <w:color w:val="auto"/>
              </w:rPr>
              <w:t>3,345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260" w:type="dxa"/>
            <w:vAlign w:val="bottom"/>
            <w:tcBorders>
              <w:top w:val="single" w:sz="8" w:color="BFBFBF"/>
            </w:tcBorders>
            <w:shd w:val="clear" w:color="auto" w:fill="BFBFBF"/>
          </w:tcPr>
          <w:p>
            <w:pPr>
              <w:ind w:left="40"/>
              <w:spacing w:after="0" w:line="185" w:lineRule="exact"/>
              <w:rPr>
                <w:sz w:val="20"/>
                <w:szCs w:val="20"/>
                <w:color w:val="auto"/>
              </w:rPr>
            </w:pPr>
            <w:r>
              <w:rPr>
                <w:rFonts w:ascii="Arial" w:cs="Arial" w:eastAsia="Arial" w:hAnsi="Arial"/>
                <w:sz w:val="17"/>
                <w:szCs w:val="17"/>
                <w:color w:val="auto"/>
              </w:rPr>
              <w:t>Total equity</w:t>
            </w:r>
          </w:p>
        </w:tc>
        <w:tc>
          <w:tcPr>
            <w:tcW w:w="580" w:type="dxa"/>
            <w:vAlign w:val="bottom"/>
            <w:tcBorders>
              <w:top w:val="single" w:sz="8" w:color="BFBFBF"/>
            </w:tcBorders>
            <w:shd w:val="clear" w:color="auto" w:fill="BFBFBF"/>
          </w:tcPr>
          <w:p>
            <w:pPr>
              <w:spacing w:after="0"/>
              <w:rPr>
                <w:sz w:val="16"/>
                <w:szCs w:val="16"/>
                <w:color w:val="auto"/>
              </w:rPr>
            </w:pPr>
          </w:p>
        </w:tc>
        <w:tc>
          <w:tcPr>
            <w:tcW w:w="140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591,659</w:t>
            </w:r>
          </w:p>
        </w:tc>
        <w:tc>
          <w:tcPr>
            <w:tcW w:w="100" w:type="dxa"/>
            <w:vAlign w:val="bottom"/>
            <w:tcBorders>
              <w:top w:val="single" w:sz="8" w:color="BFBFBF"/>
            </w:tcBorders>
            <w:shd w:val="clear" w:color="auto" w:fill="BFBFBF"/>
          </w:tcPr>
          <w:p>
            <w:pPr>
              <w:spacing w:after="0"/>
              <w:rPr>
                <w:sz w:val="16"/>
                <w:szCs w:val="16"/>
                <w:color w:val="auto"/>
              </w:rPr>
            </w:pPr>
          </w:p>
        </w:tc>
        <w:tc>
          <w:tcPr>
            <w:tcW w:w="580" w:type="dxa"/>
            <w:vAlign w:val="bottom"/>
            <w:tcBorders>
              <w:top w:val="single" w:sz="8" w:color="BFBFBF"/>
            </w:tcBorders>
            <w:shd w:val="clear" w:color="auto" w:fill="BFBFBF"/>
          </w:tcPr>
          <w:p>
            <w:pPr>
              <w:spacing w:after="0"/>
              <w:rPr>
                <w:sz w:val="16"/>
                <w:szCs w:val="16"/>
                <w:color w:val="auto"/>
              </w:rPr>
            </w:pPr>
          </w:p>
        </w:tc>
        <w:tc>
          <w:tcPr>
            <w:tcW w:w="136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3,839</w:t>
            </w:r>
          </w:p>
        </w:tc>
        <w:tc>
          <w:tcPr>
            <w:tcW w:w="100" w:type="dxa"/>
            <w:vAlign w:val="bottom"/>
            <w:tcBorders>
              <w:top w:val="single" w:sz="8" w:color="BFBFBF"/>
            </w:tcBorders>
            <w:shd w:val="clear" w:color="auto" w:fill="BFBFBF"/>
          </w:tcPr>
          <w:p>
            <w:pPr>
              <w:spacing w:after="0"/>
              <w:rPr>
                <w:sz w:val="16"/>
                <w:szCs w:val="16"/>
                <w:color w:val="auto"/>
              </w:rPr>
            </w:pPr>
          </w:p>
        </w:tc>
        <w:tc>
          <w:tcPr>
            <w:tcW w:w="580" w:type="dxa"/>
            <w:vAlign w:val="bottom"/>
            <w:tcBorders>
              <w:top w:val="single" w:sz="8" w:color="BFBFBF"/>
            </w:tcBorders>
            <w:shd w:val="clear" w:color="auto" w:fill="BFBFBF"/>
          </w:tcPr>
          <w:p>
            <w:pPr>
              <w:spacing w:after="0"/>
              <w:rPr>
                <w:sz w:val="16"/>
                <w:szCs w:val="16"/>
                <w:color w:val="auto"/>
              </w:rPr>
            </w:pPr>
          </w:p>
        </w:tc>
        <w:tc>
          <w:tcPr>
            <w:tcW w:w="1360" w:type="dxa"/>
            <w:vAlign w:val="bottom"/>
            <w:tcBorders>
              <w:top w:val="single" w:sz="8" w:color="auto"/>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595,498</w:t>
            </w:r>
          </w:p>
        </w:tc>
        <w:tc>
          <w:tcPr>
            <w:tcW w:w="20" w:type="dxa"/>
            <w:vAlign w:val="bottom"/>
            <w:tcBorders>
              <w:top w:val="single" w:sz="8" w:color="BFBFBF"/>
            </w:tcBorders>
            <w:shd w:val="clear" w:color="auto" w:fill="BFBFBF"/>
          </w:tcPr>
          <w:p>
            <w:pPr>
              <w:spacing w:after="0"/>
              <w:rPr>
                <w:sz w:val="16"/>
                <w:szCs w:val="16"/>
                <w:color w:val="auto"/>
              </w:rPr>
            </w:pPr>
          </w:p>
        </w:tc>
        <w:tc>
          <w:tcPr>
            <w:tcW w:w="80" w:type="dxa"/>
            <w:vAlign w:val="bottom"/>
            <w:tcBorders>
              <w:top w:val="single" w:sz="8" w:color="BFBFBF"/>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60" w:type="dxa"/>
            <w:vAlign w:val="bottom"/>
          </w:tcPr>
          <w:p>
            <w:pPr>
              <w:ind w:left="280"/>
              <w:spacing w:after="0" w:line="185" w:lineRule="exact"/>
              <w:rPr>
                <w:sz w:val="20"/>
                <w:szCs w:val="20"/>
                <w:color w:val="auto"/>
              </w:rPr>
            </w:pPr>
            <w:r>
              <w:rPr>
                <w:rFonts w:ascii="Arial" w:cs="Arial" w:eastAsia="Arial" w:hAnsi="Arial"/>
                <w:sz w:val="17"/>
                <w:szCs w:val="17"/>
                <w:color w:val="auto"/>
              </w:rPr>
              <w:t>Total liabilities and shareholders' equity</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$1,422,461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($13,698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960" w:type="dxa"/>
            <w:vAlign w:val="bottom"/>
            <w:gridSpan w:val="3"/>
          </w:tcPr>
          <w:p>
            <w:pPr>
              <w:jc w:val="right"/>
              <w:ind w:right="20"/>
              <w:spacing w:after="0"/>
              <w:rPr>
                <w:sz w:val="20"/>
                <w:szCs w:val="20"/>
                <w:color w:val="auto"/>
              </w:rPr>
            </w:pPr>
            <w:r>
              <w:rPr>
                <w:rFonts w:ascii="Arial" w:cs="Arial" w:eastAsia="Arial" w:hAnsi="Arial"/>
                <w:sz w:val="17"/>
                <w:szCs w:val="17"/>
                <w:color w:val="auto"/>
              </w:rPr>
              <w:t>$1,408,763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7"/>
          <w:szCs w:val="17"/>
          <w:color w:val="auto"/>
        </w:rPr>
        <w:t>ALBANY INTERNATIONAL CORP.</w:t>
      </w:r>
    </w:p>
    <w:p>
      <w:pPr>
        <w:jc w:val="center"/>
        <w:ind w:right="-79"/>
        <w:spacing w:after="0" w:line="237" w:lineRule="auto"/>
        <w:rPr>
          <w:sz w:val="20"/>
          <w:szCs w:val="20"/>
          <w:color w:val="auto"/>
        </w:rPr>
      </w:pPr>
      <w:r>
        <w:rPr>
          <w:rFonts w:ascii="Arial" w:cs="Arial" w:eastAsia="Arial" w:hAnsi="Arial"/>
          <w:sz w:val="17"/>
          <w:szCs w:val="17"/>
          <w:color w:val="auto"/>
        </w:rPr>
        <w:t>CONSOLIDATED STATEMENT OF CASH FLOW</w:t>
      </w:r>
    </w:p>
    <w:p>
      <w:pPr>
        <w:jc w:val="center"/>
        <w:ind w:right="-79"/>
        <w:spacing w:after="0" w:line="238" w:lineRule="auto"/>
        <w:rPr>
          <w:sz w:val="20"/>
          <w:szCs w:val="20"/>
          <w:color w:val="auto"/>
        </w:rPr>
      </w:pPr>
      <w:r>
        <w:rPr>
          <w:rFonts w:ascii="Arial" w:cs="Arial" w:eastAsia="Arial" w:hAnsi="Arial"/>
          <w:sz w:val="17"/>
          <w:szCs w:val="17"/>
          <w:color w:val="auto"/>
        </w:rPr>
        <w:t>(in thousands)</w:t>
      </w:r>
    </w:p>
    <w:p>
      <w:pPr>
        <w:jc w:val="center"/>
        <w:ind w:right="-79"/>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7"/>
                <w:szCs w:val="17"/>
                <w:color w:val="auto"/>
              </w:rPr>
              <w:t>As</w:t>
            </w:r>
          </w:p>
        </w:tc>
        <w:tc>
          <w:tcPr>
            <w:tcW w:w="5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rPr>
              <w:t>As</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adjusted</w:t>
            </w:r>
          </w:p>
        </w:tc>
        <w:tc>
          <w:tcPr>
            <w:tcW w:w="5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adjusted</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for the</w:t>
            </w:r>
          </w:p>
        </w:tc>
        <w:tc>
          <w:tcPr>
            <w:tcW w:w="5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for the</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Three</w:t>
            </w:r>
          </w:p>
        </w:tc>
        <w:tc>
          <w:tcPr>
            <w:tcW w:w="5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Six</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As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Months</w:t>
            </w:r>
          </w:p>
        </w:tc>
        <w:tc>
          <w:tcPr>
            <w:tcW w:w="5180" w:type="dxa"/>
            <w:vAlign w:val="bottom"/>
          </w:tcPr>
          <w:p>
            <w:pPr>
              <w:spacing w:after="0"/>
              <w:rPr>
                <w:sz w:val="16"/>
                <w:szCs w:val="16"/>
                <w:color w:val="auto"/>
              </w:rPr>
            </w:pPr>
          </w:p>
        </w:tc>
        <w:tc>
          <w:tcPr>
            <w:tcW w:w="10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As</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Months</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reported</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Ended</w:t>
            </w:r>
          </w:p>
        </w:tc>
        <w:tc>
          <w:tcPr>
            <w:tcW w:w="5180" w:type="dxa"/>
            <w:vAlign w:val="bottom"/>
          </w:tcPr>
          <w:p>
            <w:pPr>
              <w:spacing w:after="0"/>
              <w:rPr>
                <w:sz w:val="16"/>
                <w:szCs w:val="16"/>
                <w:color w:val="auto"/>
              </w:rPr>
            </w:pPr>
          </w:p>
        </w:tc>
        <w:tc>
          <w:tcPr>
            <w:tcW w:w="10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reported</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Ended</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99"/>
              </w:rPr>
              <w:t>for the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June 30,</w:t>
            </w:r>
          </w:p>
        </w:tc>
        <w:tc>
          <w:tcPr>
            <w:tcW w:w="5180" w:type="dxa"/>
            <w:vAlign w:val="bottom"/>
          </w:tcPr>
          <w:p>
            <w:pPr>
              <w:spacing w:after="0"/>
              <w:rPr>
                <w:sz w:val="16"/>
                <w:szCs w:val="16"/>
                <w:color w:val="auto"/>
              </w:rPr>
            </w:pPr>
          </w:p>
        </w:tc>
        <w:tc>
          <w:tcPr>
            <w:tcW w:w="1040" w:type="dxa"/>
            <w:vAlign w:val="bottom"/>
            <w:gridSpan w:val="2"/>
          </w:tcPr>
          <w:p>
            <w:pPr>
              <w:jc w:val="center"/>
              <w:ind w:right="140"/>
              <w:spacing w:after="0" w:line="194" w:lineRule="exact"/>
              <w:rPr>
                <w:sz w:val="20"/>
                <w:szCs w:val="20"/>
                <w:color w:val="auto"/>
              </w:rPr>
            </w:pPr>
            <w:r>
              <w:rPr>
                <w:rFonts w:ascii="Arial" w:cs="Arial" w:eastAsia="Arial" w:hAnsi="Arial"/>
                <w:sz w:val="17"/>
                <w:szCs w:val="17"/>
                <w:color w:val="auto"/>
              </w:rPr>
              <w:t>for the</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June 30,</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98"/>
              </w:rPr>
              <w:t>Three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2018 to</w:t>
            </w:r>
          </w:p>
        </w:tc>
        <w:tc>
          <w:tcPr>
            <w:tcW w:w="5180" w:type="dxa"/>
            <w:vAlign w:val="bottom"/>
          </w:tcPr>
          <w:p>
            <w:pPr>
              <w:spacing w:after="0"/>
              <w:rPr>
                <w:sz w:val="16"/>
                <w:szCs w:val="16"/>
                <w:color w:val="auto"/>
              </w:rPr>
            </w:pPr>
          </w:p>
        </w:tc>
        <w:tc>
          <w:tcPr>
            <w:tcW w:w="10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Six</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2018 to</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Months</w:t>
            </w:r>
          </w:p>
        </w:tc>
        <w:tc>
          <w:tcPr>
            <w:tcW w:w="12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Adjustments</w:t>
            </w: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8"/>
              </w:rPr>
              <w:t>exclude</w:t>
            </w:r>
          </w:p>
        </w:tc>
        <w:tc>
          <w:tcPr>
            <w:tcW w:w="5180" w:type="dxa"/>
            <w:vAlign w:val="bottom"/>
          </w:tcPr>
          <w:p>
            <w:pPr>
              <w:spacing w:after="0"/>
              <w:rPr>
                <w:sz w:val="16"/>
                <w:szCs w:val="16"/>
                <w:color w:val="auto"/>
              </w:rPr>
            </w:pPr>
          </w:p>
        </w:tc>
        <w:tc>
          <w:tcPr>
            <w:tcW w:w="10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Months</w:t>
            </w:r>
          </w:p>
        </w:tc>
        <w:tc>
          <w:tcPr>
            <w:tcW w:w="1260" w:type="dxa"/>
            <w:vAlign w:val="bottom"/>
            <w:gridSpan w:val="2"/>
          </w:tcPr>
          <w:p>
            <w:pPr>
              <w:jc w:val="center"/>
              <w:ind w:right="140"/>
              <w:spacing w:after="0" w:line="194" w:lineRule="exact"/>
              <w:rPr>
                <w:sz w:val="20"/>
                <w:szCs w:val="20"/>
                <w:color w:val="auto"/>
              </w:rPr>
            </w:pPr>
            <w:r>
              <w:rPr>
                <w:rFonts w:ascii="Arial" w:cs="Arial" w:eastAsia="Arial" w:hAnsi="Arial"/>
                <w:sz w:val="17"/>
                <w:szCs w:val="17"/>
                <w:color w:val="auto"/>
              </w:rPr>
              <w:t>Adjustments</w:t>
            </w: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8"/>
              </w:rPr>
              <w:t>exclude</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Ended</w:t>
            </w:r>
          </w:p>
        </w:tc>
        <w:tc>
          <w:tcPr>
            <w:tcW w:w="12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to reverse</w:t>
            </w: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adoption</w:t>
            </w:r>
          </w:p>
        </w:tc>
        <w:tc>
          <w:tcPr>
            <w:tcW w:w="5180" w:type="dxa"/>
            <w:vAlign w:val="bottom"/>
          </w:tcPr>
          <w:p>
            <w:pPr>
              <w:spacing w:after="0"/>
              <w:rPr>
                <w:sz w:val="16"/>
                <w:szCs w:val="16"/>
                <w:color w:val="auto"/>
              </w:rPr>
            </w:pPr>
          </w:p>
        </w:tc>
        <w:tc>
          <w:tcPr>
            <w:tcW w:w="1040" w:type="dxa"/>
            <w:vAlign w:val="bottom"/>
            <w:gridSpan w:val="2"/>
          </w:tcPr>
          <w:p>
            <w:pPr>
              <w:jc w:val="center"/>
              <w:ind w:right="140"/>
              <w:spacing w:after="0" w:line="194" w:lineRule="exact"/>
              <w:rPr>
                <w:sz w:val="20"/>
                <w:szCs w:val="20"/>
                <w:color w:val="auto"/>
              </w:rPr>
            </w:pPr>
            <w:r>
              <w:rPr>
                <w:rFonts w:ascii="Arial" w:cs="Arial" w:eastAsia="Arial" w:hAnsi="Arial"/>
                <w:sz w:val="17"/>
                <w:szCs w:val="17"/>
                <w:color w:val="auto"/>
              </w:rPr>
              <w:t>Ended</w:t>
            </w:r>
          </w:p>
        </w:tc>
        <w:tc>
          <w:tcPr>
            <w:tcW w:w="1260" w:type="dxa"/>
            <w:vAlign w:val="bottom"/>
            <w:gridSpan w:val="2"/>
          </w:tcPr>
          <w:p>
            <w:pPr>
              <w:jc w:val="center"/>
              <w:ind w:right="140"/>
              <w:spacing w:after="0" w:line="194" w:lineRule="exact"/>
              <w:rPr>
                <w:sz w:val="20"/>
                <w:szCs w:val="20"/>
                <w:color w:val="auto"/>
              </w:rPr>
            </w:pPr>
            <w:r>
              <w:rPr>
                <w:rFonts w:ascii="Arial" w:cs="Arial" w:eastAsia="Arial" w:hAnsi="Arial"/>
                <w:sz w:val="17"/>
                <w:szCs w:val="17"/>
                <w:color w:val="auto"/>
              </w:rPr>
              <w:t>to reverse</w:t>
            </w: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adoption</w:t>
            </w:r>
          </w:p>
        </w:tc>
        <w:tc>
          <w:tcPr>
            <w:tcW w:w="0" w:type="dxa"/>
            <w:vAlign w:val="bottom"/>
          </w:tcPr>
          <w:p>
            <w:pPr>
              <w:spacing w:after="0"/>
              <w:rPr>
                <w:sz w:val="1"/>
                <w:szCs w:val="1"/>
                <w:color w:val="auto"/>
              </w:rPr>
            </w:pPr>
          </w:p>
        </w:tc>
      </w:tr>
      <w:tr>
        <w:trPr>
          <w:trHeight w:val="194"/>
        </w:trPr>
        <w:tc>
          <w:tcPr>
            <w:tcW w:w="102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rPr>
              <w:t>June 30,</w:t>
            </w:r>
          </w:p>
        </w:tc>
        <w:tc>
          <w:tcPr>
            <w:tcW w:w="12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w w:val="98"/>
              </w:rPr>
              <w:t>effects of</w:t>
            </w:r>
          </w:p>
        </w:tc>
        <w:tc>
          <w:tcPr>
            <w:tcW w:w="86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of ASC</w:t>
            </w:r>
          </w:p>
        </w:tc>
        <w:tc>
          <w:tcPr>
            <w:tcW w:w="5180" w:type="dxa"/>
            <w:vAlign w:val="bottom"/>
          </w:tcPr>
          <w:p>
            <w:pPr>
              <w:spacing w:after="0"/>
              <w:rPr>
                <w:sz w:val="16"/>
                <w:szCs w:val="16"/>
                <w:color w:val="auto"/>
              </w:rPr>
            </w:pPr>
          </w:p>
        </w:tc>
        <w:tc>
          <w:tcPr>
            <w:tcW w:w="1040" w:type="dxa"/>
            <w:vAlign w:val="bottom"/>
            <w:gridSpan w:val="2"/>
          </w:tcPr>
          <w:p>
            <w:pPr>
              <w:jc w:val="center"/>
              <w:ind w:right="140"/>
              <w:spacing w:after="0" w:line="194" w:lineRule="exact"/>
              <w:rPr>
                <w:sz w:val="20"/>
                <w:szCs w:val="20"/>
                <w:color w:val="auto"/>
              </w:rPr>
            </w:pPr>
            <w:r>
              <w:rPr>
                <w:rFonts w:ascii="Arial" w:cs="Arial" w:eastAsia="Arial" w:hAnsi="Arial"/>
                <w:sz w:val="17"/>
                <w:szCs w:val="17"/>
                <w:color w:val="auto"/>
              </w:rPr>
              <w:t>June 30,</w:t>
            </w:r>
          </w:p>
        </w:tc>
        <w:tc>
          <w:tcPr>
            <w:tcW w:w="1260" w:type="dxa"/>
            <w:vAlign w:val="bottom"/>
            <w:gridSpan w:val="2"/>
          </w:tcPr>
          <w:p>
            <w:pPr>
              <w:jc w:val="center"/>
              <w:ind w:right="140"/>
              <w:spacing w:after="0" w:line="194" w:lineRule="exact"/>
              <w:rPr>
                <w:sz w:val="20"/>
                <w:szCs w:val="20"/>
                <w:color w:val="auto"/>
              </w:rPr>
            </w:pPr>
            <w:r>
              <w:rPr>
                <w:rFonts w:ascii="Arial" w:cs="Arial" w:eastAsia="Arial" w:hAnsi="Arial"/>
                <w:sz w:val="17"/>
                <w:szCs w:val="17"/>
                <w:color w:val="auto"/>
                <w:w w:val="98"/>
              </w:rPr>
              <w:t>effects of</w:t>
            </w:r>
          </w:p>
        </w:tc>
        <w:tc>
          <w:tcPr>
            <w:tcW w:w="840" w:type="dxa"/>
            <w:vAlign w:val="bottom"/>
            <w:gridSpan w:val="2"/>
          </w:tcPr>
          <w:p>
            <w:pPr>
              <w:jc w:val="center"/>
              <w:spacing w:after="0" w:line="194" w:lineRule="exact"/>
              <w:rPr>
                <w:sz w:val="20"/>
                <w:szCs w:val="20"/>
                <w:color w:val="auto"/>
              </w:rPr>
            </w:pPr>
            <w:r>
              <w:rPr>
                <w:rFonts w:ascii="Arial" w:cs="Arial" w:eastAsia="Arial" w:hAnsi="Arial"/>
                <w:sz w:val="17"/>
                <w:szCs w:val="17"/>
                <w:color w:val="auto"/>
              </w:rPr>
              <w:t>of ASC</w:t>
            </w:r>
          </w:p>
        </w:tc>
        <w:tc>
          <w:tcPr>
            <w:tcW w:w="0" w:type="dxa"/>
            <w:vAlign w:val="bottom"/>
          </w:tcPr>
          <w:p>
            <w:pPr>
              <w:spacing w:after="0"/>
              <w:rPr>
                <w:sz w:val="1"/>
                <w:szCs w:val="1"/>
                <w:color w:val="auto"/>
              </w:rPr>
            </w:pPr>
          </w:p>
        </w:tc>
      </w:tr>
      <w:tr>
        <w:trPr>
          <w:trHeight w:val="206"/>
        </w:trPr>
        <w:tc>
          <w:tcPr>
            <w:tcW w:w="820" w:type="dxa"/>
            <w:vAlign w:val="bottom"/>
          </w:tcPr>
          <w:p>
            <w:pPr>
              <w:jc w:val="center"/>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ASC 606</w:t>
            </w:r>
          </w:p>
        </w:tc>
        <w:tc>
          <w:tcPr>
            <w:tcW w:w="820" w:type="dxa"/>
            <w:vAlign w:val="bottom"/>
          </w:tcPr>
          <w:p>
            <w:pPr>
              <w:jc w:val="center"/>
              <w:spacing w:after="0"/>
              <w:rPr>
                <w:sz w:val="20"/>
                <w:szCs w:val="20"/>
                <w:color w:val="auto"/>
              </w:rPr>
            </w:pPr>
            <w:r>
              <w:rPr>
                <w:rFonts w:ascii="Arial" w:cs="Arial" w:eastAsia="Arial" w:hAnsi="Arial"/>
                <w:sz w:val="17"/>
                <w:szCs w:val="17"/>
                <w:color w:val="auto"/>
              </w:rPr>
              <w:t>606</w:t>
            </w:r>
          </w:p>
        </w:tc>
        <w:tc>
          <w:tcPr>
            <w:tcW w:w="40" w:type="dxa"/>
            <w:vAlign w:val="bottom"/>
          </w:tcPr>
          <w:p>
            <w:pPr>
              <w:spacing w:after="0"/>
              <w:rPr>
                <w:sz w:val="17"/>
                <w:szCs w:val="17"/>
                <w:color w:val="auto"/>
              </w:rPr>
            </w:pPr>
          </w:p>
        </w:tc>
        <w:tc>
          <w:tcPr>
            <w:tcW w:w="5180" w:type="dxa"/>
            <w:vAlign w:val="bottom"/>
            <w:vMerge w:val="restart"/>
          </w:tcPr>
          <w:p>
            <w:pPr>
              <w:ind w:left="40"/>
              <w:spacing w:after="0"/>
              <w:rPr>
                <w:sz w:val="20"/>
                <w:szCs w:val="20"/>
                <w:color w:val="auto"/>
              </w:rPr>
            </w:pPr>
            <w:r>
              <w:rPr>
                <w:rFonts w:ascii="Arial" w:cs="Arial" w:eastAsia="Arial" w:hAnsi="Arial"/>
                <w:sz w:val="17"/>
                <w:szCs w:val="17"/>
                <w:color w:val="auto"/>
              </w:rPr>
              <w:t>OPERATING ACTIVITIES</w:t>
            </w:r>
          </w:p>
        </w:tc>
        <w:tc>
          <w:tcPr>
            <w:tcW w:w="820" w:type="dxa"/>
            <w:vAlign w:val="bottom"/>
          </w:tcPr>
          <w:p>
            <w:pPr>
              <w:jc w:val="center"/>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color w:val="auto"/>
                <w:w w:val="99"/>
              </w:rPr>
              <w:t>ASC 606</w:t>
            </w:r>
          </w:p>
        </w:tc>
        <w:tc>
          <w:tcPr>
            <w:tcW w:w="820" w:type="dxa"/>
            <w:vAlign w:val="bottom"/>
          </w:tcPr>
          <w:p>
            <w:pPr>
              <w:jc w:val="center"/>
              <w:spacing w:after="0"/>
              <w:rPr>
                <w:sz w:val="20"/>
                <w:szCs w:val="20"/>
                <w:color w:val="auto"/>
              </w:rPr>
            </w:pPr>
            <w:r>
              <w:rPr>
                <w:rFonts w:ascii="Arial" w:cs="Arial" w:eastAsia="Arial" w:hAnsi="Arial"/>
                <w:sz w:val="17"/>
                <w:szCs w:val="17"/>
                <w:color w:val="auto"/>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$30,306</w:t>
            </w:r>
          </w:p>
        </w:tc>
        <w:tc>
          <w:tcPr>
            <w:tcW w:w="200" w:type="dxa"/>
            <w:vAlign w:val="bottom"/>
            <w:shd w:val="clear" w:color="auto" w:fill="BFBFBF"/>
          </w:tcPr>
          <w:p>
            <w:pPr>
              <w:spacing w:after="0"/>
              <w:rPr>
                <w:sz w:val="16"/>
                <w:szCs w:val="16"/>
                <w:color w:val="auto"/>
              </w:rPr>
            </w:pP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($1,402)</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$28,904</w:t>
            </w:r>
          </w:p>
        </w:tc>
        <w:tc>
          <w:tcPr>
            <w:tcW w:w="518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Net income</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$40,788</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($2,649)</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$38,139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20" w:type="dxa"/>
            <w:vAlign w:val="bottom"/>
            <w:gridSpan w:val="3"/>
          </w:tcPr>
          <w:p>
            <w:pPr>
              <w:ind w:left="40"/>
              <w:spacing w:after="0" w:line="194"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17,114</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17,114</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Depreciation</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35,416</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35,416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2,559</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2,559</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Amortization</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5,205</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5,205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(854)</w:t>
            </w:r>
          </w:p>
        </w:tc>
        <w:tc>
          <w:tcPr>
            <w:tcW w:w="200" w:type="dxa"/>
            <w:vAlign w:val="bottom"/>
            <w:shd w:val="clear" w:color="auto" w:fill="BFBFBF"/>
          </w:tcPr>
          <w:p>
            <w:pPr>
              <w:spacing w:after="0"/>
              <w:rPr>
                <w:sz w:val="16"/>
                <w:szCs w:val="16"/>
                <w:color w:val="auto"/>
              </w:rPr>
            </w:pP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(854)</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Change in other noncurrent liabilities</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(1,231)</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(1,231)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(6,118)</w:t>
            </w:r>
          </w:p>
        </w:tc>
        <w:tc>
          <w:tcPr>
            <w:tcW w:w="12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(507)</w:t>
            </w: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(6,625)</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Change in deferred taxes and other liabilities</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(6,902)</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(1,108)</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(8,010)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853</w:t>
            </w:r>
          </w:p>
        </w:tc>
        <w:tc>
          <w:tcPr>
            <w:tcW w:w="200" w:type="dxa"/>
            <w:vAlign w:val="bottom"/>
            <w:shd w:val="clear" w:color="auto" w:fill="BFBFBF"/>
          </w:tcPr>
          <w:p>
            <w:pPr>
              <w:spacing w:after="0"/>
              <w:rPr>
                <w:sz w:val="16"/>
                <w:szCs w:val="16"/>
                <w:color w:val="auto"/>
              </w:rPr>
            </w:pP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853</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Provision for write-off of property, plant and equipment</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1,124</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154</w:t>
            </w:r>
          </w:p>
        </w:tc>
        <w:tc>
          <w:tcPr>
            <w:tcW w:w="2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154</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Non-cash interest expense</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154</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5180" w:type="dxa"/>
            <w:vAlign w:val="bottom"/>
            <w:shd w:val="clear" w:color="auto" w:fill="BFBFBF"/>
          </w:tcPr>
          <w:p>
            <w:pPr>
              <w:ind w:left="260"/>
              <w:spacing w:after="0" w:line="193" w:lineRule="exact"/>
              <w:rPr>
                <w:sz w:val="20"/>
                <w:szCs w:val="20"/>
                <w:color w:val="auto"/>
              </w:rPr>
            </w:pPr>
            <w:r>
              <w:rPr>
                <w:rFonts w:ascii="Arial" w:cs="Arial" w:eastAsia="Arial" w:hAnsi="Arial"/>
                <w:sz w:val="17"/>
                <w:szCs w:val="17"/>
                <w:color w:val="auto"/>
              </w:rPr>
              <w:t>Compensation and benefits paid or payable in Class A Common</w:t>
            </w:r>
          </w:p>
        </w:tc>
        <w:tc>
          <w:tcPr>
            <w:tcW w:w="820" w:type="dxa"/>
            <w:vAlign w:val="bottom"/>
            <w:shd w:val="clear" w:color="auto" w:fill="BFBFBF"/>
          </w:tcPr>
          <w:p>
            <w:pPr>
              <w:spacing w:after="0"/>
              <w:rPr>
                <w:sz w:val="16"/>
                <w:szCs w:val="16"/>
                <w:color w:val="auto"/>
              </w:rPr>
            </w:pPr>
          </w:p>
        </w:tc>
        <w:tc>
          <w:tcPr>
            <w:tcW w:w="22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220" w:type="dxa"/>
            <w:vAlign w:val="bottom"/>
            <w:shd w:val="clear" w:color="auto" w:fill="BFBFBF"/>
          </w:tcPr>
          <w:p>
            <w:pPr>
              <w:spacing w:after="0"/>
              <w:rPr>
                <w:sz w:val="16"/>
                <w:szCs w:val="16"/>
                <w:color w:val="auto"/>
              </w:rPr>
            </w:pPr>
          </w:p>
        </w:tc>
        <w:tc>
          <w:tcPr>
            <w:tcW w:w="820" w:type="dxa"/>
            <w:vAlign w:val="bottom"/>
            <w:shd w:val="clear" w:color="auto" w:fill="BFBFB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1,047</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1,047</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Stock</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1,336</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1,336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34</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c>
          <w:tcPr>
            <w:tcW w:w="5180" w:type="dxa"/>
            <w:vAlign w:val="bottom"/>
          </w:tcPr>
          <w:p>
            <w:pPr>
              <w:ind w:left="260"/>
              <w:spacing w:after="0"/>
              <w:rPr>
                <w:sz w:val="20"/>
                <w:szCs w:val="20"/>
                <w:color w:val="auto"/>
              </w:rPr>
            </w:pPr>
            <w:r>
              <w:rPr>
                <w:rFonts w:ascii="Arial" w:cs="Arial" w:eastAsia="Arial" w:hAnsi="Arial"/>
                <w:sz w:val="17"/>
                <w:szCs w:val="17"/>
                <w:color w:val="auto"/>
              </w:rPr>
              <w:t>Fair valule adjustment on foreign currency option</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71</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6220" w:type="dxa"/>
            <w:vAlign w:val="bottom"/>
            <w:gridSpan w:val="3"/>
            <w:shd w:val="clear" w:color="auto" w:fill="BFBFBF"/>
          </w:tcPr>
          <w:p>
            <w:pPr>
              <w:ind w:left="100"/>
              <w:spacing w:after="0" w:line="194" w:lineRule="exact"/>
              <w:rPr>
                <w:sz w:val="20"/>
                <w:szCs w:val="20"/>
                <w:color w:val="auto"/>
              </w:rPr>
            </w:pPr>
            <w:r>
              <w:rPr>
                <w:rFonts w:ascii="Arial" w:cs="Arial" w:eastAsia="Arial" w:hAnsi="Arial"/>
                <w:sz w:val="17"/>
                <w:szCs w:val="17"/>
                <w:color w:val="auto"/>
              </w:rPr>
              <w:t>Changes in operating assets and liabilities that (used)/provided cash:</w:t>
            </w:r>
          </w:p>
        </w:tc>
        <w:tc>
          <w:tcPr>
            <w:tcW w:w="1040" w:type="dxa"/>
            <w:vAlign w:val="bottom"/>
            <w:shd w:val="clear" w:color="auto" w:fill="BFBFBF"/>
          </w:tcPr>
          <w:p>
            <w:pPr>
              <w:spacing w:after="0"/>
              <w:rPr>
                <w:sz w:val="16"/>
                <w:szCs w:val="16"/>
                <w:color w:val="auto"/>
              </w:rPr>
            </w:pPr>
          </w:p>
        </w:tc>
        <w:tc>
          <w:tcPr>
            <w:tcW w:w="220" w:type="dxa"/>
            <w:vAlign w:val="bottom"/>
            <w:shd w:val="clear" w:color="auto" w:fill="BFBFBF"/>
          </w:tcPr>
          <w:p>
            <w:pPr>
              <w:spacing w:after="0"/>
              <w:rPr>
                <w:sz w:val="16"/>
                <w:szCs w:val="16"/>
                <w:color w:val="auto"/>
              </w:rPr>
            </w:pPr>
          </w:p>
        </w:tc>
        <w:tc>
          <w:tcPr>
            <w:tcW w:w="820" w:type="dxa"/>
            <w:vAlign w:val="bottom"/>
            <w:shd w:val="clear" w:color="auto" w:fill="BFBFB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(12,903)</w:t>
            </w:r>
          </w:p>
        </w:tc>
        <w:tc>
          <w:tcPr>
            <w:tcW w:w="2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(14,277)</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(27,180)</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Accounts receivable</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(44,370)</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(3,727)</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(48,097)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(13,877)</w:t>
            </w:r>
          </w:p>
        </w:tc>
        <w:tc>
          <w:tcPr>
            <w:tcW w:w="200" w:type="dxa"/>
            <w:vAlign w:val="bottom"/>
            <w:shd w:val="clear" w:color="auto" w:fill="BFBFBF"/>
          </w:tcPr>
          <w:p>
            <w:pPr>
              <w:spacing w:after="0"/>
              <w:rPr>
                <w:sz w:val="16"/>
                <w:szCs w:val="16"/>
                <w:color w:val="auto"/>
              </w:rPr>
            </w:pPr>
          </w:p>
        </w:tc>
        <w:tc>
          <w:tcPr>
            <w:tcW w:w="124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13,877</w:t>
            </w: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Contract assets</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(11,761)</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11,761</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(1,371)</w:t>
            </w:r>
          </w:p>
        </w:tc>
        <w:tc>
          <w:tcPr>
            <w:tcW w:w="12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2,304</w:t>
            </w: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933</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Inventories</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(10,615)</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(4,222)</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(14,837)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(1,157)</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(1,157)</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(5,220)</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(5,220)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(5)</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Income taxes prepaid and receivable</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97</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11,420</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11,420</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Accounts payable</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8,882</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8,882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5,853</w:t>
            </w:r>
          </w:p>
        </w:tc>
        <w:tc>
          <w:tcPr>
            <w:tcW w:w="12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5</w:t>
            </w: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5,858</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Accrued liabilities</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4,668</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(55)</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4,613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10,020</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10,020</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Income taxes payable</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6,589</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6,589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(1,643)</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(1,643)</w:t>
            </w:r>
          </w:p>
        </w:tc>
        <w:tc>
          <w:tcPr>
            <w:tcW w:w="5180" w:type="dxa"/>
            <w:vAlign w:val="bottom"/>
          </w:tcPr>
          <w:p>
            <w:pPr>
              <w:ind w:left="260"/>
              <w:spacing w:after="0" w:line="194" w:lineRule="exact"/>
              <w:rPr>
                <w:sz w:val="20"/>
                <w:szCs w:val="20"/>
                <w:color w:val="auto"/>
              </w:rPr>
            </w:pPr>
            <w:r>
              <w:rPr>
                <w:rFonts w:ascii="Arial" w:cs="Arial" w:eastAsia="Arial" w:hAnsi="Arial"/>
                <w:sz w:val="17"/>
                <w:szCs w:val="17"/>
                <w:color w:val="auto"/>
              </w:rPr>
              <w:t>Noncurrent receivables</w:t>
            </w:r>
          </w:p>
        </w:tc>
        <w:tc>
          <w:tcPr>
            <w:tcW w:w="10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(4,170)</w:t>
            </w:r>
          </w:p>
        </w:tc>
        <w:tc>
          <w:tcPr>
            <w:tcW w:w="12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(4,170)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(5,745)</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(5,745)</w:t>
            </w:r>
          </w:p>
        </w:tc>
        <w:tc>
          <w:tcPr>
            <w:tcW w:w="5180" w:type="dxa"/>
            <w:vAlign w:val="bottom"/>
            <w:shd w:val="clear" w:color="auto" w:fill="BFBFBF"/>
          </w:tcPr>
          <w:p>
            <w:pPr>
              <w:ind w:left="260"/>
              <w:spacing w:after="0" w:line="194" w:lineRule="exact"/>
              <w:rPr>
                <w:sz w:val="20"/>
                <w:szCs w:val="20"/>
                <w:color w:val="auto"/>
              </w:rPr>
            </w:pPr>
            <w:r>
              <w:rPr>
                <w:rFonts w:ascii="Arial" w:cs="Arial" w:eastAsia="Arial" w:hAnsi="Arial"/>
                <w:sz w:val="17"/>
                <w:szCs w:val="17"/>
                <w:color w:val="auto"/>
              </w:rPr>
              <w:t>Other, net</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(3,321)</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(3,321)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35,687</w:t>
            </w:r>
          </w:p>
        </w:tc>
        <w:tc>
          <w:tcPr>
            <w:tcW w:w="2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35,687</w:t>
            </w:r>
          </w:p>
        </w:tc>
        <w:tc>
          <w:tcPr>
            <w:tcW w:w="40" w:type="dxa"/>
            <w:vAlign w:val="bottom"/>
          </w:tcPr>
          <w:p>
            <w:pPr>
              <w:spacing w:after="0"/>
              <w:rPr>
                <w:sz w:val="16"/>
                <w:szCs w:val="16"/>
                <w:color w:val="auto"/>
              </w:rPr>
            </w:pPr>
          </w:p>
        </w:tc>
        <w:tc>
          <w:tcPr>
            <w:tcW w:w="5180" w:type="dxa"/>
            <w:vAlign w:val="bottom"/>
          </w:tcPr>
          <w:p>
            <w:pPr>
              <w:ind w:left="260"/>
              <w:spacing w:after="0" w:line="186" w:lineRule="exact"/>
              <w:rPr>
                <w:sz w:val="20"/>
                <w:szCs w:val="20"/>
                <w:color w:val="auto"/>
              </w:rPr>
            </w:pPr>
            <w:r>
              <w:rPr>
                <w:rFonts w:ascii="Arial" w:cs="Arial" w:eastAsia="Arial" w:hAnsi="Arial"/>
                <w:sz w:val="17"/>
                <w:szCs w:val="17"/>
                <w:color w:val="auto"/>
              </w:rPr>
              <w:t>Net cash provided by operating activities</w:t>
            </w:r>
          </w:p>
        </w:tc>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16,740</w:t>
            </w:r>
          </w:p>
        </w:tc>
        <w:tc>
          <w:tcPr>
            <w:tcW w:w="2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16,740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BFBFB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BFBFB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BFBFBF"/>
            </w:tcBorders>
          </w:tcPr>
          <w:p>
            <w:pPr>
              <w:spacing w:after="0"/>
              <w:rPr>
                <w:sz w:val="16"/>
                <w:szCs w:val="16"/>
                <w:color w:val="auto"/>
              </w:rPr>
            </w:pPr>
          </w:p>
        </w:tc>
        <w:tc>
          <w:tcPr>
            <w:tcW w:w="5180" w:type="dxa"/>
            <w:vAlign w:val="bottom"/>
            <w:tcBorders>
              <w:bottom w:val="single" w:sz="8" w:color="BFBFB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BFBFB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BFBFB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Borders>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(23,375)</w:t>
            </w:r>
          </w:p>
        </w:tc>
        <w:tc>
          <w:tcPr>
            <w:tcW w:w="200" w:type="dxa"/>
            <w:vAlign w:val="bottom"/>
            <w:shd w:val="clear" w:color="auto" w:fill="BFBFBF"/>
          </w:tcPr>
          <w:p>
            <w:pPr>
              <w:spacing w:after="0"/>
              <w:rPr>
                <w:sz w:val="16"/>
                <w:szCs w:val="16"/>
                <w:color w:val="auto"/>
              </w:rPr>
            </w:pPr>
          </w:p>
        </w:tc>
        <w:tc>
          <w:tcPr>
            <w:tcW w:w="1040" w:type="dxa"/>
            <w:vAlign w:val="bottom"/>
            <w:tcBorders>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20" w:type="dxa"/>
            <w:vAlign w:val="bottom"/>
            <w:tcBorders>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(23,375)</w:t>
            </w:r>
          </w:p>
        </w:tc>
        <w:tc>
          <w:tcPr>
            <w:tcW w:w="40" w:type="dxa"/>
            <w:vAlign w:val="bottom"/>
            <w:shd w:val="clear" w:color="auto" w:fill="BFBFBF"/>
          </w:tcPr>
          <w:p>
            <w:pPr>
              <w:spacing w:after="0"/>
              <w:rPr>
                <w:sz w:val="16"/>
                <w:szCs w:val="16"/>
                <w:color w:val="auto"/>
              </w:rPr>
            </w:pPr>
          </w:p>
        </w:tc>
        <w:tc>
          <w:tcPr>
            <w:tcW w:w="5180" w:type="dxa"/>
            <w:vAlign w:val="bottom"/>
            <w:shd w:val="clear" w:color="auto" w:fill="BFBFBF"/>
          </w:tcPr>
          <w:p>
            <w:pPr>
              <w:ind w:left="260"/>
              <w:spacing w:after="0" w:line="186" w:lineRule="exact"/>
              <w:rPr>
                <w:sz w:val="20"/>
                <w:szCs w:val="20"/>
                <w:color w:val="auto"/>
              </w:rPr>
            </w:pPr>
            <w:r>
              <w:rPr>
                <w:rFonts w:ascii="Arial" w:cs="Arial" w:eastAsia="Arial" w:hAnsi="Arial"/>
                <w:sz w:val="17"/>
                <w:szCs w:val="17"/>
                <w:color w:val="auto"/>
              </w:rPr>
              <w:t>Net cash used in investing activities</w:t>
            </w:r>
          </w:p>
        </w:tc>
        <w:tc>
          <w:tcPr>
            <w:tcW w:w="820" w:type="dxa"/>
            <w:vAlign w:val="bottom"/>
            <w:tcBorders>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(39,175)</w:t>
            </w:r>
          </w:p>
        </w:tc>
        <w:tc>
          <w:tcPr>
            <w:tcW w:w="220" w:type="dxa"/>
            <w:vAlign w:val="bottom"/>
            <w:shd w:val="clear" w:color="auto" w:fill="BFBFBF"/>
          </w:tcPr>
          <w:p>
            <w:pPr>
              <w:spacing w:after="0"/>
              <w:rPr>
                <w:sz w:val="16"/>
                <w:szCs w:val="16"/>
                <w:color w:val="auto"/>
              </w:rPr>
            </w:pPr>
          </w:p>
        </w:tc>
        <w:tc>
          <w:tcPr>
            <w:tcW w:w="1040" w:type="dxa"/>
            <w:vAlign w:val="bottom"/>
            <w:tcBorders>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w:t>
            </w:r>
          </w:p>
        </w:tc>
        <w:tc>
          <w:tcPr>
            <w:tcW w:w="220" w:type="dxa"/>
            <w:vAlign w:val="bottom"/>
            <w:shd w:val="clear" w:color="auto" w:fill="BFBFBF"/>
          </w:tcPr>
          <w:p>
            <w:pPr>
              <w:spacing w:after="0"/>
              <w:rPr>
                <w:sz w:val="16"/>
                <w:szCs w:val="16"/>
                <w:color w:val="auto"/>
              </w:rPr>
            </w:pPr>
          </w:p>
        </w:tc>
        <w:tc>
          <w:tcPr>
            <w:tcW w:w="820" w:type="dxa"/>
            <w:vAlign w:val="bottom"/>
            <w:tcBorders>
              <w:bottom w:val="single" w:sz="8" w:color="auto"/>
            </w:tcBorders>
            <w:shd w:val="clear" w:color="auto" w:fill="BFBFBF"/>
          </w:tcPr>
          <w:p>
            <w:pPr>
              <w:jc w:val="right"/>
              <w:spacing w:after="0" w:line="186" w:lineRule="exact"/>
              <w:rPr>
                <w:sz w:val="20"/>
                <w:szCs w:val="20"/>
                <w:color w:val="auto"/>
              </w:rPr>
            </w:pPr>
            <w:r>
              <w:rPr>
                <w:rFonts w:ascii="Arial" w:cs="Arial" w:eastAsia="Arial" w:hAnsi="Arial"/>
                <w:sz w:val="17"/>
                <w:szCs w:val="17"/>
                <w:color w:val="auto"/>
              </w:rPr>
              <w:t>(39,175)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(1,112)</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(1,112)</w:t>
            </w:r>
          </w:p>
        </w:tc>
        <w:tc>
          <w:tcPr>
            <w:tcW w:w="40" w:type="dxa"/>
            <w:vAlign w:val="bottom"/>
          </w:tcPr>
          <w:p>
            <w:pPr>
              <w:spacing w:after="0"/>
              <w:rPr>
                <w:sz w:val="16"/>
                <w:szCs w:val="16"/>
                <w:color w:val="auto"/>
              </w:rPr>
            </w:pPr>
          </w:p>
        </w:tc>
        <w:tc>
          <w:tcPr>
            <w:tcW w:w="5180" w:type="dxa"/>
            <w:vAlign w:val="bottom"/>
          </w:tcPr>
          <w:p>
            <w:pPr>
              <w:ind w:left="260"/>
              <w:spacing w:after="0" w:line="186" w:lineRule="exact"/>
              <w:rPr>
                <w:sz w:val="20"/>
                <w:szCs w:val="20"/>
                <w:color w:val="auto"/>
              </w:rPr>
            </w:pPr>
            <w:r>
              <w:rPr>
                <w:rFonts w:ascii="Arial" w:cs="Arial" w:eastAsia="Arial" w:hAnsi="Arial"/>
                <w:sz w:val="17"/>
                <w:szCs w:val="17"/>
                <w:color w:val="auto"/>
              </w:rPr>
              <w:t>Net cash used in financing activities</w:t>
            </w: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(3,570)</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BFBFBF"/>
          </w:tcPr>
          <w:p>
            <w:pPr>
              <w:jc w:val="right"/>
              <w:ind w:right="200"/>
              <w:spacing w:after="0" w:line="194" w:lineRule="exact"/>
              <w:rPr>
                <w:sz w:val="20"/>
                <w:szCs w:val="20"/>
                <w:color w:val="auto"/>
              </w:rPr>
            </w:pPr>
            <w:r>
              <w:rPr>
                <w:rFonts w:ascii="Arial" w:cs="Arial" w:eastAsia="Arial" w:hAnsi="Arial"/>
                <w:sz w:val="17"/>
                <w:szCs w:val="17"/>
                <w:color w:val="auto"/>
              </w:rPr>
              <w:t>(7,882)</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(7,882)</w:t>
            </w:r>
          </w:p>
        </w:tc>
        <w:tc>
          <w:tcPr>
            <w:tcW w:w="518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Effect of exchange rate changes on cash and cash equivalents</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(2,978)</w:t>
            </w:r>
          </w:p>
        </w:tc>
        <w:tc>
          <w:tcPr>
            <w:tcW w:w="126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(2,978)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3,318</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3,318</w:t>
            </w:r>
          </w:p>
        </w:tc>
        <w:tc>
          <w:tcPr>
            <w:tcW w:w="5180" w:type="dxa"/>
            <w:vAlign w:val="bottom"/>
          </w:tcPr>
          <w:p>
            <w:pPr>
              <w:ind w:left="40"/>
              <w:spacing w:after="0"/>
              <w:rPr>
                <w:sz w:val="20"/>
                <w:szCs w:val="20"/>
                <w:color w:val="auto"/>
              </w:rPr>
            </w:pPr>
            <w:r>
              <w:rPr>
                <w:rFonts w:ascii="Arial" w:cs="Arial" w:eastAsia="Arial" w:hAnsi="Arial"/>
                <w:sz w:val="17"/>
                <w:szCs w:val="17"/>
                <w:color w:val="auto"/>
              </w:rPr>
              <w:t>(Decrease)/increase in cash and cash equivalents</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(28,983)</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(28,983)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151,426</w:t>
            </w:r>
          </w:p>
        </w:tc>
        <w:tc>
          <w:tcPr>
            <w:tcW w:w="200" w:type="dxa"/>
            <w:vAlign w:val="bottom"/>
            <w:shd w:val="clear" w:color="auto" w:fill="BFBFBF"/>
          </w:tcPr>
          <w:p>
            <w:pPr>
              <w:spacing w:after="0"/>
              <w:rPr>
                <w:sz w:val="16"/>
                <w:szCs w:val="16"/>
                <w:color w:val="auto"/>
              </w:rPr>
            </w:pP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BFBFBF"/>
          </w:tcPr>
          <w:p>
            <w:pPr>
              <w:spacing w:after="0"/>
              <w:rPr>
                <w:sz w:val="16"/>
                <w:szCs w:val="16"/>
                <w:color w:val="auto"/>
              </w:rPr>
            </w:pPr>
          </w:p>
        </w:tc>
        <w:tc>
          <w:tcPr>
            <w:tcW w:w="860" w:type="dxa"/>
            <w:vAlign w:val="bottom"/>
            <w:gridSpan w:val="2"/>
            <w:shd w:val="clear" w:color="auto" w:fill="BFBFBF"/>
          </w:tcPr>
          <w:p>
            <w:pPr>
              <w:jc w:val="right"/>
              <w:ind w:right="40"/>
              <w:spacing w:after="0" w:line="194" w:lineRule="exact"/>
              <w:rPr>
                <w:sz w:val="20"/>
                <w:szCs w:val="20"/>
                <w:color w:val="auto"/>
              </w:rPr>
            </w:pPr>
            <w:r>
              <w:rPr>
                <w:rFonts w:ascii="Arial" w:cs="Arial" w:eastAsia="Arial" w:hAnsi="Arial"/>
                <w:sz w:val="17"/>
                <w:szCs w:val="17"/>
                <w:color w:val="auto"/>
              </w:rPr>
              <w:t>151,426</w:t>
            </w:r>
          </w:p>
        </w:tc>
        <w:tc>
          <w:tcPr>
            <w:tcW w:w="5180" w:type="dxa"/>
            <w:vAlign w:val="bottom"/>
            <w:shd w:val="clear" w:color="auto" w:fill="BFBFBF"/>
          </w:tcPr>
          <w:p>
            <w:pPr>
              <w:ind w:left="40"/>
              <w:spacing w:after="0" w:line="194" w:lineRule="exact"/>
              <w:rPr>
                <w:sz w:val="20"/>
                <w:szCs w:val="20"/>
                <w:color w:val="auto"/>
              </w:rPr>
            </w:pPr>
            <w:r>
              <w:rPr>
                <w:rFonts w:ascii="Arial" w:cs="Arial" w:eastAsia="Arial" w:hAnsi="Arial"/>
                <w:sz w:val="17"/>
                <w:szCs w:val="17"/>
                <w:color w:val="auto"/>
              </w:rPr>
              <w:t>Cash and cash equivalents at beginning of period</w:t>
            </w:r>
          </w:p>
        </w:tc>
        <w:tc>
          <w:tcPr>
            <w:tcW w:w="1040" w:type="dxa"/>
            <w:vAlign w:val="bottom"/>
            <w:gridSpan w:val="2"/>
            <w:shd w:val="clear" w:color="auto" w:fill="BFBFBF"/>
          </w:tcPr>
          <w:p>
            <w:pPr>
              <w:jc w:val="right"/>
              <w:ind w:right="220"/>
              <w:spacing w:after="0" w:line="194" w:lineRule="exact"/>
              <w:rPr>
                <w:sz w:val="20"/>
                <w:szCs w:val="20"/>
                <w:color w:val="auto"/>
              </w:rPr>
            </w:pPr>
            <w:r>
              <w:rPr>
                <w:rFonts w:ascii="Arial" w:cs="Arial" w:eastAsia="Arial" w:hAnsi="Arial"/>
                <w:sz w:val="17"/>
                <w:szCs w:val="17"/>
                <w:color w:val="auto"/>
              </w:rPr>
              <w:t>183,727</w:t>
            </w:r>
          </w:p>
        </w:tc>
        <w:tc>
          <w:tcPr>
            <w:tcW w:w="104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BFBFBF"/>
          </w:tcPr>
          <w:p>
            <w:pPr>
              <w:spacing w:after="0"/>
              <w:rPr>
                <w:sz w:val="16"/>
                <w:szCs w:val="16"/>
                <w:color w:val="auto"/>
              </w:rPr>
            </w:pPr>
          </w:p>
        </w:tc>
        <w:tc>
          <w:tcPr>
            <w:tcW w:w="820" w:type="dxa"/>
            <w:vAlign w:val="bottom"/>
            <w:shd w:val="clear" w:color="auto" w:fill="BFBFBF"/>
          </w:tcPr>
          <w:p>
            <w:pPr>
              <w:jc w:val="right"/>
              <w:spacing w:after="0" w:line="194" w:lineRule="exact"/>
              <w:rPr>
                <w:sz w:val="20"/>
                <w:szCs w:val="20"/>
                <w:color w:val="auto"/>
              </w:rPr>
            </w:pPr>
            <w:r>
              <w:rPr>
                <w:rFonts w:ascii="Arial" w:cs="Arial" w:eastAsia="Arial" w:hAnsi="Arial"/>
                <w:sz w:val="17"/>
                <w:szCs w:val="17"/>
                <w:color w:val="auto"/>
              </w:rPr>
              <w:t>183,727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$154,744</w:t>
            </w:r>
          </w:p>
        </w:tc>
        <w:tc>
          <w:tcPr>
            <w:tcW w:w="2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  -</w:t>
            </w:r>
          </w:p>
        </w:tc>
        <w:tc>
          <w:tcPr>
            <w:tcW w:w="20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$154,744</w:t>
            </w:r>
          </w:p>
        </w:tc>
        <w:tc>
          <w:tcPr>
            <w:tcW w:w="40" w:type="dxa"/>
            <w:vAlign w:val="bottom"/>
          </w:tcPr>
          <w:p>
            <w:pPr>
              <w:spacing w:after="0"/>
              <w:rPr>
                <w:sz w:val="16"/>
                <w:szCs w:val="16"/>
                <w:color w:val="auto"/>
              </w:rPr>
            </w:pPr>
          </w:p>
        </w:tc>
        <w:tc>
          <w:tcPr>
            <w:tcW w:w="5180" w:type="dxa"/>
            <w:vAlign w:val="bottom"/>
          </w:tcPr>
          <w:p>
            <w:pPr>
              <w:ind w:left="40"/>
              <w:spacing w:after="0" w:line="186" w:lineRule="exact"/>
              <w:rPr>
                <w:sz w:val="20"/>
                <w:szCs w:val="20"/>
                <w:color w:val="auto"/>
              </w:rPr>
            </w:pPr>
            <w:r>
              <w:rPr>
                <w:rFonts w:ascii="Arial" w:cs="Arial" w:eastAsia="Arial" w:hAnsi="Arial"/>
                <w:sz w:val="17"/>
                <w:szCs w:val="17"/>
                <w:color w:val="auto"/>
              </w:rPr>
              <w:t>Cash and cash equivalents at end of period</w:t>
            </w:r>
          </w:p>
        </w:tc>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$154,744</w:t>
            </w:r>
          </w:p>
        </w:tc>
        <w:tc>
          <w:tcPr>
            <w:tcW w:w="2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  -</w:t>
            </w:r>
          </w:p>
        </w:tc>
        <w:tc>
          <w:tcPr>
            <w:tcW w:w="2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$154,744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Reportable Segments</w:t>
      </w:r>
    </w:p>
    <w:p>
      <w:pPr>
        <w:spacing w:after="0" w:line="186" w:lineRule="exact"/>
        <w:rPr>
          <w:sz w:val="20"/>
          <w:szCs w:val="20"/>
          <w:color w:val="auto"/>
        </w:rPr>
      </w:pPr>
    </w:p>
    <w:p>
      <w:pPr>
        <w:ind w:right="280" w:firstLine="620"/>
        <w:spacing w:after="0" w:line="243" w:lineRule="auto"/>
        <w:rPr>
          <w:sz w:val="20"/>
          <w:szCs w:val="20"/>
          <w:color w:val="auto"/>
        </w:rPr>
      </w:pPr>
      <w:r>
        <w:rPr>
          <w:rFonts w:ascii="Arial" w:cs="Arial" w:eastAsia="Arial" w:hAnsi="Arial"/>
          <w:sz w:val="17"/>
          <w:szCs w:val="17"/>
          <w:color w:val="auto"/>
        </w:rPr>
        <w:t>As described in Note 2, the Company adopted the provisions of ASC 606, “Revenue from contracts with customers”, effective January 1, 2018, using the cumulative effect method for transition. Periods prior to 2018 have not been restated. The following tables show data by reportable segment, reconciled to consolidated totals, and the impact that ASC 606 had on the three- and six-month periods ended June 30, 2018:</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180" w:type="dxa"/>
            <w:vAlign w:val="bottom"/>
            <w:tcBorders>
              <w:top w:val="single" w:sz="8" w:color="auto"/>
            </w:tcBorders>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rPr>
              <w:t>Three months ended</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940" w:type="dxa"/>
            <w:vAlign w:val="bottom"/>
            <w:gridSpan w:val="2"/>
          </w:tcPr>
          <w:p>
            <w:pPr>
              <w:jc w:val="right"/>
              <w:ind w:right="634"/>
              <w:spacing w:after="0" w:line="194" w:lineRule="exact"/>
              <w:rPr>
                <w:sz w:val="20"/>
                <w:szCs w:val="20"/>
                <w:color w:val="auto"/>
              </w:rPr>
            </w:pPr>
            <w:r>
              <w:rPr>
                <w:rFonts w:ascii="Arial" w:cs="Arial" w:eastAsia="Arial" w:hAnsi="Arial"/>
                <w:sz w:val="17"/>
                <w:szCs w:val="17"/>
                <w:b w:val="1"/>
                <w:bCs w:val="1"/>
                <w:color w:val="auto"/>
              </w:rPr>
              <w:t>Three months ended June 30,</w:t>
            </w:r>
          </w:p>
        </w:tc>
        <w:tc>
          <w:tcPr>
            <w:tcW w:w="2320" w:type="dxa"/>
            <w:vAlign w:val="bottom"/>
            <w:gridSpan w:val="3"/>
          </w:tcPr>
          <w:p>
            <w:pPr>
              <w:jc w:val="center"/>
              <w:ind w:right="40"/>
              <w:spacing w:after="0" w:line="194" w:lineRule="exact"/>
              <w:rPr>
                <w:sz w:val="20"/>
                <w:szCs w:val="20"/>
                <w:color w:val="auto"/>
              </w:rPr>
            </w:pPr>
            <w:r>
              <w:rPr>
                <w:rFonts w:ascii="Arial" w:cs="Arial" w:eastAsia="Arial" w:hAnsi="Arial"/>
                <w:sz w:val="17"/>
                <w:szCs w:val="17"/>
                <w:b w:val="1"/>
                <w:bCs w:val="1"/>
                <w:color w:val="auto"/>
              </w:rPr>
              <w:t>June 30, 2018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gridSpan w:val="3"/>
          </w:tcPr>
          <w:p>
            <w:pPr>
              <w:jc w:val="center"/>
              <w:ind w:right="40"/>
              <w:spacing w:after="0" w:line="194" w:lineRule="exact"/>
              <w:rPr>
                <w:sz w:val="20"/>
                <w:szCs w:val="20"/>
                <w:color w:val="auto"/>
              </w:rPr>
            </w:pPr>
            <w:r>
              <w:rPr>
                <w:rFonts w:ascii="Arial" w:cs="Arial" w:eastAsia="Arial" w:hAnsi="Arial"/>
                <w:sz w:val="17"/>
                <w:szCs w:val="17"/>
                <w:b w:val="1"/>
                <w:bCs w:val="1"/>
                <w:color w:val="auto"/>
              </w:rPr>
              <w:t>Increase/(decrease)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gridSpan w:val="3"/>
          </w:tcPr>
          <w:p>
            <w:pPr>
              <w:jc w:val="center"/>
              <w:ind w:right="20"/>
              <w:spacing w:after="0" w:line="194" w:lineRule="exact"/>
              <w:rPr>
                <w:sz w:val="20"/>
                <w:szCs w:val="20"/>
                <w:color w:val="auto"/>
              </w:rPr>
            </w:pPr>
            <w:r>
              <w:rPr>
                <w:rFonts w:ascii="Arial" w:cs="Arial" w:eastAsia="Arial" w:hAnsi="Arial"/>
                <w:sz w:val="17"/>
                <w:szCs w:val="17"/>
                <w:b w:val="1"/>
                <w:bCs w:val="1"/>
                <w:color w:val="auto"/>
              </w:rPr>
              <w:t>attributable to application</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4120" w:type="dxa"/>
            <w:vAlign w:val="bottom"/>
            <w:tcBorders>
              <w:bottom w:val="single" w:sz="8" w:color="auto"/>
            </w:tcBorders>
          </w:tcPr>
          <w:p>
            <w:pPr>
              <w:jc w:val="right"/>
              <w:ind w:right="1214"/>
              <w:spacing w:after="0"/>
              <w:rPr>
                <w:sz w:val="20"/>
                <w:szCs w:val="20"/>
                <w:color w:val="auto"/>
              </w:rPr>
            </w:pPr>
            <w:r>
              <w:rPr>
                <w:rFonts w:ascii="Arial" w:cs="Arial" w:eastAsia="Arial" w:hAnsi="Arial"/>
                <w:sz w:val="17"/>
                <w:szCs w:val="17"/>
                <w:b w:val="1"/>
                <w:bCs w:val="1"/>
                <w:color w:val="auto"/>
              </w:rPr>
              <w:t>2018</w:t>
            </w: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2017</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of ASC 606</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Net sales</w:t>
            </w:r>
          </w:p>
        </w:tc>
        <w:tc>
          <w:tcPr>
            <w:tcW w:w="4120" w:type="dxa"/>
            <w:vAlign w:val="bottom"/>
            <w:vMerge w:val="restart"/>
          </w:tcPr>
          <w:p>
            <w:pPr>
              <w:jc w:val="right"/>
              <w:ind w:right="914"/>
              <w:spacing w:after="0"/>
              <w:rPr>
                <w:sz w:val="20"/>
                <w:szCs w:val="20"/>
                <w:color w:val="auto"/>
              </w:rPr>
            </w:pPr>
            <w:r>
              <w:rPr>
                <w:rFonts w:ascii="Arial" w:cs="Arial" w:eastAsia="Arial" w:hAnsi="Arial"/>
                <w:sz w:val="17"/>
                <w:szCs w:val="17"/>
                <w:b w:val="1"/>
                <w:bCs w:val="1"/>
                <w:color w:val="auto"/>
              </w:rPr>
              <w:t>$162,635</w:t>
            </w:r>
          </w:p>
        </w:tc>
        <w:tc>
          <w:tcPr>
            <w:tcW w:w="820" w:type="dxa"/>
            <w:vAlign w:val="bottom"/>
          </w:tcPr>
          <w:p>
            <w:pPr>
              <w:spacing w:after="0"/>
              <w:rPr>
                <w:sz w:val="16"/>
                <w:szCs w:val="16"/>
                <w:color w:val="auto"/>
              </w:rPr>
            </w:pPr>
          </w:p>
        </w:tc>
        <w:tc>
          <w:tcPr>
            <w:tcW w:w="2300" w:type="dxa"/>
            <w:vAlign w:val="bottom"/>
            <w:gridSpan w:val="2"/>
            <w:vMerge w:val="restart"/>
          </w:tcPr>
          <w:p>
            <w:pPr>
              <w:jc w:val="right"/>
              <w:ind w:right="20"/>
              <w:spacing w:after="0"/>
              <w:rPr>
                <w:sz w:val="20"/>
                <w:szCs w:val="20"/>
                <w:color w:val="auto"/>
              </w:rPr>
            </w:pPr>
            <w:r>
              <w:rPr>
                <w:rFonts w:ascii="Arial" w:cs="Arial" w:eastAsia="Arial" w:hAnsi="Arial"/>
                <w:sz w:val="17"/>
                <w:szCs w:val="17"/>
                <w:b w:val="1"/>
                <w:bCs w:val="1"/>
                <w:color w:val="auto"/>
              </w:rPr>
              <w:t>$857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line="172" w:lineRule="exact"/>
              <w:rPr>
                <w:sz w:val="20"/>
                <w:szCs w:val="20"/>
                <w:color w:val="auto"/>
              </w:rPr>
            </w:pPr>
            <w:r>
              <w:rPr>
                <w:rFonts w:ascii="Arial" w:cs="Arial" w:eastAsia="Arial" w:hAnsi="Arial"/>
                <w:sz w:val="17"/>
                <w:szCs w:val="17"/>
                <w:color w:val="auto"/>
              </w:rPr>
              <w:t>Machine Clothing</w:t>
            </w:r>
          </w:p>
        </w:tc>
        <w:tc>
          <w:tcPr>
            <w:tcW w:w="4120" w:type="dxa"/>
            <w:vAlign w:val="bottom"/>
            <w:vMerge w:val="continue"/>
          </w:tcPr>
          <w:p>
            <w:pPr>
              <w:spacing w:after="0"/>
              <w:rPr>
                <w:sz w:val="14"/>
                <w:szCs w:val="14"/>
                <w:color w:val="auto"/>
              </w:rPr>
            </w:pPr>
          </w:p>
        </w:tc>
        <w:tc>
          <w:tcPr>
            <w:tcW w:w="820" w:type="dxa"/>
            <w:vAlign w:val="bottom"/>
          </w:tcPr>
          <w:p>
            <w:pPr>
              <w:jc w:val="right"/>
              <w:ind w:right="14"/>
              <w:spacing w:after="0" w:line="172" w:lineRule="exact"/>
              <w:rPr>
                <w:sz w:val="20"/>
                <w:szCs w:val="20"/>
                <w:color w:val="auto"/>
              </w:rPr>
            </w:pPr>
            <w:r>
              <w:rPr>
                <w:rFonts w:ascii="Arial" w:cs="Arial" w:eastAsia="Arial" w:hAnsi="Arial"/>
                <w:sz w:val="17"/>
                <w:szCs w:val="17"/>
                <w:color w:val="auto"/>
                <w:w w:val="98"/>
              </w:rPr>
              <w:t>$146,572</w:t>
            </w:r>
          </w:p>
        </w:tc>
        <w:tc>
          <w:tcPr>
            <w:tcW w:w="2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Albany Engineered Composites</w:t>
            </w:r>
          </w:p>
        </w:tc>
        <w:tc>
          <w:tcPr>
            <w:tcW w:w="41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93,590</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68,999</w:t>
            </w:r>
          </w:p>
        </w:tc>
        <w:tc>
          <w:tcPr>
            <w:tcW w:w="2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color w:val="auto"/>
              </w:rPr>
              <w:t>Consolidated total</w:t>
            </w:r>
          </w:p>
        </w:tc>
        <w:tc>
          <w:tcPr>
            <w:tcW w:w="4120" w:type="dxa"/>
            <w:vAlign w:val="bottom"/>
            <w:tcBorders>
              <w:bottom w:val="single" w:sz="8" w:color="auto"/>
            </w:tcBorders>
          </w:tcPr>
          <w:p>
            <w:pPr>
              <w:jc w:val="right"/>
              <w:ind w:right="914"/>
              <w:spacing w:after="0" w:line="186" w:lineRule="exact"/>
              <w:rPr>
                <w:sz w:val="20"/>
                <w:szCs w:val="20"/>
                <w:color w:val="auto"/>
              </w:rPr>
            </w:pPr>
            <w:r>
              <w:rPr>
                <w:rFonts w:ascii="Arial" w:cs="Arial" w:eastAsia="Arial" w:hAnsi="Arial"/>
                <w:sz w:val="17"/>
                <w:szCs w:val="17"/>
                <w:b w:val="1"/>
                <w:bCs w:val="1"/>
                <w:color w:val="auto"/>
              </w:rPr>
              <w:t>$256,225</w:t>
            </w:r>
          </w:p>
        </w:tc>
        <w:tc>
          <w:tcPr>
            <w:tcW w:w="82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w w:val="98"/>
              </w:rPr>
              <w:t>$215,571</w:t>
            </w:r>
          </w:p>
        </w:tc>
        <w:tc>
          <w:tcPr>
            <w:tcW w:w="22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($400)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Operating income/(loss)</w:t>
            </w:r>
          </w:p>
        </w:tc>
        <w:tc>
          <w:tcPr>
            <w:tcW w:w="4120" w:type="dxa"/>
            <w:vAlign w:val="bottom"/>
            <w:vMerge w:val="restart"/>
          </w:tcPr>
          <w:p>
            <w:pPr>
              <w:jc w:val="right"/>
              <w:ind w:right="914"/>
              <w:spacing w:after="0"/>
              <w:rPr>
                <w:sz w:val="20"/>
                <w:szCs w:val="20"/>
                <w:color w:val="auto"/>
              </w:rPr>
            </w:pPr>
            <w:r>
              <w:rPr>
                <w:rFonts w:ascii="Arial" w:cs="Arial" w:eastAsia="Arial" w:hAnsi="Arial"/>
                <w:sz w:val="17"/>
                <w:szCs w:val="17"/>
                <w:b w:val="1"/>
                <w:bCs w:val="1"/>
                <w:color w:val="auto"/>
              </w:rPr>
              <w:t>$50,843</w:t>
            </w:r>
          </w:p>
        </w:tc>
        <w:tc>
          <w:tcPr>
            <w:tcW w:w="820" w:type="dxa"/>
            <w:vAlign w:val="bottom"/>
          </w:tcPr>
          <w:p>
            <w:pPr>
              <w:spacing w:after="0"/>
              <w:rPr>
                <w:sz w:val="16"/>
                <w:szCs w:val="16"/>
                <w:color w:val="auto"/>
              </w:rPr>
            </w:pPr>
          </w:p>
        </w:tc>
        <w:tc>
          <w:tcPr>
            <w:tcW w:w="2320" w:type="dxa"/>
            <w:vAlign w:val="bottom"/>
            <w:gridSpan w:val="3"/>
            <w:vMerge w:val="restart"/>
          </w:tcPr>
          <w:p>
            <w:pPr>
              <w:jc w:val="right"/>
              <w:ind w:right="40"/>
              <w:spacing w:after="0"/>
              <w:rPr>
                <w:sz w:val="20"/>
                <w:szCs w:val="20"/>
                <w:color w:val="auto"/>
              </w:rPr>
            </w:pPr>
            <w:r>
              <w:rPr>
                <w:rFonts w:ascii="Arial" w:cs="Arial" w:eastAsia="Arial" w:hAnsi="Arial"/>
                <w:sz w:val="17"/>
                <w:szCs w:val="17"/>
                <w:b w:val="1"/>
                <w:bCs w:val="1"/>
                <w:color w:val="auto"/>
              </w:rPr>
              <w:t>$1,786</w:t>
            </w: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line="172" w:lineRule="exact"/>
              <w:rPr>
                <w:sz w:val="20"/>
                <w:szCs w:val="20"/>
                <w:color w:val="auto"/>
              </w:rPr>
            </w:pPr>
            <w:r>
              <w:rPr>
                <w:rFonts w:ascii="Arial" w:cs="Arial" w:eastAsia="Arial" w:hAnsi="Arial"/>
                <w:sz w:val="17"/>
                <w:szCs w:val="17"/>
                <w:color w:val="auto"/>
              </w:rPr>
              <w:t>Machine Clothing</w:t>
            </w:r>
          </w:p>
        </w:tc>
        <w:tc>
          <w:tcPr>
            <w:tcW w:w="4120" w:type="dxa"/>
            <w:vAlign w:val="bottom"/>
            <w:vMerge w:val="continue"/>
          </w:tcPr>
          <w:p>
            <w:pPr>
              <w:spacing w:after="0"/>
              <w:rPr>
                <w:sz w:val="14"/>
                <w:szCs w:val="14"/>
                <w:color w:val="auto"/>
              </w:rPr>
            </w:pPr>
          </w:p>
        </w:tc>
        <w:tc>
          <w:tcPr>
            <w:tcW w:w="820" w:type="dxa"/>
            <w:vAlign w:val="bottom"/>
          </w:tcPr>
          <w:p>
            <w:pPr>
              <w:jc w:val="right"/>
              <w:ind w:right="14"/>
              <w:spacing w:after="0" w:line="172" w:lineRule="exact"/>
              <w:rPr>
                <w:sz w:val="20"/>
                <w:szCs w:val="20"/>
                <w:color w:val="auto"/>
              </w:rPr>
            </w:pPr>
            <w:r>
              <w:rPr>
                <w:rFonts w:ascii="Arial" w:cs="Arial" w:eastAsia="Arial" w:hAnsi="Arial"/>
                <w:sz w:val="17"/>
                <w:szCs w:val="17"/>
                <w:color w:val="auto"/>
              </w:rPr>
              <w:t>$38,425</w:t>
            </w:r>
          </w:p>
        </w:tc>
        <w:tc>
          <w:tcPr>
            <w:tcW w:w="2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4120" w:type="dxa"/>
            <w:vAlign w:val="bottom"/>
          </w:tcPr>
          <w:p>
            <w:pPr>
              <w:jc w:val="right"/>
              <w:ind w:right="914"/>
              <w:spacing w:after="0" w:line="194" w:lineRule="exact"/>
              <w:rPr>
                <w:sz w:val="20"/>
                <w:szCs w:val="20"/>
                <w:color w:val="auto"/>
              </w:rPr>
            </w:pPr>
            <w:r>
              <w:rPr>
                <w:rFonts w:ascii="Arial" w:cs="Arial" w:eastAsia="Arial" w:hAnsi="Arial"/>
                <w:sz w:val="17"/>
                <w:szCs w:val="17"/>
                <w:b w:val="1"/>
                <w:bCs w:val="1"/>
                <w:color w:val="auto"/>
              </w:rPr>
              <w:t>4,092</w:t>
            </w:r>
          </w:p>
        </w:tc>
        <w:tc>
          <w:tcPr>
            <w:tcW w:w="8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(17,828)</w:t>
            </w:r>
          </w:p>
        </w:tc>
        <w:tc>
          <w:tcPr>
            <w:tcW w:w="230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Corporate expenses</w:t>
            </w:r>
          </w:p>
        </w:tc>
        <w:tc>
          <w:tcPr>
            <w:tcW w:w="41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(12,251)</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(10,742)</w:t>
            </w:r>
          </w:p>
        </w:tc>
        <w:tc>
          <w:tcPr>
            <w:tcW w:w="2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line="185" w:lineRule="exact"/>
              <w:rPr>
                <w:sz w:val="20"/>
                <w:szCs w:val="20"/>
                <w:color w:val="auto"/>
              </w:rPr>
            </w:pPr>
            <w:r>
              <w:rPr>
                <w:rFonts w:ascii="Arial" w:cs="Arial" w:eastAsia="Arial" w:hAnsi="Arial"/>
                <w:sz w:val="17"/>
                <w:szCs w:val="17"/>
                <w:color w:val="auto"/>
              </w:rPr>
              <w:t>Operating income</w:t>
            </w:r>
          </w:p>
        </w:tc>
        <w:tc>
          <w:tcPr>
            <w:tcW w:w="4120" w:type="dxa"/>
            <w:vAlign w:val="bottom"/>
          </w:tcPr>
          <w:p>
            <w:pPr>
              <w:jc w:val="right"/>
              <w:ind w:right="914"/>
              <w:spacing w:after="0" w:line="185" w:lineRule="exact"/>
              <w:rPr>
                <w:sz w:val="20"/>
                <w:szCs w:val="20"/>
                <w:color w:val="auto"/>
              </w:rPr>
            </w:pPr>
            <w:r>
              <w:rPr>
                <w:rFonts w:ascii="Arial" w:cs="Arial" w:eastAsia="Arial" w:hAnsi="Arial"/>
                <w:sz w:val="17"/>
                <w:szCs w:val="17"/>
                <w:b w:val="1"/>
                <w:bCs w:val="1"/>
                <w:color w:val="auto"/>
              </w:rPr>
              <w:t>$42,684</w:t>
            </w:r>
          </w:p>
        </w:tc>
        <w:tc>
          <w:tcPr>
            <w:tcW w:w="820" w:type="dxa"/>
            <w:vAlign w:val="bottom"/>
          </w:tcPr>
          <w:p>
            <w:pPr>
              <w:jc w:val="right"/>
              <w:ind w:right="14"/>
              <w:spacing w:after="0" w:line="185" w:lineRule="exact"/>
              <w:rPr>
                <w:sz w:val="20"/>
                <w:szCs w:val="20"/>
                <w:color w:val="auto"/>
              </w:rPr>
            </w:pPr>
            <w:r>
              <w:rPr>
                <w:rFonts w:ascii="Arial" w:cs="Arial" w:eastAsia="Arial" w:hAnsi="Arial"/>
                <w:sz w:val="17"/>
                <w:szCs w:val="17"/>
                <w:color w:val="auto"/>
              </w:rPr>
              <w:t>$9,855</w:t>
            </w:r>
          </w:p>
        </w:tc>
        <w:tc>
          <w:tcPr>
            <w:tcW w:w="228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$1,909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Reconciling items:</w:t>
            </w:r>
          </w:p>
        </w:tc>
        <w:tc>
          <w:tcPr>
            <w:tcW w:w="4120" w:type="dxa"/>
            <w:vAlign w:val="bottom"/>
            <w:vMerge w:val="restart"/>
          </w:tcPr>
          <w:p>
            <w:pPr>
              <w:jc w:val="right"/>
              <w:ind w:right="914"/>
              <w:spacing w:after="0"/>
              <w:rPr>
                <w:sz w:val="20"/>
                <w:szCs w:val="20"/>
                <w:color w:val="auto"/>
              </w:rPr>
            </w:pPr>
            <w:r>
              <w:rPr>
                <w:rFonts w:ascii="Arial" w:cs="Arial" w:eastAsia="Arial" w:hAnsi="Arial"/>
                <w:sz w:val="17"/>
                <w:szCs w:val="17"/>
                <w:b w:val="1"/>
                <w:bCs w:val="1"/>
                <w:color w:val="auto"/>
              </w:rPr>
              <w:t>(438)</w:t>
            </w:r>
          </w:p>
        </w:tc>
        <w:tc>
          <w:tcPr>
            <w:tcW w:w="820" w:type="dxa"/>
            <w:vAlign w:val="bottom"/>
          </w:tcPr>
          <w:p>
            <w:pPr>
              <w:spacing w:after="0"/>
              <w:rPr>
                <w:sz w:val="16"/>
                <w:szCs w:val="16"/>
                <w:color w:val="auto"/>
              </w:rPr>
            </w:pPr>
          </w:p>
        </w:tc>
        <w:tc>
          <w:tcPr>
            <w:tcW w:w="228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ind w:left="220"/>
              <w:spacing w:after="0" w:line="172" w:lineRule="exact"/>
              <w:rPr>
                <w:sz w:val="20"/>
                <w:szCs w:val="20"/>
                <w:color w:val="auto"/>
              </w:rPr>
            </w:pPr>
            <w:r>
              <w:rPr>
                <w:rFonts w:ascii="Arial" w:cs="Arial" w:eastAsia="Arial" w:hAnsi="Arial"/>
                <w:sz w:val="17"/>
                <w:szCs w:val="17"/>
                <w:color w:val="auto"/>
              </w:rPr>
              <w:t>Interest income</w:t>
            </w:r>
          </w:p>
        </w:tc>
        <w:tc>
          <w:tcPr>
            <w:tcW w:w="4120" w:type="dxa"/>
            <w:vAlign w:val="bottom"/>
            <w:vMerge w:val="continue"/>
          </w:tcPr>
          <w:p>
            <w:pPr>
              <w:spacing w:after="0"/>
              <w:rPr>
                <w:sz w:val="14"/>
                <w:szCs w:val="14"/>
                <w:color w:val="auto"/>
              </w:rPr>
            </w:pPr>
          </w:p>
        </w:tc>
        <w:tc>
          <w:tcPr>
            <w:tcW w:w="820" w:type="dxa"/>
            <w:vAlign w:val="bottom"/>
          </w:tcPr>
          <w:p>
            <w:pPr>
              <w:jc w:val="right"/>
              <w:ind w:right="14"/>
              <w:spacing w:after="0" w:line="172" w:lineRule="exact"/>
              <w:rPr>
                <w:sz w:val="20"/>
                <w:szCs w:val="20"/>
                <w:color w:val="auto"/>
              </w:rPr>
            </w:pPr>
            <w:r>
              <w:rPr>
                <w:rFonts w:ascii="Arial" w:cs="Arial" w:eastAsia="Arial" w:hAnsi="Arial"/>
                <w:sz w:val="17"/>
                <w:szCs w:val="17"/>
                <w:color w:val="auto"/>
              </w:rPr>
              <w:t>(340)</w:t>
            </w:r>
          </w:p>
        </w:tc>
        <w:tc>
          <w:tcPr>
            <w:tcW w:w="2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ind w:left="220"/>
              <w:spacing w:after="0" w:line="194" w:lineRule="exact"/>
              <w:rPr>
                <w:sz w:val="20"/>
                <w:szCs w:val="20"/>
                <w:color w:val="auto"/>
              </w:rPr>
            </w:pPr>
            <w:r>
              <w:rPr>
                <w:rFonts w:ascii="Arial" w:cs="Arial" w:eastAsia="Arial" w:hAnsi="Arial"/>
                <w:sz w:val="17"/>
                <w:szCs w:val="17"/>
                <w:color w:val="auto"/>
              </w:rPr>
              <w:t>Interest expense</w:t>
            </w:r>
          </w:p>
        </w:tc>
        <w:tc>
          <w:tcPr>
            <w:tcW w:w="4120" w:type="dxa"/>
            <w:vAlign w:val="bottom"/>
          </w:tcPr>
          <w:p>
            <w:pPr>
              <w:jc w:val="right"/>
              <w:ind w:right="914"/>
              <w:spacing w:after="0" w:line="194" w:lineRule="exact"/>
              <w:rPr>
                <w:sz w:val="20"/>
                <w:szCs w:val="20"/>
                <w:color w:val="auto"/>
              </w:rPr>
            </w:pPr>
            <w:r>
              <w:rPr>
                <w:rFonts w:ascii="Arial" w:cs="Arial" w:eastAsia="Arial" w:hAnsi="Arial"/>
                <w:sz w:val="17"/>
                <w:szCs w:val="17"/>
                <w:b w:val="1"/>
                <w:bCs w:val="1"/>
                <w:color w:val="auto"/>
              </w:rPr>
              <w:t>5,059</w:t>
            </w:r>
          </w:p>
        </w:tc>
        <w:tc>
          <w:tcPr>
            <w:tcW w:w="8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4,625</w:t>
            </w:r>
          </w:p>
        </w:tc>
        <w:tc>
          <w:tcPr>
            <w:tcW w:w="228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expense, net</w:t>
            </w:r>
          </w:p>
        </w:tc>
        <w:tc>
          <w:tcPr>
            <w:tcW w:w="41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726</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2,558</w:t>
            </w:r>
          </w:p>
        </w:tc>
        <w:tc>
          <w:tcPr>
            <w:tcW w:w="2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Income before income taxes</w:t>
            </w:r>
          </w:p>
        </w:tc>
        <w:tc>
          <w:tcPr>
            <w:tcW w:w="4120" w:type="dxa"/>
            <w:vAlign w:val="bottom"/>
            <w:tcBorders>
              <w:bottom w:val="single" w:sz="8" w:color="auto"/>
            </w:tcBorders>
          </w:tcPr>
          <w:p>
            <w:pPr>
              <w:jc w:val="right"/>
              <w:ind w:right="914"/>
              <w:spacing w:after="0" w:line="186" w:lineRule="exact"/>
              <w:rPr>
                <w:sz w:val="20"/>
                <w:szCs w:val="20"/>
                <w:color w:val="auto"/>
              </w:rPr>
            </w:pPr>
            <w:r>
              <w:rPr>
                <w:rFonts w:ascii="Arial" w:cs="Arial" w:eastAsia="Arial" w:hAnsi="Arial"/>
                <w:sz w:val="17"/>
                <w:szCs w:val="17"/>
                <w:b w:val="1"/>
                <w:bCs w:val="1"/>
                <w:color w:val="auto"/>
              </w:rPr>
              <w:t>$37,337</w:t>
            </w:r>
          </w:p>
        </w:tc>
        <w:tc>
          <w:tcPr>
            <w:tcW w:w="82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$3,012</w:t>
            </w:r>
          </w:p>
        </w:tc>
        <w:tc>
          <w:tcPr>
            <w:tcW w:w="22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$1,909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rPr>
              <w:t>Six months ended</w:t>
            </w: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1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Six months ended June 30,</w:t>
            </w:r>
          </w:p>
        </w:tc>
        <w:tc>
          <w:tcPr>
            <w:tcW w:w="820" w:type="dxa"/>
            <w:vAlign w:val="bottom"/>
          </w:tcPr>
          <w:p>
            <w:pPr>
              <w:spacing w:after="0"/>
              <w:rPr>
                <w:sz w:val="16"/>
                <w:szCs w:val="16"/>
                <w:color w:val="auto"/>
              </w:rPr>
            </w:pPr>
          </w:p>
        </w:tc>
        <w:tc>
          <w:tcPr>
            <w:tcW w:w="2320" w:type="dxa"/>
            <w:vAlign w:val="bottom"/>
            <w:gridSpan w:val="3"/>
          </w:tcPr>
          <w:p>
            <w:pPr>
              <w:jc w:val="center"/>
              <w:ind w:right="40"/>
              <w:spacing w:after="0" w:line="194" w:lineRule="exact"/>
              <w:rPr>
                <w:sz w:val="20"/>
                <w:szCs w:val="20"/>
                <w:color w:val="auto"/>
              </w:rPr>
            </w:pPr>
            <w:r>
              <w:rPr>
                <w:rFonts w:ascii="Arial" w:cs="Arial" w:eastAsia="Arial" w:hAnsi="Arial"/>
                <w:sz w:val="17"/>
                <w:szCs w:val="17"/>
                <w:b w:val="1"/>
                <w:bCs w:val="1"/>
                <w:color w:val="auto"/>
              </w:rPr>
              <w:t>June 30, 2018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gridSpan w:val="3"/>
          </w:tcPr>
          <w:p>
            <w:pPr>
              <w:jc w:val="center"/>
              <w:ind w:right="40"/>
              <w:spacing w:after="0" w:line="194" w:lineRule="exact"/>
              <w:rPr>
                <w:sz w:val="20"/>
                <w:szCs w:val="20"/>
                <w:color w:val="auto"/>
              </w:rPr>
            </w:pPr>
            <w:r>
              <w:rPr>
                <w:rFonts w:ascii="Arial" w:cs="Arial" w:eastAsia="Arial" w:hAnsi="Arial"/>
                <w:sz w:val="17"/>
                <w:szCs w:val="17"/>
                <w:b w:val="1"/>
                <w:bCs w:val="1"/>
                <w:color w:val="auto"/>
              </w:rPr>
              <w:t>Increase/(decrease)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gridSpan w:val="3"/>
          </w:tcPr>
          <w:p>
            <w:pPr>
              <w:jc w:val="center"/>
              <w:ind w:right="20"/>
              <w:spacing w:after="0" w:line="194" w:lineRule="exact"/>
              <w:rPr>
                <w:sz w:val="20"/>
                <w:szCs w:val="20"/>
                <w:color w:val="auto"/>
              </w:rPr>
            </w:pPr>
            <w:r>
              <w:rPr>
                <w:rFonts w:ascii="Arial" w:cs="Arial" w:eastAsia="Arial" w:hAnsi="Arial"/>
                <w:sz w:val="17"/>
                <w:szCs w:val="17"/>
                <w:b w:val="1"/>
                <w:bCs w:val="1"/>
                <w:color w:val="auto"/>
              </w:rPr>
              <w:t>attributable to application</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4120" w:type="dxa"/>
            <w:vAlign w:val="bottom"/>
            <w:tcBorders>
              <w:bottom w:val="single" w:sz="8" w:color="auto"/>
            </w:tcBorders>
          </w:tcPr>
          <w:p>
            <w:pPr>
              <w:jc w:val="right"/>
              <w:ind w:right="1214"/>
              <w:spacing w:after="0"/>
              <w:rPr>
                <w:sz w:val="20"/>
                <w:szCs w:val="20"/>
                <w:color w:val="auto"/>
              </w:rPr>
            </w:pPr>
            <w:r>
              <w:rPr>
                <w:rFonts w:ascii="Arial" w:cs="Arial" w:eastAsia="Arial" w:hAnsi="Arial"/>
                <w:sz w:val="17"/>
                <w:szCs w:val="17"/>
                <w:b w:val="1"/>
                <w:bCs w:val="1"/>
                <w:color w:val="auto"/>
              </w:rPr>
              <w:t>2018</w:t>
            </w: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of ASC 606</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Net sales</w:t>
            </w:r>
          </w:p>
        </w:tc>
        <w:tc>
          <w:tcPr>
            <w:tcW w:w="4120" w:type="dxa"/>
            <w:vAlign w:val="bottom"/>
            <w:vMerge w:val="restart"/>
          </w:tcPr>
          <w:p>
            <w:pPr>
              <w:jc w:val="right"/>
              <w:ind w:right="914"/>
              <w:spacing w:after="0"/>
              <w:rPr>
                <w:sz w:val="20"/>
                <w:szCs w:val="20"/>
                <w:color w:val="auto"/>
              </w:rPr>
            </w:pPr>
            <w:r>
              <w:rPr>
                <w:rFonts w:ascii="Arial" w:cs="Arial" w:eastAsia="Arial" w:hAnsi="Arial"/>
                <w:sz w:val="17"/>
                <w:szCs w:val="17"/>
                <w:b w:val="1"/>
                <w:bCs w:val="1"/>
                <w:color w:val="auto"/>
              </w:rPr>
              <w:t>$310,786</w:t>
            </w:r>
          </w:p>
        </w:tc>
        <w:tc>
          <w:tcPr>
            <w:tcW w:w="820" w:type="dxa"/>
            <w:vAlign w:val="bottom"/>
          </w:tcPr>
          <w:p>
            <w:pPr>
              <w:spacing w:after="0"/>
              <w:rPr>
                <w:sz w:val="16"/>
                <w:szCs w:val="16"/>
                <w:color w:val="auto"/>
              </w:rPr>
            </w:pPr>
          </w:p>
        </w:tc>
        <w:tc>
          <w:tcPr>
            <w:tcW w:w="2320" w:type="dxa"/>
            <w:vAlign w:val="bottom"/>
            <w:gridSpan w:val="3"/>
            <w:vMerge w:val="restart"/>
          </w:tcPr>
          <w:p>
            <w:pPr>
              <w:jc w:val="right"/>
              <w:ind w:right="40"/>
              <w:spacing w:after="0"/>
              <w:rPr>
                <w:sz w:val="20"/>
                <w:szCs w:val="20"/>
                <w:color w:val="auto"/>
              </w:rPr>
            </w:pPr>
            <w:r>
              <w:rPr>
                <w:rFonts w:ascii="Arial" w:cs="Arial" w:eastAsia="Arial" w:hAnsi="Arial"/>
                <w:sz w:val="17"/>
                <w:szCs w:val="17"/>
                <w:b w:val="1"/>
                <w:bCs w:val="1"/>
                <w:color w:val="auto"/>
              </w:rPr>
              <w:t>$5,068</w:t>
            </w: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line="172" w:lineRule="exact"/>
              <w:rPr>
                <w:sz w:val="20"/>
                <w:szCs w:val="20"/>
                <w:color w:val="auto"/>
              </w:rPr>
            </w:pPr>
            <w:r>
              <w:rPr>
                <w:rFonts w:ascii="Arial" w:cs="Arial" w:eastAsia="Arial" w:hAnsi="Arial"/>
                <w:sz w:val="17"/>
                <w:szCs w:val="17"/>
                <w:color w:val="auto"/>
              </w:rPr>
              <w:t>Machine Clothing</w:t>
            </w:r>
          </w:p>
        </w:tc>
        <w:tc>
          <w:tcPr>
            <w:tcW w:w="4120" w:type="dxa"/>
            <w:vAlign w:val="bottom"/>
            <w:vMerge w:val="continue"/>
          </w:tcPr>
          <w:p>
            <w:pPr>
              <w:spacing w:after="0"/>
              <w:rPr>
                <w:sz w:val="14"/>
                <w:szCs w:val="14"/>
                <w:color w:val="auto"/>
              </w:rPr>
            </w:pPr>
          </w:p>
        </w:tc>
        <w:tc>
          <w:tcPr>
            <w:tcW w:w="820" w:type="dxa"/>
            <w:vAlign w:val="bottom"/>
          </w:tcPr>
          <w:p>
            <w:pPr>
              <w:jc w:val="right"/>
              <w:ind w:right="14"/>
              <w:spacing w:after="0" w:line="172" w:lineRule="exact"/>
              <w:rPr>
                <w:sz w:val="20"/>
                <w:szCs w:val="20"/>
                <w:color w:val="auto"/>
              </w:rPr>
            </w:pPr>
            <w:r>
              <w:rPr>
                <w:rFonts w:ascii="Arial" w:cs="Arial" w:eastAsia="Arial" w:hAnsi="Arial"/>
                <w:sz w:val="17"/>
                <w:szCs w:val="17"/>
                <w:color w:val="auto"/>
                <w:w w:val="98"/>
              </w:rPr>
              <w:t>$289,399</w:t>
            </w:r>
          </w:p>
        </w:tc>
        <w:tc>
          <w:tcPr>
            <w:tcW w:w="2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Albany Engineered Composites</w:t>
            </w:r>
          </w:p>
        </w:tc>
        <w:tc>
          <w:tcPr>
            <w:tcW w:w="41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175,420</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125,449</w:t>
            </w:r>
          </w:p>
        </w:tc>
        <w:tc>
          <w:tcPr>
            <w:tcW w:w="2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color w:val="auto"/>
              </w:rPr>
              <w:t>Consolidated total</w:t>
            </w:r>
          </w:p>
        </w:tc>
        <w:tc>
          <w:tcPr>
            <w:tcW w:w="4120" w:type="dxa"/>
            <w:vAlign w:val="bottom"/>
            <w:tcBorders>
              <w:bottom w:val="single" w:sz="8" w:color="auto"/>
            </w:tcBorders>
          </w:tcPr>
          <w:p>
            <w:pPr>
              <w:jc w:val="right"/>
              <w:ind w:right="914"/>
              <w:spacing w:after="0" w:line="186" w:lineRule="exact"/>
              <w:rPr>
                <w:sz w:val="20"/>
                <w:szCs w:val="20"/>
                <w:color w:val="auto"/>
              </w:rPr>
            </w:pPr>
            <w:r>
              <w:rPr>
                <w:rFonts w:ascii="Arial" w:cs="Arial" w:eastAsia="Arial" w:hAnsi="Arial"/>
                <w:sz w:val="17"/>
                <w:szCs w:val="17"/>
                <w:b w:val="1"/>
                <w:bCs w:val="1"/>
                <w:color w:val="auto"/>
              </w:rPr>
              <w:t>$486,206</w:t>
            </w:r>
          </w:p>
        </w:tc>
        <w:tc>
          <w:tcPr>
            <w:tcW w:w="82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w w:val="98"/>
              </w:rPr>
              <w:t>$414,848</w:t>
            </w:r>
          </w:p>
        </w:tc>
        <w:tc>
          <w:tcPr>
            <w:tcW w:w="22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$8,034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Operating income/(loss)</w:t>
            </w:r>
          </w:p>
        </w:tc>
        <w:tc>
          <w:tcPr>
            <w:tcW w:w="4120" w:type="dxa"/>
            <w:vAlign w:val="bottom"/>
            <w:vMerge w:val="restart"/>
          </w:tcPr>
          <w:p>
            <w:pPr>
              <w:jc w:val="right"/>
              <w:ind w:right="914"/>
              <w:spacing w:after="0"/>
              <w:rPr>
                <w:sz w:val="20"/>
                <w:szCs w:val="20"/>
                <w:color w:val="auto"/>
              </w:rPr>
            </w:pPr>
            <w:r>
              <w:rPr>
                <w:rFonts w:ascii="Arial" w:cs="Arial" w:eastAsia="Arial" w:hAnsi="Arial"/>
                <w:sz w:val="17"/>
                <w:szCs w:val="17"/>
                <w:b w:val="1"/>
                <w:bCs w:val="1"/>
                <w:color w:val="auto"/>
              </w:rPr>
              <w:t>$81,613</w:t>
            </w:r>
          </w:p>
        </w:tc>
        <w:tc>
          <w:tcPr>
            <w:tcW w:w="820" w:type="dxa"/>
            <w:vAlign w:val="bottom"/>
          </w:tcPr>
          <w:p>
            <w:pPr>
              <w:spacing w:after="0"/>
              <w:rPr>
                <w:sz w:val="16"/>
                <w:szCs w:val="16"/>
                <w:color w:val="auto"/>
              </w:rPr>
            </w:pPr>
          </w:p>
        </w:tc>
        <w:tc>
          <w:tcPr>
            <w:tcW w:w="2320" w:type="dxa"/>
            <w:vAlign w:val="bottom"/>
            <w:gridSpan w:val="3"/>
            <w:vMerge w:val="restart"/>
          </w:tcPr>
          <w:p>
            <w:pPr>
              <w:jc w:val="right"/>
              <w:ind w:right="40"/>
              <w:spacing w:after="0"/>
              <w:rPr>
                <w:sz w:val="20"/>
                <w:szCs w:val="20"/>
                <w:color w:val="auto"/>
              </w:rPr>
            </w:pPr>
            <w:r>
              <w:rPr>
                <w:rFonts w:ascii="Arial" w:cs="Arial" w:eastAsia="Arial" w:hAnsi="Arial"/>
                <w:sz w:val="17"/>
                <w:szCs w:val="17"/>
                <w:b w:val="1"/>
                <w:bCs w:val="1"/>
                <w:color w:val="auto"/>
              </w:rPr>
              <w:t>$2,765</w:t>
            </w: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line="172" w:lineRule="exact"/>
              <w:rPr>
                <w:sz w:val="20"/>
                <w:szCs w:val="20"/>
                <w:color w:val="auto"/>
              </w:rPr>
            </w:pPr>
            <w:r>
              <w:rPr>
                <w:rFonts w:ascii="Arial" w:cs="Arial" w:eastAsia="Arial" w:hAnsi="Arial"/>
                <w:sz w:val="17"/>
                <w:szCs w:val="17"/>
                <w:color w:val="auto"/>
              </w:rPr>
              <w:t>Machine Clothing</w:t>
            </w:r>
          </w:p>
        </w:tc>
        <w:tc>
          <w:tcPr>
            <w:tcW w:w="4120" w:type="dxa"/>
            <w:vAlign w:val="bottom"/>
            <w:vMerge w:val="continue"/>
          </w:tcPr>
          <w:p>
            <w:pPr>
              <w:spacing w:after="0"/>
              <w:rPr>
                <w:sz w:val="14"/>
                <w:szCs w:val="14"/>
                <w:color w:val="auto"/>
              </w:rPr>
            </w:pPr>
          </w:p>
        </w:tc>
        <w:tc>
          <w:tcPr>
            <w:tcW w:w="820" w:type="dxa"/>
            <w:vAlign w:val="bottom"/>
          </w:tcPr>
          <w:p>
            <w:pPr>
              <w:jc w:val="right"/>
              <w:ind w:right="14"/>
              <w:spacing w:after="0" w:line="172" w:lineRule="exact"/>
              <w:rPr>
                <w:sz w:val="20"/>
                <w:szCs w:val="20"/>
                <w:color w:val="auto"/>
              </w:rPr>
            </w:pPr>
            <w:r>
              <w:rPr>
                <w:rFonts w:ascii="Arial" w:cs="Arial" w:eastAsia="Arial" w:hAnsi="Arial"/>
                <w:sz w:val="17"/>
                <w:szCs w:val="17"/>
                <w:color w:val="auto"/>
              </w:rPr>
              <w:t>$76,688</w:t>
            </w:r>
          </w:p>
        </w:tc>
        <w:tc>
          <w:tcPr>
            <w:tcW w:w="2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4120" w:type="dxa"/>
            <w:vAlign w:val="bottom"/>
          </w:tcPr>
          <w:p>
            <w:pPr>
              <w:jc w:val="right"/>
              <w:ind w:right="914"/>
              <w:spacing w:after="0" w:line="194" w:lineRule="exact"/>
              <w:rPr>
                <w:sz w:val="20"/>
                <w:szCs w:val="20"/>
                <w:color w:val="auto"/>
              </w:rPr>
            </w:pPr>
            <w:r>
              <w:rPr>
                <w:rFonts w:ascii="Arial" w:cs="Arial" w:eastAsia="Arial" w:hAnsi="Arial"/>
                <w:sz w:val="17"/>
                <w:szCs w:val="17"/>
                <w:b w:val="1"/>
                <w:bCs w:val="1"/>
                <w:color w:val="auto"/>
              </w:rPr>
              <w:t>6,366</w:t>
            </w:r>
          </w:p>
        </w:tc>
        <w:tc>
          <w:tcPr>
            <w:tcW w:w="8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(22,942)</w:t>
            </w:r>
          </w:p>
        </w:tc>
        <w:tc>
          <w:tcPr>
            <w:tcW w:w="230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992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Corporate expenses</w:t>
            </w:r>
          </w:p>
        </w:tc>
        <w:tc>
          <w:tcPr>
            <w:tcW w:w="41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(24,464)</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(21,213)</w:t>
            </w:r>
          </w:p>
        </w:tc>
        <w:tc>
          <w:tcPr>
            <w:tcW w:w="2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line="185" w:lineRule="exact"/>
              <w:rPr>
                <w:sz w:val="20"/>
                <w:szCs w:val="20"/>
                <w:color w:val="auto"/>
              </w:rPr>
            </w:pPr>
            <w:r>
              <w:rPr>
                <w:rFonts w:ascii="Arial" w:cs="Arial" w:eastAsia="Arial" w:hAnsi="Arial"/>
                <w:sz w:val="17"/>
                <w:szCs w:val="17"/>
                <w:color w:val="auto"/>
              </w:rPr>
              <w:t>Operating income</w:t>
            </w:r>
          </w:p>
        </w:tc>
        <w:tc>
          <w:tcPr>
            <w:tcW w:w="4120" w:type="dxa"/>
            <w:vAlign w:val="bottom"/>
          </w:tcPr>
          <w:p>
            <w:pPr>
              <w:jc w:val="right"/>
              <w:ind w:right="914"/>
              <w:spacing w:after="0" w:line="185" w:lineRule="exact"/>
              <w:rPr>
                <w:sz w:val="20"/>
                <w:szCs w:val="20"/>
                <w:color w:val="auto"/>
              </w:rPr>
            </w:pPr>
            <w:r>
              <w:rPr>
                <w:rFonts w:ascii="Arial" w:cs="Arial" w:eastAsia="Arial" w:hAnsi="Arial"/>
                <w:sz w:val="17"/>
                <w:szCs w:val="17"/>
                <w:b w:val="1"/>
                <w:bCs w:val="1"/>
                <w:color w:val="auto"/>
              </w:rPr>
              <w:t>$63,515</w:t>
            </w:r>
          </w:p>
        </w:tc>
        <w:tc>
          <w:tcPr>
            <w:tcW w:w="820" w:type="dxa"/>
            <w:vAlign w:val="bottom"/>
          </w:tcPr>
          <w:p>
            <w:pPr>
              <w:jc w:val="right"/>
              <w:ind w:right="14"/>
              <w:spacing w:after="0" w:line="185" w:lineRule="exact"/>
              <w:rPr>
                <w:sz w:val="20"/>
                <w:szCs w:val="20"/>
                <w:color w:val="auto"/>
              </w:rPr>
            </w:pPr>
            <w:r>
              <w:rPr>
                <w:rFonts w:ascii="Arial" w:cs="Arial" w:eastAsia="Arial" w:hAnsi="Arial"/>
                <w:sz w:val="17"/>
                <w:szCs w:val="17"/>
                <w:color w:val="auto"/>
              </w:rPr>
              <w:t>$32,533</w:t>
            </w:r>
          </w:p>
        </w:tc>
        <w:tc>
          <w:tcPr>
            <w:tcW w:w="228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$3,757</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Reconciling items:</w:t>
            </w:r>
          </w:p>
        </w:tc>
        <w:tc>
          <w:tcPr>
            <w:tcW w:w="4120" w:type="dxa"/>
            <w:vAlign w:val="bottom"/>
            <w:vMerge w:val="restart"/>
          </w:tcPr>
          <w:p>
            <w:pPr>
              <w:jc w:val="right"/>
              <w:ind w:right="914"/>
              <w:spacing w:after="0"/>
              <w:rPr>
                <w:sz w:val="20"/>
                <w:szCs w:val="20"/>
                <w:color w:val="auto"/>
              </w:rPr>
            </w:pPr>
            <w:r>
              <w:rPr>
                <w:rFonts w:ascii="Arial" w:cs="Arial" w:eastAsia="Arial" w:hAnsi="Arial"/>
                <w:sz w:val="17"/>
                <w:szCs w:val="17"/>
                <w:b w:val="1"/>
                <w:bCs w:val="1"/>
                <w:color w:val="auto"/>
              </w:rPr>
              <w:t>(820)</w:t>
            </w:r>
          </w:p>
        </w:tc>
        <w:tc>
          <w:tcPr>
            <w:tcW w:w="820" w:type="dxa"/>
            <w:vAlign w:val="bottom"/>
          </w:tcPr>
          <w:p>
            <w:pPr>
              <w:spacing w:after="0"/>
              <w:rPr>
                <w:sz w:val="16"/>
                <w:szCs w:val="16"/>
                <w:color w:val="auto"/>
              </w:rPr>
            </w:pPr>
          </w:p>
        </w:tc>
        <w:tc>
          <w:tcPr>
            <w:tcW w:w="228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ind w:left="220"/>
              <w:spacing w:after="0" w:line="172" w:lineRule="exact"/>
              <w:rPr>
                <w:sz w:val="20"/>
                <w:szCs w:val="20"/>
                <w:color w:val="auto"/>
              </w:rPr>
            </w:pPr>
            <w:r>
              <w:rPr>
                <w:rFonts w:ascii="Arial" w:cs="Arial" w:eastAsia="Arial" w:hAnsi="Arial"/>
                <w:sz w:val="17"/>
                <w:szCs w:val="17"/>
                <w:color w:val="auto"/>
              </w:rPr>
              <w:t>Interest income</w:t>
            </w:r>
          </w:p>
        </w:tc>
        <w:tc>
          <w:tcPr>
            <w:tcW w:w="4120" w:type="dxa"/>
            <w:vAlign w:val="bottom"/>
            <w:vMerge w:val="continue"/>
          </w:tcPr>
          <w:p>
            <w:pPr>
              <w:spacing w:after="0"/>
              <w:rPr>
                <w:sz w:val="14"/>
                <w:szCs w:val="14"/>
                <w:color w:val="auto"/>
              </w:rPr>
            </w:pPr>
          </w:p>
        </w:tc>
        <w:tc>
          <w:tcPr>
            <w:tcW w:w="820" w:type="dxa"/>
            <w:vAlign w:val="bottom"/>
          </w:tcPr>
          <w:p>
            <w:pPr>
              <w:jc w:val="right"/>
              <w:ind w:right="14"/>
              <w:spacing w:after="0" w:line="172" w:lineRule="exact"/>
              <w:rPr>
                <w:sz w:val="20"/>
                <w:szCs w:val="20"/>
                <w:color w:val="auto"/>
              </w:rPr>
            </w:pPr>
            <w:r>
              <w:rPr>
                <w:rFonts w:ascii="Arial" w:cs="Arial" w:eastAsia="Arial" w:hAnsi="Arial"/>
                <w:sz w:val="17"/>
                <w:szCs w:val="17"/>
                <w:color w:val="auto"/>
              </w:rPr>
              <w:t>(447)</w:t>
            </w:r>
          </w:p>
        </w:tc>
        <w:tc>
          <w:tcPr>
            <w:tcW w:w="2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ind w:left="220"/>
              <w:spacing w:after="0" w:line="194" w:lineRule="exact"/>
              <w:rPr>
                <w:sz w:val="20"/>
                <w:szCs w:val="20"/>
                <w:color w:val="auto"/>
              </w:rPr>
            </w:pPr>
            <w:r>
              <w:rPr>
                <w:rFonts w:ascii="Arial" w:cs="Arial" w:eastAsia="Arial" w:hAnsi="Arial"/>
                <w:sz w:val="17"/>
                <w:szCs w:val="17"/>
                <w:color w:val="auto"/>
              </w:rPr>
              <w:t>Interest expense</w:t>
            </w:r>
          </w:p>
        </w:tc>
        <w:tc>
          <w:tcPr>
            <w:tcW w:w="4120" w:type="dxa"/>
            <w:vAlign w:val="bottom"/>
          </w:tcPr>
          <w:p>
            <w:pPr>
              <w:jc w:val="right"/>
              <w:ind w:right="914"/>
              <w:spacing w:after="0" w:line="194" w:lineRule="exact"/>
              <w:rPr>
                <w:sz w:val="20"/>
                <w:szCs w:val="20"/>
                <w:color w:val="auto"/>
              </w:rPr>
            </w:pPr>
            <w:r>
              <w:rPr>
                <w:rFonts w:ascii="Arial" w:cs="Arial" w:eastAsia="Arial" w:hAnsi="Arial"/>
                <w:sz w:val="17"/>
                <w:szCs w:val="17"/>
                <w:b w:val="1"/>
                <w:bCs w:val="1"/>
                <w:color w:val="auto"/>
              </w:rPr>
              <w:t>9,729</w:t>
            </w:r>
          </w:p>
        </w:tc>
        <w:tc>
          <w:tcPr>
            <w:tcW w:w="8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9,060</w:t>
            </w:r>
          </w:p>
        </w:tc>
        <w:tc>
          <w:tcPr>
            <w:tcW w:w="228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expense, net</w:t>
            </w:r>
          </w:p>
        </w:tc>
        <w:tc>
          <w:tcPr>
            <w:tcW w:w="41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2,178</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3,384</w:t>
            </w:r>
          </w:p>
        </w:tc>
        <w:tc>
          <w:tcPr>
            <w:tcW w:w="2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Income before income taxes</w:t>
            </w:r>
          </w:p>
        </w:tc>
        <w:tc>
          <w:tcPr>
            <w:tcW w:w="4120" w:type="dxa"/>
            <w:vAlign w:val="bottom"/>
            <w:tcBorders>
              <w:bottom w:val="single" w:sz="8" w:color="auto"/>
            </w:tcBorders>
          </w:tcPr>
          <w:p>
            <w:pPr>
              <w:jc w:val="right"/>
              <w:ind w:right="914"/>
              <w:spacing w:after="0" w:line="186" w:lineRule="exact"/>
              <w:rPr>
                <w:sz w:val="20"/>
                <w:szCs w:val="20"/>
                <w:color w:val="auto"/>
              </w:rPr>
            </w:pPr>
            <w:r>
              <w:rPr>
                <w:rFonts w:ascii="Arial" w:cs="Arial" w:eastAsia="Arial" w:hAnsi="Arial"/>
                <w:sz w:val="17"/>
                <w:szCs w:val="17"/>
                <w:b w:val="1"/>
                <w:bCs w:val="1"/>
                <w:color w:val="auto"/>
              </w:rPr>
              <w:t>$52,428</w:t>
            </w:r>
          </w:p>
        </w:tc>
        <w:tc>
          <w:tcPr>
            <w:tcW w:w="82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$20,536</w:t>
            </w:r>
          </w:p>
        </w:tc>
        <w:tc>
          <w:tcPr>
            <w:tcW w:w="22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$3,757</w:t>
            </w:r>
          </w:p>
        </w:tc>
        <w:tc>
          <w:tcPr>
            <w:tcW w:w="4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829" w:right="239" w:bottom="1440" w:gutter="0" w:footer="0" w:header="0"/>
        </w:sectPr>
      </w:pPr>
    </w:p>
    <w:bookmarkStart w:id="17" w:name="page18"/>
    <w:bookmarkEnd w:id="17"/>
    <w:p>
      <w:pPr>
        <w:jc w:val="both"/>
        <w:ind w:right="260" w:firstLine="620"/>
        <w:spacing w:after="0" w:line="243" w:lineRule="auto"/>
        <w:rPr>
          <w:sz w:val="20"/>
          <w:szCs w:val="20"/>
          <w:color w:val="auto"/>
        </w:rPr>
      </w:pPr>
      <w:r>
        <w:rPr>
          <w:rFonts w:ascii="Arial" w:cs="Arial" w:eastAsia="Arial" w:hAnsi="Arial"/>
          <w:sz w:val="17"/>
          <w:szCs w:val="17"/>
          <w:color w:val="auto"/>
        </w:rPr>
        <w:t>At the January 1, 2018 date of adoption of ASC 606, Machine Clothing assets increased by $22 million, and AEC assets decreased by $13 million. Except for the effect of adopting ASC 606, there were no material changes in the total assets of the reportable segments for the six months ended June 30, 2018.</w:t>
      </w:r>
    </w:p>
    <w:p>
      <w:pPr>
        <w:spacing w:after="0" w:line="155"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As described in Note 4, effective January 1, 2018, the Company adopted an accounting update that affects the classification of components of pension and postretirement benefit costs. As a result of adopting that update, some costs that were previously included in operating expenses shall now be included in Other expense, net. Periods prior to 2018 have been restated to conform to the current year presentation (see Note 4).</w:t>
      </w:r>
    </w:p>
    <w:p>
      <w:pPr>
        <w:spacing w:after="0" w:line="168" w:lineRule="exact"/>
        <w:rPr>
          <w:sz w:val="20"/>
          <w:szCs w:val="20"/>
          <w:color w:val="auto"/>
        </w:rPr>
      </w:pPr>
    </w:p>
    <w:p>
      <w:pPr>
        <w:ind w:right="100" w:firstLine="620"/>
        <w:spacing w:after="0" w:line="239" w:lineRule="auto"/>
        <w:rPr>
          <w:sz w:val="20"/>
          <w:szCs w:val="20"/>
          <w:color w:val="auto"/>
        </w:rPr>
      </w:pPr>
      <w:r>
        <w:rPr>
          <w:rFonts w:ascii="Arial" w:cs="Arial" w:eastAsia="Arial" w:hAnsi="Arial"/>
          <w:sz w:val="17"/>
          <w:szCs w:val="17"/>
          <w:color w:val="auto"/>
        </w:rPr>
        <w:t>The Albany Engineered Composites (AEC) segment, including Albany Safran Composites, LLC (ASC), in which our customer SAFRAN Group (Safran) owns a 10 percent noncontrolling interest, provides highly engineered, advanced composite structures to customers in the aerospace and defense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market rent or a minimal cost. All lease expense is reimbursable by Safran to the Company due to the cost-plus nature of the supply agreement. AEC net sales to Safran were $88.4 million in the first six months of 2018 and $56.8 million in the first six months of 2017. The total of Accounts receivables, Contract assets and Noncurrent receivables due from Safran amounted to $96.8 million and $58.6 million as of June 30, 2018 and December 31, 2017, respectively.</w:t>
      </w:r>
    </w:p>
    <w:p>
      <w:pPr>
        <w:spacing w:after="0" w:line="159" w:lineRule="exact"/>
        <w:rPr>
          <w:sz w:val="20"/>
          <w:szCs w:val="20"/>
          <w:color w:val="auto"/>
        </w:rPr>
      </w:pPr>
    </w:p>
    <w:p>
      <w:pPr>
        <w:jc w:val="both"/>
        <w:ind w:right="60" w:firstLine="620"/>
        <w:spacing w:after="0" w:line="241" w:lineRule="auto"/>
        <w:rPr>
          <w:sz w:val="20"/>
          <w:szCs w:val="20"/>
          <w:color w:val="auto"/>
        </w:rPr>
      </w:pPr>
      <w:r>
        <w:rPr>
          <w:rFonts w:ascii="Arial" w:cs="Arial" w:eastAsia="Arial" w:hAnsi="Arial"/>
          <w:sz w:val="17"/>
          <w:szCs w:val="17"/>
          <w:color w:val="auto"/>
        </w:rPr>
        <w:t>In the second quarter of 2017, the Company recorded a charge to Cost of goods sold of approximately $15.8 million associated with revisions in the estimated profitability of two AEC contracts. The charge was principally due to second-quarter 2017 downward revisions of estimated customer demand for the components manufactured by AEC related to the BR 725 and A380 programs. The charge included a $4.0 million write-off of program inventory costs, and a reserve for future losses of $11.8 million, which is included in Accrued liabilities in the Consolidated Balance Sheets.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presents restructuring costs by reportable segment (also see Note 5):</w:t>
      </w:r>
    </w:p>
    <w:p>
      <w:pPr>
        <w:spacing w:after="0" w:line="366"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3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gridSpan w:val="2"/>
          </w:tcPr>
          <w:p>
            <w:pPr>
              <w:jc w:val="right"/>
              <w:ind w:right="214"/>
              <w:spacing w:after="0" w:line="184" w:lineRule="exact"/>
              <w:rPr>
                <w:sz w:val="20"/>
                <w:szCs w:val="20"/>
                <w:color w:val="auto"/>
              </w:rPr>
            </w:pPr>
            <w:r>
              <w:rPr>
                <w:rFonts w:ascii="Arial" w:cs="Arial" w:eastAsia="Arial" w:hAnsi="Arial"/>
                <w:sz w:val="17"/>
                <w:szCs w:val="17"/>
                <w:b w:val="1"/>
                <w:bCs w:val="1"/>
                <w:color w:val="auto"/>
              </w:rPr>
              <w:t>Three months ended June</w:t>
            </w:r>
          </w:p>
        </w:tc>
        <w:tc>
          <w:tcPr>
            <w:tcW w:w="2180" w:type="dxa"/>
            <w:vAlign w:val="bottom"/>
            <w:tcBorders>
              <w:top w:val="single" w:sz="8" w:color="auto"/>
            </w:tcBorders>
            <w:gridSpan w:val="2"/>
          </w:tcPr>
          <w:p>
            <w:pPr>
              <w:jc w:val="right"/>
              <w:ind w:right="39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3180" w:type="dxa"/>
            <w:vAlign w:val="bottom"/>
          </w:tcPr>
          <w:p>
            <w:pPr>
              <w:spacing w:after="0"/>
              <w:rPr>
                <w:sz w:val="16"/>
                <w:szCs w:val="16"/>
                <w:color w:val="auto"/>
              </w:rPr>
            </w:pPr>
          </w:p>
        </w:tc>
        <w:tc>
          <w:tcPr>
            <w:tcW w:w="2120" w:type="dxa"/>
            <w:vAlign w:val="bottom"/>
          </w:tcPr>
          <w:p>
            <w:pPr>
              <w:jc w:val="right"/>
              <w:ind w:right="74"/>
              <w:spacing w:after="0" w:line="194" w:lineRule="exact"/>
              <w:rPr>
                <w:sz w:val="20"/>
                <w:szCs w:val="20"/>
                <w:color w:val="auto"/>
              </w:rPr>
            </w:pPr>
            <w:r>
              <w:rPr>
                <w:rFonts w:ascii="Arial" w:cs="Arial" w:eastAsia="Arial" w:hAnsi="Arial"/>
                <w:sz w:val="17"/>
                <w:szCs w:val="17"/>
                <w:b w:val="1"/>
                <w:bCs w:val="1"/>
                <w:color w:val="auto"/>
              </w:rPr>
              <w:t>30,</w:t>
            </w:r>
          </w:p>
        </w:tc>
        <w:tc>
          <w:tcPr>
            <w:tcW w:w="108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1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2018</w:t>
            </w: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2017</w:t>
            </w: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2018</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3180" w:type="dxa"/>
            <w:vAlign w:val="bottom"/>
          </w:tcPr>
          <w:p>
            <w:pPr>
              <w:spacing w:after="0" w:line="163" w:lineRule="exact"/>
              <w:rPr>
                <w:sz w:val="20"/>
                <w:szCs w:val="20"/>
                <w:color w:val="auto"/>
              </w:rPr>
            </w:pPr>
            <w:r>
              <w:rPr>
                <w:rFonts w:ascii="Arial" w:cs="Arial" w:eastAsia="Arial" w:hAnsi="Arial"/>
                <w:sz w:val="17"/>
                <w:szCs w:val="17"/>
                <w:color w:val="auto"/>
              </w:rPr>
              <w:t>Machine Clothing</w:t>
            </w:r>
          </w:p>
        </w:tc>
        <w:tc>
          <w:tcPr>
            <w:tcW w:w="2120" w:type="dxa"/>
            <w:vAlign w:val="bottom"/>
          </w:tcPr>
          <w:p>
            <w:pPr>
              <w:jc w:val="right"/>
              <w:ind w:right="74"/>
              <w:spacing w:after="0" w:line="163" w:lineRule="exact"/>
              <w:rPr>
                <w:sz w:val="20"/>
                <w:szCs w:val="20"/>
                <w:color w:val="auto"/>
              </w:rPr>
            </w:pPr>
            <w:r>
              <w:rPr>
                <w:rFonts w:ascii="Arial" w:cs="Arial" w:eastAsia="Arial" w:hAnsi="Arial"/>
                <w:sz w:val="17"/>
                <w:szCs w:val="17"/>
                <w:b w:val="1"/>
                <w:bCs w:val="1"/>
                <w:color w:val="auto"/>
              </w:rPr>
              <w:t>$1,800</w:t>
            </w:r>
          </w:p>
        </w:tc>
        <w:tc>
          <w:tcPr>
            <w:tcW w:w="1080" w:type="dxa"/>
            <w:vAlign w:val="bottom"/>
          </w:tcPr>
          <w:p>
            <w:pPr>
              <w:jc w:val="right"/>
              <w:ind w:right="114"/>
              <w:spacing w:after="0" w:line="163" w:lineRule="exact"/>
              <w:rPr>
                <w:sz w:val="20"/>
                <w:szCs w:val="20"/>
                <w:color w:val="auto"/>
              </w:rPr>
            </w:pPr>
            <w:r>
              <w:rPr>
                <w:rFonts w:ascii="Arial" w:cs="Arial" w:eastAsia="Arial" w:hAnsi="Arial"/>
                <w:sz w:val="17"/>
                <w:szCs w:val="17"/>
                <w:color w:val="auto"/>
              </w:rPr>
              <w:t>$805</w:t>
            </w:r>
          </w:p>
        </w:tc>
        <w:tc>
          <w:tcPr>
            <w:tcW w:w="1360" w:type="dxa"/>
            <w:vAlign w:val="bottom"/>
          </w:tcPr>
          <w:p>
            <w:pPr>
              <w:jc w:val="right"/>
              <w:ind w:right="294"/>
              <w:spacing w:after="0" w:line="163" w:lineRule="exact"/>
              <w:rPr>
                <w:sz w:val="20"/>
                <w:szCs w:val="20"/>
                <w:color w:val="auto"/>
              </w:rPr>
            </w:pPr>
            <w:r>
              <w:rPr>
                <w:rFonts w:ascii="Arial" w:cs="Arial" w:eastAsia="Arial" w:hAnsi="Arial"/>
                <w:sz w:val="17"/>
                <w:szCs w:val="17"/>
                <w:b w:val="1"/>
                <w:bCs w:val="1"/>
                <w:color w:val="auto"/>
              </w:rPr>
              <w:t>$10,152</w:t>
            </w:r>
          </w:p>
        </w:tc>
        <w:tc>
          <w:tcPr>
            <w:tcW w:w="820" w:type="dxa"/>
            <w:vAlign w:val="bottom"/>
          </w:tcPr>
          <w:p>
            <w:pPr>
              <w:jc w:val="right"/>
              <w:spacing w:after="0" w:line="163" w:lineRule="exact"/>
              <w:rPr>
                <w:sz w:val="20"/>
                <w:szCs w:val="20"/>
                <w:color w:val="auto"/>
              </w:rPr>
            </w:pPr>
            <w:r>
              <w:rPr>
                <w:rFonts w:ascii="Arial" w:cs="Arial" w:eastAsia="Arial" w:hAnsi="Arial"/>
                <w:sz w:val="17"/>
                <w:szCs w:val="17"/>
                <w:color w:val="auto"/>
              </w:rPr>
              <w:t>$916</w:t>
            </w:r>
          </w:p>
        </w:tc>
        <w:tc>
          <w:tcPr>
            <w:tcW w:w="20" w:type="dxa"/>
            <w:vAlign w:val="bottom"/>
          </w:tcPr>
          <w:p>
            <w:pPr>
              <w:spacing w:after="0"/>
              <w:rPr>
                <w:sz w:val="14"/>
                <w:szCs w:val="14"/>
                <w:color w:val="auto"/>
              </w:rPr>
            </w:pPr>
          </w:p>
        </w:tc>
      </w:tr>
      <w:tr>
        <w:trPr>
          <w:trHeight w:val="194"/>
        </w:trPr>
        <w:tc>
          <w:tcPr>
            <w:tcW w:w="318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2120" w:type="dxa"/>
            <w:vAlign w:val="bottom"/>
          </w:tcPr>
          <w:p>
            <w:pPr>
              <w:jc w:val="right"/>
              <w:ind w:right="74"/>
              <w:spacing w:after="0" w:line="194" w:lineRule="exact"/>
              <w:rPr>
                <w:sz w:val="20"/>
                <w:szCs w:val="20"/>
                <w:color w:val="auto"/>
              </w:rPr>
            </w:pPr>
            <w:r>
              <w:rPr>
                <w:rFonts w:ascii="Arial" w:cs="Arial" w:eastAsia="Arial" w:hAnsi="Arial"/>
                <w:sz w:val="17"/>
                <w:szCs w:val="17"/>
                <w:b w:val="1"/>
                <w:bCs w:val="1"/>
                <w:color w:val="auto"/>
              </w:rPr>
              <w:t>558</w:t>
            </w:r>
          </w:p>
        </w:tc>
        <w:tc>
          <w:tcPr>
            <w:tcW w:w="108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1,231</w:t>
            </w:r>
          </w:p>
        </w:tc>
        <w:tc>
          <w:tcPr>
            <w:tcW w:w="1360" w:type="dxa"/>
            <w:vAlign w:val="bottom"/>
          </w:tcPr>
          <w:p>
            <w:pPr>
              <w:jc w:val="right"/>
              <w:ind w:right="294"/>
              <w:spacing w:after="0" w:line="194" w:lineRule="exact"/>
              <w:rPr>
                <w:sz w:val="20"/>
                <w:szCs w:val="20"/>
                <w:color w:val="auto"/>
              </w:rPr>
            </w:pPr>
            <w:r>
              <w:rPr>
                <w:rFonts w:ascii="Arial" w:cs="Arial" w:eastAsia="Arial" w:hAnsi="Arial"/>
                <w:sz w:val="17"/>
                <w:szCs w:val="17"/>
                <w:b w:val="1"/>
                <w:bCs w:val="1"/>
                <w:color w:val="auto"/>
              </w:rPr>
              <w:t>779</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3,801</w:t>
            </w:r>
          </w:p>
        </w:tc>
      </w:tr>
      <w:tr>
        <w:trPr>
          <w:trHeight w:val="216"/>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 expenses</w:t>
            </w:r>
          </w:p>
        </w:tc>
        <w:tc>
          <w:tcPr>
            <w:tcW w:w="2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231</w:t>
            </w: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231</w:t>
            </w: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186"/>
        </w:trPr>
        <w:tc>
          <w:tcPr>
            <w:tcW w:w="318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7"/>
                <w:szCs w:val="17"/>
                <w:color w:val="auto"/>
              </w:rPr>
              <w:t>Total</w:t>
            </w:r>
          </w:p>
        </w:tc>
        <w:tc>
          <w:tcPr>
            <w:tcW w:w="2120" w:type="dxa"/>
            <w:vAlign w:val="bottom"/>
            <w:tcBorders>
              <w:bottom w:val="single" w:sz="8" w:color="auto"/>
            </w:tcBorders>
          </w:tcPr>
          <w:p>
            <w:pPr>
              <w:jc w:val="right"/>
              <w:ind w:right="74"/>
              <w:spacing w:after="0" w:line="186" w:lineRule="exact"/>
              <w:rPr>
                <w:sz w:val="20"/>
                <w:szCs w:val="20"/>
                <w:color w:val="auto"/>
              </w:rPr>
            </w:pPr>
            <w:r>
              <w:rPr>
                <w:rFonts w:ascii="Arial" w:cs="Arial" w:eastAsia="Arial" w:hAnsi="Arial"/>
                <w:sz w:val="17"/>
                <w:szCs w:val="17"/>
                <w:b w:val="1"/>
                <w:bCs w:val="1"/>
                <w:color w:val="auto"/>
              </w:rPr>
              <w:t>$2,589</w:t>
            </w:r>
          </w:p>
        </w:tc>
        <w:tc>
          <w:tcPr>
            <w:tcW w:w="1080" w:type="dxa"/>
            <w:vAlign w:val="bottom"/>
            <w:tcBorders>
              <w:bottom w:val="single" w:sz="8" w:color="auto"/>
            </w:tcBorders>
          </w:tcPr>
          <w:p>
            <w:pPr>
              <w:jc w:val="right"/>
              <w:ind w:right="114"/>
              <w:spacing w:after="0" w:line="186" w:lineRule="exact"/>
              <w:rPr>
                <w:sz w:val="20"/>
                <w:szCs w:val="20"/>
                <w:color w:val="auto"/>
              </w:rPr>
            </w:pPr>
            <w:r>
              <w:rPr>
                <w:rFonts w:ascii="Arial" w:cs="Arial" w:eastAsia="Arial" w:hAnsi="Arial"/>
                <w:sz w:val="17"/>
                <w:szCs w:val="17"/>
                <w:color w:val="auto"/>
              </w:rPr>
              <w:t>$2,036</w:t>
            </w:r>
          </w:p>
        </w:tc>
        <w:tc>
          <w:tcPr>
            <w:tcW w:w="1360" w:type="dxa"/>
            <w:vAlign w:val="bottom"/>
            <w:tcBorders>
              <w:bottom w:val="single" w:sz="8" w:color="auto"/>
            </w:tcBorders>
          </w:tcPr>
          <w:p>
            <w:pPr>
              <w:jc w:val="right"/>
              <w:ind w:right="294"/>
              <w:spacing w:after="0" w:line="186" w:lineRule="exact"/>
              <w:rPr>
                <w:sz w:val="20"/>
                <w:szCs w:val="20"/>
                <w:color w:val="auto"/>
              </w:rPr>
            </w:pPr>
            <w:r>
              <w:rPr>
                <w:rFonts w:ascii="Arial" w:cs="Arial" w:eastAsia="Arial" w:hAnsi="Arial"/>
                <w:sz w:val="17"/>
                <w:szCs w:val="17"/>
                <w:b w:val="1"/>
                <w:bCs w:val="1"/>
                <w:color w:val="auto"/>
              </w:rPr>
              <w:t>$11,162</w:t>
            </w: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$4,717</w:t>
            </w: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4. Pensions and Other Postretirement Benefit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Plans</w:t>
      </w:r>
    </w:p>
    <w:p>
      <w:pPr>
        <w:spacing w:after="0" w:line="158"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Postretirement Benefits</w:t>
      </w:r>
    </w:p>
    <w:p>
      <w:pPr>
        <w:spacing w:after="0" w:line="223" w:lineRule="exact"/>
        <w:rPr>
          <w:sz w:val="20"/>
          <w:szCs w:val="20"/>
          <w:color w:val="auto"/>
        </w:rPr>
      </w:pPr>
    </w:p>
    <w:p>
      <w:pPr>
        <w:ind w:right="180" w:firstLine="620"/>
        <w:spacing w:after="0" w:line="250" w:lineRule="auto"/>
        <w:rPr>
          <w:sz w:val="20"/>
          <w:szCs w:val="20"/>
          <w:color w:val="auto"/>
        </w:rPr>
      </w:pPr>
      <w:r>
        <w:rPr>
          <w:rFonts w:ascii="Arial" w:cs="Arial" w:eastAsia="Arial" w:hAnsi="Arial"/>
          <w:sz w:val="17"/>
          <w:szCs w:val="17"/>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composition of the net periodic benefit plan cost for the six months ended June 30, 2018 and 2017, was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b w:val="1"/>
                <w:bCs w:val="1"/>
                <w:color w:val="auto"/>
              </w:rPr>
              <w:t>Pension plans</w:t>
            </w:r>
          </w:p>
        </w:tc>
        <w:tc>
          <w:tcPr>
            <w:tcW w:w="104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2"/>
          </w:tcPr>
          <w:p>
            <w:pPr>
              <w:jc w:val="right"/>
              <w:ind w:right="214"/>
              <w:spacing w:after="0" w:line="184" w:lineRule="exact"/>
              <w:rPr>
                <w:sz w:val="20"/>
                <w:szCs w:val="20"/>
                <w:color w:val="auto"/>
              </w:rPr>
            </w:pPr>
            <w:r>
              <w:rPr>
                <w:rFonts w:ascii="Arial" w:cs="Arial" w:eastAsia="Arial" w:hAnsi="Arial"/>
                <w:sz w:val="17"/>
                <w:szCs w:val="17"/>
                <w:b w:val="1"/>
                <w:bCs w:val="1"/>
                <w:color w:val="auto"/>
              </w:rPr>
              <w:t>Other postretirement benefits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960" w:type="dxa"/>
            <w:vAlign w:val="bottom"/>
            <w:tcBorders>
              <w:bottom w:val="single" w:sz="8" w:color="auto"/>
            </w:tcBorders>
          </w:tcPr>
          <w:p>
            <w:pPr>
              <w:jc w:val="right"/>
              <w:ind w:right="1014"/>
              <w:spacing w:after="0"/>
              <w:rPr>
                <w:sz w:val="20"/>
                <w:szCs w:val="20"/>
                <w:color w:val="auto"/>
              </w:rPr>
            </w:pPr>
            <w:r>
              <w:rPr>
                <w:rFonts w:ascii="Arial" w:cs="Arial" w:eastAsia="Arial" w:hAnsi="Arial"/>
                <w:sz w:val="17"/>
                <w:szCs w:val="17"/>
                <w:b w:val="1"/>
                <w:bCs w:val="1"/>
                <w:color w:val="auto"/>
              </w:rPr>
              <w:t>2018</w:t>
            </w: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2017</w:t>
            </w:r>
          </w:p>
        </w:tc>
        <w:tc>
          <w:tcPr>
            <w:tcW w:w="174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2018</w:t>
            </w: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60" w:type="dxa"/>
            <w:vAlign w:val="bottom"/>
          </w:tcPr>
          <w:p>
            <w:pPr>
              <w:spacing w:after="0" w:line="185" w:lineRule="exact"/>
              <w:rPr>
                <w:sz w:val="20"/>
                <w:szCs w:val="20"/>
                <w:color w:val="auto"/>
              </w:rPr>
            </w:pPr>
            <w:r>
              <w:rPr>
                <w:rFonts w:ascii="Arial" w:cs="Arial" w:eastAsia="Arial" w:hAnsi="Arial"/>
                <w:sz w:val="17"/>
                <w:szCs w:val="17"/>
                <w:color w:val="auto"/>
              </w:rPr>
              <w:t>Components of net periodic benefit cost:</w:t>
            </w:r>
          </w:p>
        </w:tc>
        <w:tc>
          <w:tcPr>
            <w:tcW w:w="29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$1,391</w:t>
            </w:r>
          </w:p>
        </w:tc>
        <w:tc>
          <w:tcPr>
            <w:tcW w:w="1040" w:type="dxa"/>
            <w:vAlign w:val="bottom"/>
          </w:tcPr>
          <w:p>
            <w:pPr>
              <w:spacing w:after="0"/>
              <w:rPr>
                <w:sz w:val="16"/>
                <w:szCs w:val="16"/>
                <w:color w:val="auto"/>
              </w:rPr>
            </w:pPr>
          </w:p>
        </w:tc>
        <w:tc>
          <w:tcPr>
            <w:tcW w:w="174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$116</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line="172" w:lineRule="exact"/>
              <w:rPr>
                <w:sz w:val="20"/>
                <w:szCs w:val="20"/>
                <w:color w:val="auto"/>
              </w:rPr>
            </w:pPr>
            <w:r>
              <w:rPr>
                <w:rFonts w:ascii="Arial" w:cs="Arial" w:eastAsia="Arial" w:hAnsi="Arial"/>
                <w:sz w:val="17"/>
                <w:szCs w:val="17"/>
                <w:color w:val="auto"/>
              </w:rPr>
              <w:t>Service cost</w:t>
            </w:r>
          </w:p>
        </w:tc>
        <w:tc>
          <w:tcPr>
            <w:tcW w:w="2960" w:type="dxa"/>
            <w:vAlign w:val="bottom"/>
            <w:vMerge w:val="continue"/>
          </w:tcPr>
          <w:p>
            <w:pPr>
              <w:spacing w:after="0"/>
              <w:rPr>
                <w:sz w:val="14"/>
                <w:szCs w:val="14"/>
                <w:color w:val="auto"/>
              </w:rPr>
            </w:pPr>
          </w:p>
        </w:tc>
        <w:tc>
          <w:tcPr>
            <w:tcW w:w="1040" w:type="dxa"/>
            <w:vAlign w:val="bottom"/>
          </w:tcPr>
          <w:p>
            <w:pPr>
              <w:jc w:val="right"/>
              <w:ind w:right="74"/>
              <w:spacing w:after="0" w:line="172" w:lineRule="exact"/>
              <w:rPr>
                <w:sz w:val="20"/>
                <w:szCs w:val="20"/>
                <w:color w:val="auto"/>
              </w:rPr>
            </w:pPr>
            <w:r>
              <w:rPr>
                <w:rFonts w:ascii="Arial" w:cs="Arial" w:eastAsia="Arial" w:hAnsi="Arial"/>
                <w:sz w:val="17"/>
                <w:szCs w:val="17"/>
                <w:color w:val="auto"/>
              </w:rPr>
              <w:t>$1,307</w:t>
            </w:r>
          </w:p>
        </w:tc>
        <w:tc>
          <w:tcPr>
            <w:tcW w:w="1740" w:type="dxa"/>
            <w:vAlign w:val="bottom"/>
            <w:vMerge w:val="continue"/>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Arial" w:cs="Arial" w:eastAsia="Arial" w:hAnsi="Arial"/>
                <w:sz w:val="17"/>
                <w:szCs w:val="17"/>
                <w:color w:val="auto"/>
              </w:rPr>
              <w:t>$122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7"/>
                <w:szCs w:val="17"/>
                <w:color w:val="auto"/>
              </w:rPr>
              <w:t>Interest cost</w:t>
            </w:r>
          </w:p>
        </w:tc>
        <w:tc>
          <w:tcPr>
            <w:tcW w:w="2960" w:type="dxa"/>
            <w:vAlign w:val="bottom"/>
          </w:tcPr>
          <w:p>
            <w:pPr>
              <w:jc w:val="right"/>
              <w:ind w:right="374"/>
              <w:spacing w:after="0" w:line="194" w:lineRule="exact"/>
              <w:rPr>
                <w:sz w:val="20"/>
                <w:szCs w:val="20"/>
                <w:color w:val="auto"/>
              </w:rPr>
            </w:pPr>
            <w:r>
              <w:rPr>
                <w:rFonts w:ascii="Arial" w:cs="Arial" w:eastAsia="Arial" w:hAnsi="Arial"/>
                <w:sz w:val="17"/>
                <w:szCs w:val="17"/>
                <w:b w:val="1"/>
                <w:bCs w:val="1"/>
                <w:color w:val="auto"/>
              </w:rPr>
              <w:t>3,621</w:t>
            </w:r>
          </w:p>
        </w:tc>
        <w:tc>
          <w:tcPr>
            <w:tcW w:w="1040" w:type="dxa"/>
            <w:vAlign w:val="bottom"/>
          </w:tcPr>
          <w:p>
            <w:pPr>
              <w:jc w:val="right"/>
              <w:ind w:right="74"/>
              <w:spacing w:after="0" w:line="194" w:lineRule="exact"/>
              <w:rPr>
                <w:sz w:val="20"/>
                <w:szCs w:val="20"/>
                <w:color w:val="auto"/>
              </w:rPr>
            </w:pPr>
            <w:r>
              <w:rPr>
                <w:rFonts w:ascii="Arial" w:cs="Arial" w:eastAsia="Arial" w:hAnsi="Arial"/>
                <w:sz w:val="17"/>
                <w:szCs w:val="17"/>
                <w:color w:val="auto"/>
              </w:rPr>
              <w:t>3,671</w:t>
            </w:r>
          </w:p>
        </w:tc>
        <w:tc>
          <w:tcPr>
            <w:tcW w:w="1740" w:type="dxa"/>
            <w:vAlign w:val="bottom"/>
          </w:tcPr>
          <w:p>
            <w:pPr>
              <w:jc w:val="right"/>
              <w:ind w:right="154"/>
              <w:spacing w:after="0" w:line="194" w:lineRule="exact"/>
              <w:rPr>
                <w:sz w:val="20"/>
                <w:szCs w:val="20"/>
                <w:color w:val="auto"/>
              </w:rPr>
            </w:pPr>
            <w:r>
              <w:rPr>
                <w:rFonts w:ascii="Arial" w:cs="Arial" w:eastAsia="Arial" w:hAnsi="Arial"/>
                <w:sz w:val="17"/>
                <w:szCs w:val="17"/>
                <w:b w:val="1"/>
                <w:bCs w:val="1"/>
                <w:color w:val="auto"/>
              </w:rPr>
              <w:t>1,013</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7"/>
                <w:szCs w:val="17"/>
                <w:color w:val="auto"/>
              </w:rPr>
              <w:t>Expected return on assets</w:t>
            </w:r>
          </w:p>
        </w:tc>
        <w:tc>
          <w:tcPr>
            <w:tcW w:w="2960" w:type="dxa"/>
            <w:vAlign w:val="bottom"/>
          </w:tcPr>
          <w:p>
            <w:pPr>
              <w:jc w:val="right"/>
              <w:ind w:right="374"/>
              <w:spacing w:after="0" w:line="194" w:lineRule="exact"/>
              <w:rPr>
                <w:sz w:val="20"/>
                <w:szCs w:val="20"/>
                <w:color w:val="auto"/>
              </w:rPr>
            </w:pPr>
            <w:r>
              <w:rPr>
                <w:rFonts w:ascii="Arial" w:cs="Arial" w:eastAsia="Arial" w:hAnsi="Arial"/>
                <w:sz w:val="17"/>
                <w:szCs w:val="17"/>
                <w:b w:val="1"/>
                <w:bCs w:val="1"/>
                <w:color w:val="auto"/>
              </w:rPr>
              <w:t>(4,470)</w:t>
            </w:r>
          </w:p>
        </w:tc>
        <w:tc>
          <w:tcPr>
            <w:tcW w:w="1040" w:type="dxa"/>
            <w:vAlign w:val="bottom"/>
          </w:tcPr>
          <w:p>
            <w:pPr>
              <w:jc w:val="right"/>
              <w:ind w:right="74"/>
              <w:spacing w:after="0" w:line="194" w:lineRule="exact"/>
              <w:rPr>
                <w:sz w:val="20"/>
                <w:szCs w:val="20"/>
                <w:color w:val="auto"/>
              </w:rPr>
            </w:pPr>
            <w:r>
              <w:rPr>
                <w:rFonts w:ascii="Arial" w:cs="Arial" w:eastAsia="Arial" w:hAnsi="Arial"/>
                <w:sz w:val="17"/>
                <w:szCs w:val="17"/>
                <w:color w:val="auto"/>
              </w:rPr>
              <w:t>(4,003)</w:t>
            </w:r>
          </w:p>
        </w:tc>
        <w:tc>
          <w:tcPr>
            <w:tcW w:w="1740" w:type="dxa"/>
            <w:vAlign w:val="bottom"/>
          </w:tcPr>
          <w:p>
            <w:pPr>
              <w:spacing w:after="0"/>
              <w:rPr>
                <w:sz w:val="16"/>
                <w:szCs w:val="16"/>
                <w:color w:val="auto"/>
              </w:rPr>
            </w:pPr>
          </w:p>
        </w:tc>
        <w:tc>
          <w:tcPr>
            <w:tcW w:w="11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7"/>
                <w:szCs w:val="17"/>
                <w:color w:val="auto"/>
              </w:rPr>
              <w:t>Curtailment gain</w:t>
            </w:r>
          </w:p>
        </w:tc>
        <w:tc>
          <w:tcPr>
            <w:tcW w:w="2960" w:type="dxa"/>
            <w:vAlign w:val="bottom"/>
          </w:tcPr>
          <w:p>
            <w:pPr>
              <w:jc w:val="right"/>
              <w:ind w:right="374"/>
              <w:spacing w:after="0" w:line="194" w:lineRule="exact"/>
              <w:rPr>
                <w:sz w:val="20"/>
                <w:szCs w:val="20"/>
                <w:color w:val="auto"/>
              </w:rPr>
            </w:pPr>
            <w:r>
              <w:rPr>
                <w:rFonts w:ascii="Arial" w:cs="Arial" w:eastAsia="Arial" w:hAnsi="Arial"/>
                <w:sz w:val="17"/>
                <w:szCs w:val="17"/>
                <w:b w:val="1"/>
                <w:bCs w:val="1"/>
                <w:color w:val="auto"/>
              </w:rPr>
              <w:t>(518)</w:t>
            </w:r>
          </w:p>
        </w:tc>
        <w:tc>
          <w:tcPr>
            <w:tcW w:w="1040" w:type="dxa"/>
            <w:vAlign w:val="bottom"/>
          </w:tcPr>
          <w:p>
            <w:pPr>
              <w:jc w:val="right"/>
              <w:ind w:right="74"/>
              <w:spacing w:after="0" w:line="194" w:lineRule="exact"/>
              <w:rPr>
                <w:sz w:val="20"/>
                <w:szCs w:val="20"/>
                <w:color w:val="auto"/>
              </w:rPr>
            </w:pPr>
            <w:r>
              <w:rPr>
                <w:rFonts w:ascii="Arial" w:cs="Arial" w:eastAsia="Arial" w:hAnsi="Arial"/>
                <w:sz w:val="17"/>
                <w:szCs w:val="17"/>
                <w:color w:val="auto"/>
              </w:rPr>
              <w:t>-</w:t>
            </w:r>
          </w:p>
        </w:tc>
        <w:tc>
          <w:tcPr>
            <w:tcW w:w="1740" w:type="dxa"/>
            <w:vAlign w:val="bottom"/>
          </w:tcPr>
          <w:p>
            <w:pPr>
              <w:jc w:val="right"/>
              <w:ind w:right="154"/>
              <w:spacing w:after="0" w:line="194" w:lineRule="exact"/>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7"/>
                <w:szCs w:val="17"/>
                <w:color w:val="auto"/>
              </w:rPr>
              <w:t>Amortization of prior service cost/(credit)</w:t>
            </w:r>
          </w:p>
        </w:tc>
        <w:tc>
          <w:tcPr>
            <w:tcW w:w="2960" w:type="dxa"/>
            <w:vAlign w:val="bottom"/>
          </w:tcPr>
          <w:p>
            <w:pPr>
              <w:jc w:val="right"/>
              <w:ind w:right="374"/>
              <w:spacing w:after="0" w:line="194" w:lineRule="exact"/>
              <w:rPr>
                <w:sz w:val="20"/>
                <w:szCs w:val="20"/>
                <w:color w:val="auto"/>
              </w:rPr>
            </w:pPr>
            <w:r>
              <w:rPr>
                <w:rFonts w:ascii="Arial" w:cs="Arial" w:eastAsia="Arial" w:hAnsi="Arial"/>
                <w:sz w:val="17"/>
                <w:szCs w:val="17"/>
                <w:b w:val="1"/>
                <w:bCs w:val="1"/>
                <w:color w:val="auto"/>
              </w:rPr>
              <w:t>17</w:t>
            </w:r>
          </w:p>
        </w:tc>
        <w:tc>
          <w:tcPr>
            <w:tcW w:w="1040" w:type="dxa"/>
            <w:vAlign w:val="bottom"/>
          </w:tcPr>
          <w:p>
            <w:pPr>
              <w:jc w:val="right"/>
              <w:ind w:right="74"/>
              <w:spacing w:after="0" w:line="194" w:lineRule="exact"/>
              <w:rPr>
                <w:sz w:val="20"/>
                <w:szCs w:val="20"/>
                <w:color w:val="auto"/>
              </w:rPr>
            </w:pPr>
            <w:r>
              <w:rPr>
                <w:rFonts w:ascii="Arial" w:cs="Arial" w:eastAsia="Arial" w:hAnsi="Arial"/>
                <w:sz w:val="17"/>
                <w:szCs w:val="17"/>
                <w:color w:val="auto"/>
              </w:rPr>
              <w:t>18</w:t>
            </w:r>
          </w:p>
        </w:tc>
        <w:tc>
          <w:tcPr>
            <w:tcW w:w="1740" w:type="dxa"/>
            <w:vAlign w:val="bottom"/>
          </w:tcPr>
          <w:p>
            <w:pPr>
              <w:jc w:val="right"/>
              <w:ind w:right="154"/>
              <w:spacing w:after="0" w:line="194" w:lineRule="exact"/>
              <w:rPr>
                <w:sz w:val="20"/>
                <w:szCs w:val="20"/>
                <w:color w:val="auto"/>
              </w:rPr>
            </w:pPr>
            <w:r>
              <w:rPr>
                <w:rFonts w:ascii="Arial" w:cs="Arial" w:eastAsia="Arial" w:hAnsi="Arial"/>
                <w:sz w:val="17"/>
                <w:szCs w:val="17"/>
                <w:b w:val="1"/>
                <w:bCs w:val="1"/>
                <w:color w:val="auto"/>
              </w:rPr>
              <w:t>(2,244)</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(2,244)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net actuarial loss</w:t>
            </w:r>
          </w:p>
        </w:tc>
        <w:tc>
          <w:tcPr>
            <w:tcW w:w="29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1,110</w:t>
            </w: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1,295</w:t>
            </w:r>
          </w:p>
        </w:tc>
        <w:tc>
          <w:tcPr>
            <w:tcW w:w="17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1,478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Net periodic benefit cost</w:t>
            </w:r>
          </w:p>
        </w:tc>
        <w:tc>
          <w:tcPr>
            <w:tcW w:w="2960" w:type="dxa"/>
            <w:vAlign w:val="bottom"/>
            <w:tcBorders>
              <w:bottom w:val="single" w:sz="8" w:color="auto"/>
            </w:tcBorders>
          </w:tcPr>
          <w:p>
            <w:pPr>
              <w:jc w:val="right"/>
              <w:ind w:right="374"/>
              <w:spacing w:after="0" w:line="186" w:lineRule="exact"/>
              <w:rPr>
                <w:sz w:val="20"/>
                <w:szCs w:val="20"/>
                <w:color w:val="auto"/>
              </w:rPr>
            </w:pPr>
            <w:r>
              <w:rPr>
                <w:rFonts w:ascii="Arial" w:cs="Arial" w:eastAsia="Arial" w:hAnsi="Arial"/>
                <w:sz w:val="17"/>
                <w:szCs w:val="17"/>
                <w:b w:val="1"/>
                <w:bCs w:val="1"/>
                <w:color w:val="auto"/>
              </w:rPr>
              <w:t>$1,151</w:t>
            </w:r>
          </w:p>
        </w:tc>
        <w:tc>
          <w:tcPr>
            <w:tcW w:w="1040" w:type="dxa"/>
            <w:vAlign w:val="bottom"/>
            <w:tcBorders>
              <w:bottom w:val="single" w:sz="8" w:color="auto"/>
            </w:tcBorders>
          </w:tcPr>
          <w:p>
            <w:pPr>
              <w:jc w:val="right"/>
              <w:ind w:right="74"/>
              <w:spacing w:after="0" w:line="186" w:lineRule="exact"/>
              <w:rPr>
                <w:sz w:val="20"/>
                <w:szCs w:val="20"/>
                <w:color w:val="auto"/>
              </w:rPr>
            </w:pPr>
            <w:r>
              <w:rPr>
                <w:rFonts w:ascii="Arial" w:cs="Arial" w:eastAsia="Arial" w:hAnsi="Arial"/>
                <w:sz w:val="17"/>
                <w:szCs w:val="17"/>
                <w:color w:val="auto"/>
              </w:rPr>
              <w:t>$2,288</w:t>
            </w:r>
          </w:p>
        </w:tc>
        <w:tc>
          <w:tcPr>
            <w:tcW w:w="1740" w:type="dxa"/>
            <w:vAlign w:val="bottom"/>
            <w:tcBorders>
              <w:bottom w:val="single" w:sz="8" w:color="auto"/>
            </w:tcBorders>
          </w:tcPr>
          <w:p>
            <w:pPr>
              <w:jc w:val="right"/>
              <w:ind w:right="154"/>
              <w:spacing w:after="0" w:line="186" w:lineRule="exact"/>
              <w:rPr>
                <w:sz w:val="20"/>
                <w:szCs w:val="20"/>
                <w:color w:val="auto"/>
              </w:rPr>
            </w:pPr>
            <w:r>
              <w:rPr>
                <w:rFonts w:ascii="Arial" w:cs="Arial" w:eastAsia="Arial" w:hAnsi="Arial"/>
                <w:sz w:val="17"/>
                <w:szCs w:val="17"/>
                <w:b w:val="1"/>
                <w:bCs w:val="1"/>
                <w:color w:val="auto"/>
              </w:rPr>
              <w:t>$363</w:t>
            </w:r>
          </w:p>
        </w:tc>
        <w:tc>
          <w:tcPr>
            <w:tcW w:w="11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$390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00" w:firstLine="620"/>
        <w:spacing w:after="0" w:line="244" w:lineRule="auto"/>
        <w:rPr>
          <w:sz w:val="20"/>
          <w:szCs w:val="20"/>
          <w:color w:val="auto"/>
        </w:rPr>
      </w:pPr>
      <w:r>
        <w:rPr>
          <w:rFonts w:ascii="Arial" w:cs="Arial" w:eastAsia="Arial" w:hAnsi="Arial"/>
          <w:sz w:val="17"/>
          <w:szCs w:val="17"/>
          <w:color w:val="auto"/>
        </w:rPr>
        <w:t>In 2018, the Company adopted the provisions of ASU 2017-07, “</w:t>
      </w:r>
      <w:r>
        <w:rPr>
          <w:rFonts w:ascii="Arial" w:cs="Arial" w:eastAsia="Arial" w:hAnsi="Arial"/>
          <w:sz w:val="17"/>
          <w:szCs w:val="17"/>
          <w:i w:val="1"/>
          <w:iCs w:val="1"/>
          <w:color w:val="auto"/>
        </w:rPr>
        <w:t>Compensation – Retirement Benefits: improving the presentation of net</w:t>
      </w:r>
      <w:r>
        <w:rPr>
          <w:rFonts w:ascii="Arial" w:cs="Arial" w:eastAsia="Arial" w:hAnsi="Arial"/>
          <w:sz w:val="17"/>
          <w:szCs w:val="17"/>
          <w:color w:val="auto"/>
        </w:rPr>
        <w:t xml:space="preserve"> </w:t>
      </w:r>
      <w:r>
        <w:rPr>
          <w:rFonts w:ascii="Arial" w:cs="Arial" w:eastAsia="Arial" w:hAnsi="Arial"/>
          <w:sz w:val="17"/>
          <w:szCs w:val="17"/>
          <w:i w:val="1"/>
          <w:iCs w:val="1"/>
          <w:color w:val="auto"/>
        </w:rPr>
        <w:t>periodic pension cost and net periodic postretirement benefit cost</w:t>
      </w:r>
      <w:r>
        <w:rPr>
          <w:rFonts w:ascii="Arial" w:cs="Arial" w:eastAsia="Arial" w:hAnsi="Arial"/>
          <w:sz w:val="17"/>
          <w:szCs w:val="17"/>
          <w:color w:val="auto"/>
        </w:rPr>
        <w:t>”. This accounting update requires that service cost for defined benefit pension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postretirement plans be reported in the same line item or items as other compensation costs arising from services rendered by the pertinent employees during the period. Additionally, the other components of net periodic benefit cost are required to be presented in the income statement separately from the service cost component and outside a subtotal of income from operations. The Company elected to report the components of net periodic benefit cost other than the service component in the line item, Other expense, net in the Consolidated Statements of Income.</w:t>
      </w:r>
    </w:p>
    <w:p>
      <w:pPr>
        <w:spacing w:after="0" w:line="155" w:lineRule="exact"/>
        <w:rPr>
          <w:sz w:val="20"/>
          <w:szCs w:val="20"/>
          <w:color w:val="auto"/>
        </w:rPr>
      </w:pPr>
    </w:p>
    <w:p>
      <w:pPr>
        <w:ind w:right="120" w:firstLine="620"/>
        <w:spacing w:after="0" w:line="243" w:lineRule="auto"/>
        <w:rPr>
          <w:sz w:val="20"/>
          <w:szCs w:val="20"/>
          <w:color w:val="auto"/>
        </w:rPr>
      </w:pPr>
      <w:r>
        <w:rPr>
          <w:rFonts w:ascii="Arial" w:cs="Arial" w:eastAsia="Arial" w:hAnsi="Arial"/>
          <w:sz w:val="17"/>
          <w:szCs w:val="17"/>
          <w:color w:val="auto"/>
        </w:rPr>
        <w:t>We restated 2017 expenses using the application of a practical expedient, which permits the usage of amounts disclosed in the prior year Pension and Other Postretirement benefit plans footnote as the estimation basis for applying the retrospective presentation requirements. The tables below show the 2017 amounts reclassified by segment and financial statement line item that resulted from adopting this update:</w:t>
      </w:r>
    </w:p>
    <w:p>
      <w:pPr>
        <w:spacing w:after="0" w:line="200" w:lineRule="exact"/>
        <w:rPr>
          <w:sz w:val="20"/>
          <w:szCs w:val="20"/>
          <w:color w:val="auto"/>
        </w:rPr>
      </w:pPr>
    </w:p>
    <w:p>
      <w:pPr>
        <w:spacing w:after="0" w:line="30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Effect by segment operating expenses: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9" w:name="page20"/>
    <w:bookmarkEnd w:id="19"/>
    <w:tbl>
      <w:tblPr>
        <w:tblLayout w:type="fixed"/>
        <w:tblInd w:w="620" w:type="dxa"/>
        <w:tblCellMar>
          <w:top w:w="0" w:type="dxa"/>
          <w:left w:w="0" w:type="dxa"/>
          <w:bottom w:w="0" w:type="dxa"/>
          <w:right w:w="0" w:type="dxa"/>
        </w:tblCellMar>
      </w:tblPr>
      <w:tr>
        <w:trPr>
          <w:trHeight w:val="184"/>
        </w:trPr>
        <w:tc>
          <w:tcPr>
            <w:tcW w:w="140" w:type="dxa"/>
            <w:vAlign w:val="bottom"/>
          </w:tcPr>
          <w:p>
            <w:pPr>
              <w:spacing w:after="0"/>
              <w:rPr>
                <w:sz w:val="15"/>
                <w:szCs w:val="15"/>
                <w:color w:val="auto"/>
              </w:rPr>
            </w:pPr>
          </w:p>
        </w:tc>
        <w:tc>
          <w:tcPr>
            <w:tcW w:w="3660" w:type="dxa"/>
            <w:vAlign w:val="bottom"/>
            <w:tcBorders>
              <w:top w:val="single" w:sz="8" w:color="auto"/>
            </w:tcBorders>
          </w:tcPr>
          <w:p>
            <w:pPr>
              <w:spacing w:after="0"/>
              <w:rPr>
                <w:sz w:val="15"/>
                <w:szCs w:val="15"/>
                <w:color w:val="auto"/>
              </w:rPr>
            </w:pPr>
          </w:p>
        </w:tc>
        <w:tc>
          <w:tcPr>
            <w:tcW w:w="6260" w:type="dxa"/>
            <w:vAlign w:val="bottom"/>
            <w:tcBorders>
              <w:top w:val="single" w:sz="8" w:color="auto"/>
            </w:tcBorders>
          </w:tcPr>
          <w:p>
            <w:pPr>
              <w:ind w:left="520"/>
              <w:spacing w:after="0" w:line="184" w:lineRule="exact"/>
              <w:rPr>
                <w:sz w:val="20"/>
                <w:szCs w:val="20"/>
                <w:color w:val="auto"/>
              </w:rPr>
            </w:pPr>
            <w:r>
              <w:rPr>
                <w:rFonts w:ascii="Arial" w:cs="Arial" w:eastAsia="Arial" w:hAnsi="Arial"/>
                <w:sz w:val="17"/>
                <w:szCs w:val="17"/>
                <w:b w:val="1"/>
                <w:bCs w:val="1"/>
                <w:color w:val="auto"/>
              </w:rPr>
              <w:t>Increase/(decrease) in expense for the six months ended June 30,</w:t>
            </w:r>
          </w:p>
        </w:tc>
        <w:tc>
          <w:tcPr>
            <w:tcW w:w="20" w:type="dxa"/>
            <w:vAlign w:val="bottom"/>
          </w:tcPr>
          <w:p>
            <w:pPr>
              <w:spacing w:after="0"/>
              <w:rPr>
                <w:sz w:val="15"/>
                <w:szCs w:val="15"/>
                <w:color w:val="auto"/>
              </w:rPr>
            </w:pPr>
          </w:p>
        </w:tc>
      </w:tr>
      <w:tr>
        <w:trPr>
          <w:trHeight w:val="216"/>
        </w:trPr>
        <w:tc>
          <w:tcPr>
            <w:tcW w:w="140" w:type="dxa"/>
            <w:vAlign w:val="bottom"/>
          </w:tcPr>
          <w:p>
            <w:pPr>
              <w:spacing w:after="0"/>
              <w:rPr>
                <w:sz w:val="18"/>
                <w:szCs w:val="18"/>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626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86"/>
        </w:trPr>
        <w:tc>
          <w:tcPr>
            <w:tcW w:w="140" w:type="dxa"/>
            <w:vAlign w:val="bottom"/>
          </w:tcPr>
          <w:p>
            <w:pPr>
              <w:spacing w:after="0"/>
              <w:rPr>
                <w:sz w:val="16"/>
                <w:szCs w:val="16"/>
                <w:color w:val="auto"/>
              </w:rPr>
            </w:pPr>
          </w:p>
        </w:tc>
        <w:tc>
          <w:tcPr>
            <w:tcW w:w="3660" w:type="dxa"/>
            <w:vAlign w:val="bottom"/>
          </w:tcPr>
          <w:p>
            <w:pPr>
              <w:spacing w:after="0" w:line="185" w:lineRule="exact"/>
              <w:rPr>
                <w:sz w:val="20"/>
                <w:szCs w:val="20"/>
                <w:color w:val="auto"/>
              </w:rPr>
            </w:pPr>
            <w:r>
              <w:rPr>
                <w:rFonts w:ascii="Arial" w:cs="Arial" w:eastAsia="Arial" w:hAnsi="Arial"/>
                <w:sz w:val="17"/>
                <w:szCs w:val="17"/>
                <w:color w:val="auto"/>
              </w:rPr>
              <w:t>Machine Clothing</w:t>
            </w:r>
          </w:p>
        </w:tc>
        <w:tc>
          <w:tcPr>
            <w:tcW w:w="6260" w:type="dxa"/>
            <w:vAlign w:val="bottom"/>
          </w:tcPr>
          <w:p>
            <w:pPr>
              <w:jc w:val="right"/>
              <w:spacing w:after="0" w:line="185"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r>
      <w:tr>
        <w:trPr>
          <w:trHeight w:val="194"/>
        </w:trPr>
        <w:tc>
          <w:tcPr>
            <w:tcW w:w="140" w:type="dxa"/>
            <w:vAlign w:val="bottom"/>
          </w:tcPr>
          <w:p>
            <w:pPr>
              <w:spacing w:after="0"/>
              <w:rPr>
                <w:sz w:val="16"/>
                <w:szCs w:val="16"/>
                <w:color w:val="auto"/>
              </w:rPr>
            </w:pPr>
          </w:p>
        </w:tc>
        <w:tc>
          <w:tcPr>
            <w:tcW w:w="366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62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4"/>
        </w:trPr>
        <w:tc>
          <w:tcPr>
            <w:tcW w:w="140" w:type="dxa"/>
            <w:vAlign w:val="bottom"/>
          </w:tcPr>
          <w:p>
            <w:pPr>
              <w:spacing w:after="0"/>
              <w:rPr>
                <w:sz w:val="16"/>
                <w:szCs w:val="16"/>
                <w:color w:val="auto"/>
              </w:rPr>
            </w:pPr>
          </w:p>
        </w:tc>
        <w:tc>
          <w:tcPr>
            <w:tcW w:w="366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Corporate expenses</w:t>
            </w:r>
          </w:p>
        </w:tc>
        <w:tc>
          <w:tcPr>
            <w:tcW w:w="6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(1,240)</w:t>
            </w:r>
          </w:p>
        </w:tc>
        <w:tc>
          <w:tcPr>
            <w:tcW w:w="20" w:type="dxa"/>
            <w:vAlign w:val="bottom"/>
          </w:tcPr>
          <w:p>
            <w:pPr>
              <w:spacing w:after="0"/>
              <w:rPr>
                <w:sz w:val="16"/>
                <w:szCs w:val="16"/>
                <w:color w:val="auto"/>
              </w:rPr>
            </w:pPr>
          </w:p>
        </w:tc>
      </w:tr>
      <w:tr>
        <w:trPr>
          <w:trHeight w:val="186"/>
        </w:trPr>
        <w:tc>
          <w:tcPr>
            <w:tcW w:w="140" w:type="dxa"/>
            <w:vAlign w:val="bottom"/>
          </w:tcPr>
          <w:p>
            <w:pPr>
              <w:spacing w:after="0"/>
              <w:rPr>
                <w:sz w:val="16"/>
                <w:szCs w:val="16"/>
                <w:color w:val="auto"/>
              </w:rPr>
            </w:pPr>
          </w:p>
        </w:tc>
        <w:tc>
          <w:tcPr>
            <w:tcW w:w="36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operating expenses</w:t>
            </w:r>
          </w:p>
        </w:tc>
        <w:tc>
          <w:tcPr>
            <w:tcW w:w="62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($1,249)</w:t>
            </w:r>
          </w:p>
        </w:tc>
        <w:tc>
          <w:tcPr>
            <w:tcW w:w="20" w:type="dxa"/>
            <w:vAlign w:val="bottom"/>
          </w:tcPr>
          <w:p>
            <w:pPr>
              <w:spacing w:after="0"/>
              <w:rPr>
                <w:sz w:val="16"/>
                <w:szCs w:val="16"/>
                <w:color w:val="auto"/>
              </w:rPr>
            </w:pPr>
          </w:p>
        </w:tc>
      </w:tr>
      <w:tr>
        <w:trPr>
          <w:trHeight w:val="380"/>
        </w:trPr>
        <w:tc>
          <w:tcPr>
            <w:tcW w:w="14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expense, net</w:t>
            </w:r>
          </w:p>
        </w:tc>
        <w:tc>
          <w:tcPr>
            <w:tcW w:w="6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w:t>
            </w:r>
          </w:p>
        </w:tc>
        <w:tc>
          <w:tcPr>
            <w:tcW w:w="20" w:type="dxa"/>
            <w:vAlign w:val="bottom"/>
          </w:tcPr>
          <w:p>
            <w:pPr>
              <w:spacing w:after="0"/>
              <w:rPr>
                <w:sz w:val="24"/>
                <w:szCs w:val="24"/>
                <w:color w:val="auto"/>
              </w:rPr>
            </w:pPr>
          </w:p>
        </w:tc>
      </w:tr>
      <w:tr>
        <w:trPr>
          <w:trHeight w:val="391"/>
        </w:trPr>
        <w:tc>
          <w:tcPr>
            <w:tcW w:w="3800" w:type="dxa"/>
            <w:vAlign w:val="bottom"/>
            <w:gridSpan w:val="2"/>
          </w:tcPr>
          <w:p>
            <w:pPr>
              <w:spacing w:after="0"/>
              <w:rPr>
                <w:sz w:val="20"/>
                <w:szCs w:val="20"/>
                <w:color w:val="auto"/>
              </w:rPr>
            </w:pPr>
            <w:r>
              <w:rPr>
                <w:rFonts w:ascii="Arial" w:cs="Arial" w:eastAsia="Arial" w:hAnsi="Arial"/>
                <w:sz w:val="17"/>
                <w:szCs w:val="17"/>
                <w:b w:val="1"/>
                <w:bCs w:val="1"/>
                <w:color w:val="auto"/>
              </w:rPr>
              <w:t>Effect by Statement of Income line item:</w:t>
            </w: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337"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780" w:type="dxa"/>
            <w:vAlign w:val="bottom"/>
            <w:tcBorders>
              <w:top w:val="single" w:sz="8" w:color="auto"/>
            </w:tcBorders>
          </w:tcPr>
          <w:p>
            <w:pPr>
              <w:spacing w:after="0"/>
              <w:rPr>
                <w:sz w:val="15"/>
                <w:szCs w:val="15"/>
                <w:color w:val="auto"/>
              </w:rPr>
            </w:pPr>
          </w:p>
        </w:tc>
        <w:tc>
          <w:tcPr>
            <w:tcW w:w="6140" w:type="dxa"/>
            <w:vAlign w:val="bottom"/>
            <w:tcBorders>
              <w:top w:val="single" w:sz="8" w:color="auto"/>
            </w:tcBorders>
          </w:tcPr>
          <w:p>
            <w:pPr>
              <w:ind w:left="400"/>
              <w:spacing w:after="0" w:line="184" w:lineRule="exact"/>
              <w:rPr>
                <w:sz w:val="20"/>
                <w:szCs w:val="20"/>
                <w:color w:val="auto"/>
              </w:rPr>
            </w:pPr>
            <w:r>
              <w:rPr>
                <w:rFonts w:ascii="Arial" w:cs="Arial" w:eastAsia="Arial" w:hAnsi="Arial"/>
                <w:sz w:val="17"/>
                <w:szCs w:val="17"/>
                <w:b w:val="1"/>
                <w:bCs w:val="1"/>
                <w:color w:val="auto"/>
              </w:rPr>
              <w:t>Increase/(decrease) in expense for the six months ended June 30,</w:t>
            </w:r>
          </w:p>
        </w:tc>
        <w:tc>
          <w:tcPr>
            <w:tcW w:w="20" w:type="dxa"/>
            <w:vAlign w:val="bottom"/>
          </w:tcPr>
          <w:p>
            <w:pPr>
              <w:spacing w:after="0"/>
              <w:rPr>
                <w:sz w:val="15"/>
                <w:szCs w:val="15"/>
                <w:color w:val="auto"/>
              </w:rPr>
            </w:pPr>
          </w:p>
        </w:tc>
      </w:tr>
      <w:tr>
        <w:trPr>
          <w:trHeight w:val="216"/>
        </w:trPr>
        <w:tc>
          <w:tcPr>
            <w:tcW w:w="3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61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86"/>
        </w:trPr>
        <w:tc>
          <w:tcPr>
            <w:tcW w:w="3780" w:type="dxa"/>
            <w:vAlign w:val="bottom"/>
          </w:tcPr>
          <w:p>
            <w:pPr>
              <w:spacing w:after="0" w:line="185" w:lineRule="exact"/>
              <w:rPr>
                <w:sz w:val="20"/>
                <w:szCs w:val="20"/>
                <w:color w:val="auto"/>
              </w:rPr>
            </w:pPr>
            <w:r>
              <w:rPr>
                <w:rFonts w:ascii="Arial" w:cs="Arial" w:eastAsia="Arial" w:hAnsi="Arial"/>
                <w:sz w:val="17"/>
                <w:szCs w:val="17"/>
                <w:color w:val="auto"/>
              </w:rPr>
              <w:t>Cost of goods sold</w:t>
            </w:r>
          </w:p>
        </w:tc>
        <w:tc>
          <w:tcPr>
            <w:tcW w:w="6140" w:type="dxa"/>
            <w:vAlign w:val="bottom"/>
          </w:tcPr>
          <w:p>
            <w:pPr>
              <w:jc w:val="right"/>
              <w:spacing w:after="0" w:line="185" w:lineRule="exact"/>
              <w:rPr>
                <w:sz w:val="20"/>
                <w:szCs w:val="20"/>
                <w:color w:val="auto"/>
              </w:rPr>
            </w:pPr>
            <w:r>
              <w:rPr>
                <w:rFonts w:ascii="Arial" w:cs="Arial" w:eastAsia="Arial" w:hAnsi="Arial"/>
                <w:sz w:val="17"/>
                <w:szCs w:val="17"/>
                <w:color w:val="auto"/>
              </w:rPr>
              <w:t>($247)</w:t>
            </w:r>
          </w:p>
        </w:tc>
        <w:tc>
          <w:tcPr>
            <w:tcW w:w="20" w:type="dxa"/>
            <w:vAlign w:val="bottom"/>
          </w:tcPr>
          <w:p>
            <w:pPr>
              <w:spacing w:after="0"/>
              <w:rPr>
                <w:sz w:val="16"/>
                <w:szCs w:val="16"/>
                <w:color w:val="auto"/>
              </w:rPr>
            </w:pPr>
          </w:p>
        </w:tc>
      </w:tr>
      <w:tr>
        <w:trPr>
          <w:trHeight w:val="194"/>
        </w:trPr>
        <w:tc>
          <w:tcPr>
            <w:tcW w:w="378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Selling, general and administrative expenses</w:t>
            </w:r>
          </w:p>
        </w:tc>
        <w:tc>
          <w:tcPr>
            <w:tcW w:w="6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(1,002)</w:t>
            </w:r>
          </w:p>
        </w:tc>
        <w:tc>
          <w:tcPr>
            <w:tcW w:w="20" w:type="dxa"/>
            <w:vAlign w:val="bottom"/>
          </w:tcPr>
          <w:p>
            <w:pPr>
              <w:spacing w:after="0"/>
              <w:rPr>
                <w:sz w:val="16"/>
                <w:szCs w:val="16"/>
                <w:color w:val="auto"/>
              </w:rPr>
            </w:pPr>
          </w:p>
        </w:tc>
      </w:tr>
      <w:tr>
        <w:trPr>
          <w:trHeight w:val="186"/>
        </w:trPr>
        <w:tc>
          <w:tcPr>
            <w:tcW w:w="37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operating expenses</w:t>
            </w:r>
          </w:p>
        </w:tc>
        <w:tc>
          <w:tcPr>
            <w:tcW w:w="6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($1,249)</w:t>
            </w:r>
          </w:p>
        </w:tc>
        <w:tc>
          <w:tcPr>
            <w:tcW w:w="20" w:type="dxa"/>
            <w:vAlign w:val="bottom"/>
          </w:tcPr>
          <w:p>
            <w:pPr>
              <w:spacing w:after="0"/>
              <w:rPr>
                <w:sz w:val="16"/>
                <w:szCs w:val="16"/>
                <w:color w:val="auto"/>
              </w:rPr>
            </w:pPr>
          </w:p>
        </w:tc>
      </w:tr>
      <w:tr>
        <w:trPr>
          <w:trHeight w:val="380"/>
        </w:trPr>
        <w:tc>
          <w:tcPr>
            <w:tcW w:w="3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expense, net</w:t>
            </w:r>
          </w:p>
        </w:tc>
        <w:tc>
          <w:tcPr>
            <w:tcW w:w="6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$1,249</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 Restructuring</w:t>
      </w:r>
    </w:p>
    <w:p>
      <w:pPr>
        <w:spacing w:after="0" w:line="186"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On October 5, 2017, the Company filed a form 8-K to announce the initiation of discussions regarding a proposal to discontinue operations at its Machine Clothing production facility in Sélestat, France. During 2017, we incurred $1.1 million of restructuring expense associated with this proposal but were unable to reasonably estimate the total costs for severance and other charges associated with the proposal as there was no assurance, at that time, that approval for the proposal would be obtained. In the first quarter of 2018 the plan was approved by the French Labor Ministry. The restructuring program was driven by the Company’s need to balance manufacturing capacity with demand. In the first six months of 2018, we recorded restructuring expense of $ 8.6 million, which includes our estimate of the severance and outplacement costs for the approximately 50 positions that will be terminated under this plan. To date, we have recorded $9.7 million of restructuring charges related to this action. The Company continues to assess property, plant and equipment in that location to determine if equipment will be transferred to other facilities, or if the value of the assets can be recovered through a sale. Depending on the outcome of that assessment, additional restructuring charges could be recorded in future periods.</w:t>
      </w:r>
    </w:p>
    <w:p>
      <w:pPr>
        <w:spacing w:after="0" w:line="170" w:lineRule="exact"/>
        <w:rPr>
          <w:sz w:val="20"/>
          <w:szCs w:val="20"/>
          <w:color w:val="auto"/>
        </w:rPr>
      </w:pPr>
    </w:p>
    <w:p>
      <w:pPr>
        <w:ind w:right="340" w:firstLine="620"/>
        <w:spacing w:after="0" w:line="250" w:lineRule="auto"/>
        <w:rPr>
          <w:sz w:val="20"/>
          <w:szCs w:val="20"/>
          <w:color w:val="auto"/>
        </w:rPr>
      </w:pPr>
      <w:r>
        <w:rPr>
          <w:rFonts w:ascii="Arial" w:cs="Arial" w:eastAsia="Arial" w:hAnsi="Arial"/>
          <w:sz w:val="17"/>
          <w:szCs w:val="17"/>
          <w:color w:val="auto"/>
        </w:rPr>
        <w:t>AEC restructuring charges for the first six months of 2018 and 2017 principally relate to work force reductions in Salt Lake City, Utah and Rochester, New Hampshire. To date, we have recorded $5.8 million of restructuring charges related to these actions.</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charges reported in the Consolidated Statements of Income under “Restructuring expenses, net”:</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340"/>
          </w:cols>
          <w:pgMar w:left="240" w:top="816"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426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2"/>
          </w:tcPr>
          <w:p>
            <w:pPr>
              <w:jc w:val="right"/>
              <w:ind w:right="55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4260" w:type="dxa"/>
            <w:vAlign w:val="bottom"/>
          </w:tcPr>
          <w:p>
            <w:pPr>
              <w:spacing w:after="0"/>
              <w:rPr>
                <w:sz w:val="16"/>
                <w:szCs w:val="16"/>
                <w:color w:val="auto"/>
              </w:rPr>
            </w:pPr>
          </w:p>
        </w:tc>
        <w:tc>
          <w:tcPr>
            <w:tcW w:w="4680" w:type="dxa"/>
            <w:vAlign w:val="bottom"/>
            <w:gridSpan w:val="2"/>
          </w:tcPr>
          <w:p>
            <w:pPr>
              <w:jc w:val="right"/>
              <w:ind w:right="314"/>
              <w:spacing w:after="0" w:line="194" w:lineRule="exact"/>
              <w:rPr>
                <w:sz w:val="20"/>
                <w:szCs w:val="20"/>
                <w:color w:val="auto"/>
              </w:rPr>
            </w:pPr>
            <w:r>
              <w:rPr>
                <w:rFonts w:ascii="Arial" w:cs="Arial" w:eastAsia="Arial" w:hAnsi="Arial"/>
                <w:sz w:val="17"/>
                <w:szCs w:val="17"/>
                <w:b w:val="1"/>
                <w:bCs w:val="1"/>
                <w:color w:val="auto"/>
              </w:rPr>
              <w:t>Three months ended June 30,</w:t>
            </w:r>
          </w:p>
        </w:tc>
        <w:tc>
          <w:tcPr>
            <w:tcW w:w="15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2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40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2018</w:t>
            </w: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2017</w:t>
            </w:r>
          </w:p>
        </w:tc>
        <w:tc>
          <w:tcPr>
            <w:tcW w:w="154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rPr>
              <w:t>2018</w:t>
            </w: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4260" w:type="dxa"/>
            <w:vAlign w:val="bottom"/>
          </w:tcPr>
          <w:p>
            <w:pPr>
              <w:spacing w:after="0" w:line="163" w:lineRule="exact"/>
              <w:rPr>
                <w:sz w:val="20"/>
                <w:szCs w:val="20"/>
                <w:color w:val="auto"/>
              </w:rPr>
            </w:pPr>
            <w:r>
              <w:rPr>
                <w:rFonts w:ascii="Arial" w:cs="Arial" w:eastAsia="Arial" w:hAnsi="Arial"/>
                <w:sz w:val="17"/>
                <w:szCs w:val="17"/>
                <w:color w:val="auto"/>
              </w:rPr>
              <w:t>Machine Clothing</w:t>
            </w:r>
          </w:p>
        </w:tc>
        <w:tc>
          <w:tcPr>
            <w:tcW w:w="3400" w:type="dxa"/>
            <w:vAlign w:val="bottom"/>
          </w:tcPr>
          <w:p>
            <w:pPr>
              <w:jc w:val="right"/>
              <w:ind w:right="134"/>
              <w:spacing w:after="0" w:line="163" w:lineRule="exact"/>
              <w:rPr>
                <w:sz w:val="20"/>
                <w:szCs w:val="20"/>
                <w:color w:val="auto"/>
              </w:rPr>
            </w:pPr>
            <w:r>
              <w:rPr>
                <w:rFonts w:ascii="Arial" w:cs="Arial" w:eastAsia="Arial" w:hAnsi="Arial"/>
                <w:sz w:val="17"/>
                <w:szCs w:val="17"/>
                <w:b w:val="1"/>
                <w:bCs w:val="1"/>
                <w:color w:val="auto"/>
              </w:rPr>
              <w:t>$1,800</w:t>
            </w:r>
          </w:p>
        </w:tc>
        <w:tc>
          <w:tcPr>
            <w:tcW w:w="1280" w:type="dxa"/>
            <w:vAlign w:val="bottom"/>
          </w:tcPr>
          <w:p>
            <w:pPr>
              <w:jc w:val="right"/>
              <w:ind w:right="174"/>
              <w:spacing w:after="0" w:line="163" w:lineRule="exact"/>
              <w:rPr>
                <w:sz w:val="20"/>
                <w:szCs w:val="20"/>
                <w:color w:val="auto"/>
              </w:rPr>
            </w:pPr>
            <w:r>
              <w:rPr>
                <w:rFonts w:ascii="Arial" w:cs="Arial" w:eastAsia="Arial" w:hAnsi="Arial"/>
                <w:sz w:val="17"/>
                <w:szCs w:val="17"/>
                <w:color w:val="auto"/>
              </w:rPr>
              <w:t>$805</w:t>
            </w:r>
          </w:p>
        </w:tc>
        <w:tc>
          <w:tcPr>
            <w:tcW w:w="1540" w:type="dxa"/>
            <w:vAlign w:val="bottom"/>
          </w:tcPr>
          <w:p>
            <w:pPr>
              <w:jc w:val="right"/>
              <w:ind w:right="334"/>
              <w:spacing w:after="0" w:line="163" w:lineRule="exact"/>
              <w:rPr>
                <w:sz w:val="20"/>
                <w:szCs w:val="20"/>
                <w:color w:val="auto"/>
              </w:rPr>
            </w:pPr>
            <w:r>
              <w:rPr>
                <w:rFonts w:ascii="Arial" w:cs="Arial" w:eastAsia="Arial" w:hAnsi="Arial"/>
                <w:sz w:val="17"/>
                <w:szCs w:val="17"/>
                <w:b w:val="1"/>
                <w:bCs w:val="1"/>
                <w:color w:val="auto"/>
              </w:rPr>
              <w:t>$10,152</w:t>
            </w:r>
          </w:p>
        </w:tc>
        <w:tc>
          <w:tcPr>
            <w:tcW w:w="940" w:type="dxa"/>
            <w:vAlign w:val="bottom"/>
          </w:tcPr>
          <w:p>
            <w:pPr>
              <w:jc w:val="right"/>
              <w:spacing w:after="0" w:line="163" w:lineRule="exact"/>
              <w:rPr>
                <w:sz w:val="20"/>
                <w:szCs w:val="20"/>
                <w:color w:val="auto"/>
              </w:rPr>
            </w:pPr>
            <w:r>
              <w:rPr>
                <w:rFonts w:ascii="Arial" w:cs="Arial" w:eastAsia="Arial" w:hAnsi="Arial"/>
                <w:sz w:val="17"/>
                <w:szCs w:val="17"/>
                <w:color w:val="auto"/>
              </w:rPr>
              <w:t>$916</w:t>
            </w:r>
          </w:p>
        </w:tc>
        <w:tc>
          <w:tcPr>
            <w:tcW w:w="20" w:type="dxa"/>
            <w:vAlign w:val="bottom"/>
          </w:tcPr>
          <w:p>
            <w:pPr>
              <w:spacing w:after="0"/>
              <w:rPr>
                <w:sz w:val="14"/>
                <w:szCs w:val="14"/>
                <w:color w:val="auto"/>
              </w:rPr>
            </w:pPr>
          </w:p>
        </w:tc>
      </w:tr>
      <w:tr>
        <w:trPr>
          <w:trHeight w:val="194"/>
        </w:trPr>
        <w:tc>
          <w:tcPr>
            <w:tcW w:w="426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3400" w:type="dxa"/>
            <w:vAlign w:val="bottom"/>
          </w:tcPr>
          <w:p>
            <w:pPr>
              <w:jc w:val="right"/>
              <w:ind w:right="134"/>
              <w:spacing w:after="0" w:line="194" w:lineRule="exact"/>
              <w:rPr>
                <w:sz w:val="20"/>
                <w:szCs w:val="20"/>
                <w:color w:val="auto"/>
              </w:rPr>
            </w:pPr>
            <w:r>
              <w:rPr>
                <w:rFonts w:ascii="Arial" w:cs="Arial" w:eastAsia="Arial" w:hAnsi="Arial"/>
                <w:sz w:val="17"/>
                <w:szCs w:val="17"/>
                <w:b w:val="1"/>
                <w:bCs w:val="1"/>
                <w:color w:val="auto"/>
              </w:rPr>
              <w:t>558</w:t>
            </w:r>
          </w:p>
        </w:tc>
        <w:tc>
          <w:tcPr>
            <w:tcW w:w="128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1,231</w:t>
            </w:r>
          </w:p>
        </w:tc>
        <w:tc>
          <w:tcPr>
            <w:tcW w:w="154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779</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3,801</w:t>
            </w:r>
          </w:p>
        </w:tc>
      </w:tr>
      <w:tr>
        <w:trPr>
          <w:trHeight w:val="216"/>
        </w:trPr>
        <w:tc>
          <w:tcPr>
            <w:tcW w:w="4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 expenses</w:t>
            </w:r>
          </w:p>
        </w:tc>
        <w:tc>
          <w:tcPr>
            <w:tcW w:w="34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231</w:t>
            </w:r>
          </w:p>
        </w:tc>
        <w:tc>
          <w:tcPr>
            <w:tcW w:w="12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231</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186"/>
        </w:trPr>
        <w:tc>
          <w:tcPr>
            <w:tcW w:w="4260" w:type="dxa"/>
            <w:vAlign w:val="bottom"/>
            <w:tcBorders>
              <w:bottom w:val="single" w:sz="8" w:color="auto"/>
            </w:tcBorders>
          </w:tcPr>
          <w:p>
            <w:pPr>
              <w:ind w:left="60"/>
              <w:spacing w:after="0" w:line="186" w:lineRule="exact"/>
              <w:rPr>
                <w:sz w:val="20"/>
                <w:szCs w:val="20"/>
                <w:color w:val="auto"/>
              </w:rPr>
            </w:pPr>
            <w:r>
              <w:rPr>
                <w:rFonts w:ascii="Arial" w:cs="Arial" w:eastAsia="Arial" w:hAnsi="Arial"/>
                <w:sz w:val="17"/>
                <w:szCs w:val="17"/>
                <w:color w:val="auto"/>
              </w:rPr>
              <w:t>Total</w:t>
            </w:r>
          </w:p>
        </w:tc>
        <w:tc>
          <w:tcPr>
            <w:tcW w:w="340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b w:val="1"/>
                <w:bCs w:val="1"/>
                <w:color w:val="auto"/>
              </w:rPr>
              <w:t>$2,589</w:t>
            </w:r>
          </w:p>
        </w:tc>
        <w:tc>
          <w:tcPr>
            <w:tcW w:w="1280" w:type="dxa"/>
            <w:vAlign w:val="bottom"/>
            <w:tcBorders>
              <w:bottom w:val="single" w:sz="8" w:color="auto"/>
            </w:tcBorders>
          </w:tcPr>
          <w:p>
            <w:pPr>
              <w:jc w:val="right"/>
              <w:ind w:right="174"/>
              <w:spacing w:after="0" w:line="186" w:lineRule="exact"/>
              <w:rPr>
                <w:sz w:val="20"/>
                <w:szCs w:val="20"/>
                <w:color w:val="auto"/>
              </w:rPr>
            </w:pPr>
            <w:r>
              <w:rPr>
                <w:rFonts w:ascii="Arial" w:cs="Arial" w:eastAsia="Arial" w:hAnsi="Arial"/>
                <w:sz w:val="17"/>
                <w:szCs w:val="17"/>
                <w:color w:val="auto"/>
              </w:rPr>
              <w:t>$2,036</w:t>
            </w:r>
          </w:p>
        </w:tc>
        <w:tc>
          <w:tcPr>
            <w:tcW w:w="1540" w:type="dxa"/>
            <w:vAlign w:val="bottom"/>
            <w:tcBorders>
              <w:bottom w:val="single" w:sz="8" w:color="auto"/>
            </w:tcBorders>
          </w:tcPr>
          <w:p>
            <w:pPr>
              <w:jc w:val="right"/>
              <w:ind w:right="334"/>
              <w:spacing w:after="0" w:line="186" w:lineRule="exact"/>
              <w:rPr>
                <w:sz w:val="20"/>
                <w:szCs w:val="20"/>
                <w:color w:val="auto"/>
              </w:rPr>
            </w:pPr>
            <w:r>
              <w:rPr>
                <w:rFonts w:ascii="Arial" w:cs="Arial" w:eastAsia="Arial" w:hAnsi="Arial"/>
                <w:sz w:val="17"/>
                <w:szCs w:val="17"/>
                <w:b w:val="1"/>
                <w:bCs w:val="1"/>
                <w:color w:val="auto"/>
              </w:rPr>
              <w:t>$11,162</w:t>
            </w:r>
          </w:p>
        </w:tc>
        <w:tc>
          <w:tcPr>
            <w:tcW w:w="9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$4,717</w:t>
            </w:r>
          </w:p>
        </w:tc>
        <w:tc>
          <w:tcPr>
            <w:tcW w:w="20" w:type="dxa"/>
            <w:vAlign w:val="bottom"/>
            <w:tcBorders>
              <w:bottom w:val="single" w:sz="8" w:color="auto"/>
            </w:tcBorders>
          </w:tcPr>
          <w:p>
            <w:pPr>
              <w:spacing w:after="0"/>
              <w:rPr>
                <w:sz w:val="16"/>
                <w:szCs w:val="16"/>
                <w:color w:val="auto"/>
              </w:rPr>
            </w:pP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Six months ended June 30, 2018</w:t>
            </w:r>
          </w:p>
        </w:tc>
        <w:tc>
          <w:tcPr>
            <w:tcW w:w="2360" w:type="dxa"/>
            <w:vAlign w:val="bottom"/>
            <w:tcBorders>
              <w:top w:val="single" w:sz="8" w:color="auto"/>
            </w:tcBorders>
          </w:tcPr>
          <w:p>
            <w:pPr>
              <w:jc w:val="right"/>
              <w:ind w:right="34"/>
              <w:spacing w:after="0" w:line="184" w:lineRule="exact"/>
              <w:rPr>
                <w:sz w:val="20"/>
                <w:szCs w:val="20"/>
                <w:color w:val="auto"/>
              </w:rPr>
            </w:pPr>
            <w:r>
              <w:rPr>
                <w:rFonts w:ascii="Arial" w:cs="Arial" w:eastAsia="Arial" w:hAnsi="Arial"/>
                <w:sz w:val="17"/>
                <w:szCs w:val="17"/>
                <w:b w:val="1"/>
                <w:bCs w:val="1"/>
                <w:color w:val="auto"/>
              </w:rPr>
              <w:t>Total restructuring</w:t>
            </w:r>
          </w:p>
        </w:tc>
        <w:tc>
          <w:tcPr>
            <w:tcW w:w="1480" w:type="dxa"/>
            <w:vAlign w:val="bottom"/>
            <w:tcBorders>
              <w:top w:val="single" w:sz="8" w:color="auto"/>
            </w:tcBorders>
          </w:tcPr>
          <w:p>
            <w:pPr>
              <w:jc w:val="right"/>
              <w:ind w:right="214"/>
              <w:spacing w:after="0" w:line="184" w:lineRule="exact"/>
              <w:rPr>
                <w:sz w:val="20"/>
                <w:szCs w:val="20"/>
                <w:color w:val="auto"/>
              </w:rPr>
            </w:pPr>
            <w:r>
              <w:rPr>
                <w:rFonts w:ascii="Arial" w:cs="Arial" w:eastAsia="Arial" w:hAnsi="Arial"/>
                <w:sz w:val="17"/>
                <w:szCs w:val="17"/>
                <w:b w:val="1"/>
                <w:bCs w:val="1"/>
                <w:color w:val="auto"/>
              </w:rPr>
              <w:t>Termination</w:t>
            </w:r>
          </w:p>
        </w:tc>
        <w:tc>
          <w:tcPr>
            <w:tcW w:w="1320" w:type="dxa"/>
            <w:vAlign w:val="bottom"/>
            <w:tcBorders>
              <w:top w:val="single" w:sz="8" w:color="auto"/>
            </w:tcBorders>
          </w:tcPr>
          <w:p>
            <w:pPr>
              <w:jc w:val="right"/>
              <w:ind w:right="174"/>
              <w:spacing w:after="0" w:line="184" w:lineRule="exact"/>
              <w:rPr>
                <w:sz w:val="20"/>
                <w:szCs w:val="20"/>
                <w:color w:val="auto"/>
              </w:rPr>
            </w:pPr>
            <w:r>
              <w:rPr>
                <w:rFonts w:ascii="Arial" w:cs="Arial" w:eastAsia="Arial" w:hAnsi="Arial"/>
                <w:sz w:val="17"/>
                <w:szCs w:val="17"/>
                <w:b w:val="1"/>
                <w:bCs w:val="1"/>
                <w:color w:val="auto"/>
              </w:rPr>
              <w:t>Impairment</w:t>
            </w:r>
          </w:p>
        </w:tc>
        <w:tc>
          <w:tcPr>
            <w:tcW w:w="20" w:type="dxa"/>
            <w:vAlign w:val="bottom"/>
          </w:tcPr>
          <w:p>
            <w:pPr>
              <w:spacing w:after="0"/>
              <w:rPr>
                <w:sz w:val="15"/>
                <w:szCs w:val="15"/>
                <w:color w:val="auto"/>
              </w:rPr>
            </w:pPr>
          </w:p>
        </w:tc>
      </w:tr>
      <w:tr>
        <w:trPr>
          <w:trHeight w:val="228"/>
        </w:trPr>
        <w:tc>
          <w:tcPr>
            <w:tcW w:w="3400" w:type="dxa"/>
            <w:vAlign w:val="bottom"/>
          </w:tcPr>
          <w:p>
            <w:pPr>
              <w:spacing w:after="0"/>
              <w:rPr>
                <w:sz w:val="19"/>
                <w:szCs w:val="19"/>
                <w:color w:val="auto"/>
              </w:rPr>
            </w:pPr>
          </w:p>
        </w:tc>
        <w:tc>
          <w:tcPr>
            <w:tcW w:w="2360" w:type="dxa"/>
            <w:vAlign w:val="bottom"/>
          </w:tcPr>
          <w:p>
            <w:pPr>
              <w:jc w:val="right"/>
              <w:ind w:right="234"/>
              <w:spacing w:after="0"/>
              <w:rPr>
                <w:sz w:val="20"/>
                <w:szCs w:val="20"/>
                <w:color w:val="auto"/>
              </w:rPr>
            </w:pPr>
            <w:r>
              <w:rPr>
                <w:rFonts w:ascii="Arial" w:cs="Arial" w:eastAsia="Arial" w:hAnsi="Arial"/>
                <w:sz w:val="17"/>
                <w:szCs w:val="17"/>
                <w:b w:val="1"/>
                <w:bCs w:val="1"/>
                <w:color w:val="auto"/>
              </w:rPr>
              <w:t>costs incurred</w:t>
            </w:r>
          </w:p>
        </w:tc>
        <w:tc>
          <w:tcPr>
            <w:tcW w:w="1480" w:type="dxa"/>
            <w:vAlign w:val="bottom"/>
          </w:tcPr>
          <w:p>
            <w:pPr>
              <w:jc w:val="right"/>
              <w:ind w:right="74"/>
              <w:spacing w:after="0"/>
              <w:rPr>
                <w:sz w:val="20"/>
                <w:szCs w:val="20"/>
                <w:color w:val="auto"/>
              </w:rPr>
            </w:pPr>
            <w:r>
              <w:rPr>
                <w:rFonts w:ascii="Arial" w:cs="Arial" w:eastAsia="Arial" w:hAnsi="Arial"/>
                <w:sz w:val="17"/>
                <w:szCs w:val="17"/>
                <w:b w:val="1"/>
                <w:bCs w:val="1"/>
                <w:color w:val="auto"/>
              </w:rPr>
              <w:t>and other costs</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of assets</w:t>
            </w:r>
          </w:p>
        </w:tc>
      </w:tr>
      <w:tr>
        <w:trPr>
          <w:trHeight w:val="376"/>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3400" w:type="dxa"/>
            <w:vAlign w:val="bottom"/>
          </w:tcPr>
          <w:p>
            <w:pPr>
              <w:spacing w:after="0" w:line="185" w:lineRule="exact"/>
              <w:rPr>
                <w:sz w:val="20"/>
                <w:szCs w:val="20"/>
                <w:color w:val="auto"/>
              </w:rPr>
            </w:pPr>
            <w:r>
              <w:rPr>
                <w:rFonts w:ascii="Arial" w:cs="Arial" w:eastAsia="Arial" w:hAnsi="Arial"/>
                <w:sz w:val="17"/>
                <w:szCs w:val="17"/>
                <w:color w:val="auto"/>
              </w:rPr>
              <w:t>Machine Clothing</w:t>
            </w:r>
          </w:p>
        </w:tc>
        <w:tc>
          <w:tcPr>
            <w:tcW w:w="2360" w:type="dxa"/>
            <w:vAlign w:val="bottom"/>
          </w:tcPr>
          <w:p>
            <w:pPr>
              <w:jc w:val="right"/>
              <w:spacing w:after="0" w:line="185" w:lineRule="exact"/>
              <w:rPr>
                <w:sz w:val="20"/>
                <w:szCs w:val="20"/>
                <w:color w:val="auto"/>
              </w:rPr>
            </w:pPr>
            <w:r>
              <w:rPr>
                <w:rFonts w:ascii="Arial" w:cs="Arial" w:eastAsia="Arial" w:hAnsi="Arial"/>
                <w:sz w:val="17"/>
                <w:szCs w:val="17"/>
                <w:color w:val="auto"/>
              </w:rPr>
              <w:t>$10,152</w:t>
            </w:r>
          </w:p>
        </w:tc>
        <w:tc>
          <w:tcPr>
            <w:tcW w:w="1480" w:type="dxa"/>
            <w:vAlign w:val="bottom"/>
          </w:tcPr>
          <w:p>
            <w:pPr>
              <w:jc w:val="right"/>
              <w:ind w:right="34"/>
              <w:spacing w:after="0" w:line="185" w:lineRule="exact"/>
              <w:rPr>
                <w:sz w:val="20"/>
                <w:szCs w:val="20"/>
                <w:color w:val="auto"/>
              </w:rPr>
            </w:pPr>
            <w:r>
              <w:rPr>
                <w:rFonts w:ascii="Arial" w:cs="Arial" w:eastAsia="Arial" w:hAnsi="Arial"/>
                <w:sz w:val="17"/>
                <w:szCs w:val="17"/>
                <w:color w:val="auto"/>
              </w:rPr>
              <w:t>$10,152</w:t>
            </w:r>
          </w:p>
        </w:tc>
        <w:tc>
          <w:tcPr>
            <w:tcW w:w="13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4"/>
        </w:trPr>
        <w:tc>
          <w:tcPr>
            <w:tcW w:w="340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2360" w:type="dxa"/>
            <w:vAlign w:val="bottom"/>
          </w:tcPr>
          <w:p>
            <w:pPr>
              <w:jc w:val="right"/>
              <w:spacing w:after="0" w:line="194" w:lineRule="exact"/>
              <w:rPr>
                <w:sz w:val="20"/>
                <w:szCs w:val="20"/>
                <w:color w:val="auto"/>
              </w:rPr>
            </w:pPr>
            <w:r>
              <w:rPr>
                <w:rFonts w:ascii="Arial" w:cs="Arial" w:eastAsia="Arial" w:hAnsi="Arial"/>
                <w:sz w:val="17"/>
                <w:szCs w:val="17"/>
                <w:color w:val="auto"/>
              </w:rPr>
              <w:t>779</w:t>
            </w:r>
          </w:p>
        </w:tc>
        <w:tc>
          <w:tcPr>
            <w:tcW w:w="14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779</w:t>
            </w:r>
          </w:p>
        </w:tc>
        <w:tc>
          <w:tcPr>
            <w:tcW w:w="1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r>
      <w:tr>
        <w:trPr>
          <w:trHeight w:val="194"/>
        </w:trPr>
        <w:tc>
          <w:tcPr>
            <w:tcW w:w="34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Corporate expenses</w:t>
            </w:r>
          </w:p>
        </w:tc>
        <w:tc>
          <w:tcPr>
            <w:tcW w:w="23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231</w:t>
            </w:r>
          </w:p>
        </w:tc>
        <w:tc>
          <w:tcPr>
            <w:tcW w:w="1480" w:type="dxa"/>
            <w:vAlign w:val="bottom"/>
            <w:tcBorders>
              <w:bottom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rPr>
              <w:t>231</w:t>
            </w:r>
          </w:p>
        </w:tc>
        <w:tc>
          <w:tcPr>
            <w:tcW w:w="134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r>
      <w:tr>
        <w:trPr>
          <w:trHeight w:val="186"/>
        </w:trPr>
        <w:tc>
          <w:tcPr>
            <w:tcW w:w="340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23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$11,162</w:t>
            </w:r>
          </w:p>
        </w:tc>
        <w:tc>
          <w:tcPr>
            <w:tcW w:w="1480" w:type="dxa"/>
            <w:vAlign w:val="bottom"/>
            <w:tcBorders>
              <w:bottom w:val="single" w:sz="8" w:color="auto"/>
            </w:tcBorders>
          </w:tcPr>
          <w:p>
            <w:pPr>
              <w:jc w:val="right"/>
              <w:ind w:right="34"/>
              <w:spacing w:after="0" w:line="186" w:lineRule="exact"/>
              <w:rPr>
                <w:sz w:val="20"/>
                <w:szCs w:val="20"/>
                <w:color w:val="auto"/>
              </w:rPr>
            </w:pPr>
            <w:r>
              <w:rPr>
                <w:rFonts w:ascii="Arial" w:cs="Arial" w:eastAsia="Arial" w:hAnsi="Arial"/>
                <w:sz w:val="17"/>
                <w:szCs w:val="17"/>
                <w:color w:val="auto"/>
              </w:rPr>
              <w:t>$11,162</w:t>
            </w:r>
          </w:p>
        </w:tc>
        <w:tc>
          <w:tcPr>
            <w:tcW w:w="13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6"/>
                <w:szCs w:val="16"/>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Six months ended June 30, 2017</w:t>
            </w:r>
          </w:p>
        </w:tc>
        <w:tc>
          <w:tcPr>
            <w:tcW w:w="2440" w:type="dxa"/>
            <w:vAlign w:val="bottom"/>
            <w:tcBorders>
              <w:top w:val="single" w:sz="8" w:color="auto"/>
            </w:tcBorders>
          </w:tcPr>
          <w:p>
            <w:pPr>
              <w:jc w:val="right"/>
              <w:ind w:right="114"/>
              <w:spacing w:after="0" w:line="184" w:lineRule="exact"/>
              <w:rPr>
                <w:sz w:val="20"/>
                <w:szCs w:val="20"/>
                <w:color w:val="auto"/>
              </w:rPr>
            </w:pPr>
            <w:r>
              <w:rPr>
                <w:rFonts w:ascii="Arial" w:cs="Arial" w:eastAsia="Arial" w:hAnsi="Arial"/>
                <w:sz w:val="17"/>
                <w:szCs w:val="17"/>
                <w:b w:val="1"/>
                <w:bCs w:val="1"/>
                <w:color w:val="auto"/>
              </w:rPr>
              <w:t>Total restructuring</w:t>
            </w:r>
          </w:p>
        </w:tc>
        <w:tc>
          <w:tcPr>
            <w:tcW w:w="1400" w:type="dxa"/>
            <w:vAlign w:val="bottom"/>
            <w:tcBorders>
              <w:top w:val="single" w:sz="8" w:color="auto"/>
            </w:tcBorders>
          </w:tcPr>
          <w:p>
            <w:pPr>
              <w:jc w:val="right"/>
              <w:ind w:right="234"/>
              <w:spacing w:after="0" w:line="184" w:lineRule="exact"/>
              <w:rPr>
                <w:sz w:val="20"/>
                <w:szCs w:val="20"/>
                <w:color w:val="auto"/>
              </w:rPr>
            </w:pPr>
            <w:r>
              <w:rPr>
                <w:rFonts w:ascii="Arial" w:cs="Arial" w:eastAsia="Arial" w:hAnsi="Arial"/>
                <w:sz w:val="17"/>
                <w:szCs w:val="17"/>
                <w:b w:val="1"/>
                <w:bCs w:val="1"/>
                <w:color w:val="auto"/>
              </w:rPr>
              <w:t>Termination</w:t>
            </w:r>
          </w:p>
        </w:tc>
        <w:tc>
          <w:tcPr>
            <w:tcW w:w="1320" w:type="dxa"/>
            <w:vAlign w:val="bottom"/>
            <w:tcBorders>
              <w:top w:val="single" w:sz="8" w:color="auto"/>
            </w:tcBorders>
          </w:tcPr>
          <w:p>
            <w:pPr>
              <w:jc w:val="center"/>
              <w:ind w:right="34"/>
              <w:spacing w:after="0" w:line="184" w:lineRule="exact"/>
              <w:rPr>
                <w:sz w:val="20"/>
                <w:szCs w:val="20"/>
                <w:color w:val="auto"/>
              </w:rPr>
            </w:pPr>
            <w:r>
              <w:rPr>
                <w:rFonts w:ascii="Arial" w:cs="Arial" w:eastAsia="Arial" w:hAnsi="Arial"/>
                <w:sz w:val="17"/>
                <w:szCs w:val="17"/>
                <w:b w:val="1"/>
                <w:bCs w:val="1"/>
                <w:color w:val="auto"/>
              </w:rPr>
              <w:t>Impairment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2440" w:type="dxa"/>
            <w:vAlign w:val="bottom"/>
          </w:tcPr>
          <w:p>
            <w:pPr>
              <w:jc w:val="right"/>
              <w:ind w:right="314"/>
              <w:spacing w:after="0" w:line="194" w:lineRule="exact"/>
              <w:rPr>
                <w:sz w:val="20"/>
                <w:szCs w:val="20"/>
                <w:color w:val="auto"/>
              </w:rPr>
            </w:pPr>
            <w:r>
              <w:rPr>
                <w:rFonts w:ascii="Arial" w:cs="Arial" w:eastAsia="Arial" w:hAnsi="Arial"/>
                <w:sz w:val="17"/>
                <w:szCs w:val="17"/>
                <w:b w:val="1"/>
                <w:bCs w:val="1"/>
                <w:color w:val="auto"/>
              </w:rPr>
              <w:t>costs incurred</w:t>
            </w:r>
          </w:p>
        </w:tc>
        <w:tc>
          <w:tcPr>
            <w:tcW w:w="140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and other</w:t>
            </w:r>
          </w:p>
        </w:tc>
        <w:tc>
          <w:tcPr>
            <w:tcW w:w="1340" w:type="dxa"/>
            <w:vAlign w:val="bottom"/>
            <w:gridSpan w:val="2"/>
          </w:tcPr>
          <w:p>
            <w:pPr>
              <w:jc w:val="center"/>
              <w:ind w:right="160"/>
              <w:spacing w:after="0" w:line="194" w:lineRule="exact"/>
              <w:rPr>
                <w:sz w:val="20"/>
                <w:szCs w:val="20"/>
                <w:color w:val="auto"/>
              </w:rPr>
            </w:pPr>
            <w:r>
              <w:rPr>
                <w:rFonts w:ascii="Arial" w:cs="Arial" w:eastAsia="Arial" w:hAnsi="Arial"/>
                <w:sz w:val="17"/>
                <w:szCs w:val="17"/>
                <w:b w:val="1"/>
                <w:bCs w:val="1"/>
                <w:color w:val="auto"/>
              </w:rPr>
              <w:t>of assets</w:t>
            </w:r>
          </w:p>
        </w:tc>
        <w:tc>
          <w:tcPr>
            <w:tcW w:w="0" w:type="dxa"/>
            <w:vAlign w:val="bottom"/>
          </w:tcPr>
          <w:p>
            <w:pPr>
              <w:spacing w:after="0"/>
              <w:rPr>
                <w:sz w:val="1"/>
                <w:szCs w:val="1"/>
                <w:color w:val="auto"/>
              </w:rPr>
            </w:pPr>
          </w:p>
        </w:tc>
      </w:tr>
      <w:tr>
        <w:trPr>
          <w:trHeight w:val="228"/>
        </w:trPr>
        <w:tc>
          <w:tcPr>
            <w:tcW w:w="34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440" w:type="dxa"/>
            <w:vAlign w:val="bottom"/>
          </w:tcPr>
          <w:p>
            <w:pPr>
              <w:spacing w:after="0"/>
              <w:rPr>
                <w:sz w:val="19"/>
                <w:szCs w:val="19"/>
                <w:color w:val="auto"/>
              </w:rPr>
            </w:pPr>
          </w:p>
        </w:tc>
        <w:tc>
          <w:tcPr>
            <w:tcW w:w="1400" w:type="dxa"/>
            <w:vAlign w:val="bottom"/>
          </w:tcPr>
          <w:p>
            <w:pPr>
              <w:jc w:val="right"/>
              <w:ind w:right="554"/>
              <w:spacing w:after="0"/>
              <w:rPr>
                <w:sz w:val="20"/>
                <w:szCs w:val="20"/>
                <w:color w:val="auto"/>
              </w:rPr>
            </w:pPr>
            <w:r>
              <w:rPr>
                <w:rFonts w:ascii="Arial" w:cs="Arial" w:eastAsia="Arial" w:hAnsi="Arial"/>
                <w:sz w:val="17"/>
                <w:szCs w:val="17"/>
                <w:b w:val="1"/>
                <w:bCs w:val="1"/>
                <w:color w:val="auto"/>
              </w:rPr>
              <w:t>costs</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00" w:type="dxa"/>
            <w:vAlign w:val="bottom"/>
            <w:tcBorders>
              <w:bottom w:val="single" w:sz="8" w:color="auto"/>
            </w:tcBorders>
            <w:vMerge w:val="continue"/>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line="185" w:lineRule="exact"/>
              <w:rPr>
                <w:sz w:val="20"/>
                <w:szCs w:val="20"/>
                <w:color w:val="auto"/>
              </w:rPr>
            </w:pPr>
            <w:r>
              <w:rPr>
                <w:rFonts w:ascii="Arial" w:cs="Arial" w:eastAsia="Arial" w:hAnsi="Arial"/>
                <w:sz w:val="17"/>
                <w:szCs w:val="17"/>
                <w:color w:val="auto"/>
              </w:rPr>
              <w:t>Machine Clothing</w:t>
            </w:r>
          </w:p>
        </w:tc>
        <w:tc>
          <w:tcPr>
            <w:tcW w:w="2440" w:type="dxa"/>
            <w:vAlign w:val="bottom"/>
          </w:tcPr>
          <w:p>
            <w:pPr>
              <w:jc w:val="right"/>
              <w:ind w:right="14"/>
              <w:spacing w:after="0" w:line="185" w:lineRule="exact"/>
              <w:rPr>
                <w:sz w:val="20"/>
                <w:szCs w:val="20"/>
                <w:color w:val="auto"/>
              </w:rPr>
            </w:pPr>
            <w:r>
              <w:rPr>
                <w:rFonts w:ascii="Arial" w:cs="Arial" w:eastAsia="Arial" w:hAnsi="Arial"/>
                <w:sz w:val="17"/>
                <w:szCs w:val="17"/>
                <w:color w:val="auto"/>
              </w:rPr>
              <w:t>$916</w:t>
            </w:r>
          </w:p>
        </w:tc>
        <w:tc>
          <w:tcPr>
            <w:tcW w:w="1400" w:type="dxa"/>
            <w:vAlign w:val="bottom"/>
          </w:tcPr>
          <w:p>
            <w:pPr>
              <w:jc w:val="right"/>
              <w:ind w:right="34"/>
              <w:spacing w:after="0" w:line="185" w:lineRule="exact"/>
              <w:rPr>
                <w:sz w:val="20"/>
                <w:szCs w:val="20"/>
                <w:color w:val="auto"/>
              </w:rPr>
            </w:pPr>
            <w:r>
              <w:rPr>
                <w:rFonts w:ascii="Arial" w:cs="Arial" w:eastAsia="Arial" w:hAnsi="Arial"/>
                <w:sz w:val="17"/>
                <w:szCs w:val="17"/>
                <w:color w:val="auto"/>
              </w:rPr>
              <w:t>$916</w:t>
            </w:r>
          </w:p>
        </w:tc>
        <w:tc>
          <w:tcPr>
            <w:tcW w:w="13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24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3,801</w:t>
            </w:r>
          </w:p>
        </w:tc>
        <w:tc>
          <w:tcPr>
            <w:tcW w:w="14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3,356</w:t>
            </w:r>
          </w:p>
        </w:tc>
        <w:tc>
          <w:tcPr>
            <w:tcW w:w="1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194"/>
        </w:trPr>
        <w:tc>
          <w:tcPr>
            <w:tcW w:w="34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Corporate expenses</w:t>
            </w:r>
          </w:p>
        </w:tc>
        <w:tc>
          <w:tcPr>
            <w:tcW w:w="2440" w:type="dxa"/>
            <w:vAlign w:val="bottom"/>
            <w:tcBorders>
              <w:bottom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244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$4,717</w:t>
            </w:r>
          </w:p>
        </w:tc>
        <w:tc>
          <w:tcPr>
            <w:tcW w:w="1400" w:type="dxa"/>
            <w:vAlign w:val="bottom"/>
            <w:tcBorders>
              <w:bottom w:val="single" w:sz="8" w:color="auto"/>
            </w:tcBorders>
          </w:tcPr>
          <w:p>
            <w:pPr>
              <w:jc w:val="right"/>
              <w:ind w:right="34"/>
              <w:spacing w:after="0" w:line="186" w:lineRule="exact"/>
              <w:rPr>
                <w:sz w:val="20"/>
                <w:szCs w:val="20"/>
                <w:color w:val="auto"/>
              </w:rPr>
            </w:pPr>
            <w:r>
              <w:rPr>
                <w:rFonts w:ascii="Arial" w:cs="Arial" w:eastAsia="Arial" w:hAnsi="Arial"/>
                <w:sz w:val="17"/>
                <w:szCs w:val="17"/>
                <w:color w:val="auto"/>
              </w:rPr>
              <w:t>$4,272</w:t>
            </w:r>
          </w:p>
        </w:tc>
        <w:tc>
          <w:tcPr>
            <w:tcW w:w="13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$445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00" w:firstLine="620"/>
        <w:spacing w:after="0" w:line="243" w:lineRule="auto"/>
        <w:rPr>
          <w:sz w:val="20"/>
          <w:szCs w:val="20"/>
          <w:color w:val="auto"/>
        </w:rPr>
      </w:pPr>
      <w:r>
        <w:rPr>
          <w:rFonts w:ascii="Arial" w:cs="Arial" w:eastAsia="Arial" w:hAnsi="Arial"/>
          <w:sz w:val="17"/>
          <w:szCs w:val="17"/>
          <w:color w:val="auto"/>
        </w:rPr>
        <w:t>We expect that approximately $8.4 million of Accrued liabilities for restructuring at June 30, 2018 will be paid within one year and approximately $0.4 million will be paid in the following year. The table below presents the year-to-date changes in restructuring liabilities for 2018 and 2017, all of which related to termination costs: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jc w:val="center"/>
              <w:ind w:left="434"/>
              <w:spacing w:after="0" w:line="184" w:lineRule="exact"/>
              <w:rPr>
                <w:sz w:val="20"/>
                <w:szCs w:val="20"/>
                <w:color w:val="auto"/>
              </w:rPr>
            </w:pPr>
            <w:r>
              <w:rPr>
                <w:rFonts w:ascii="Arial" w:cs="Arial" w:eastAsia="Arial" w:hAnsi="Arial"/>
                <w:sz w:val="17"/>
                <w:szCs w:val="17"/>
                <w:b w:val="1"/>
                <w:bCs w:val="1"/>
                <w:color w:val="auto"/>
              </w:rPr>
              <w:t>December 31,</w:t>
            </w:r>
          </w:p>
        </w:tc>
        <w:tc>
          <w:tcPr>
            <w:tcW w:w="1620" w:type="dxa"/>
            <w:vAlign w:val="bottom"/>
            <w:tcBorders>
              <w:top w:val="single" w:sz="8" w:color="auto"/>
            </w:tcBorders>
          </w:tcPr>
          <w:p>
            <w:pPr>
              <w:jc w:val="center"/>
              <w:ind w:right="114"/>
              <w:spacing w:after="0" w:line="184" w:lineRule="exact"/>
              <w:rPr>
                <w:sz w:val="20"/>
                <w:szCs w:val="20"/>
                <w:color w:val="auto"/>
              </w:rPr>
            </w:pPr>
            <w:r>
              <w:rPr>
                <w:rFonts w:ascii="Arial" w:cs="Arial" w:eastAsia="Arial" w:hAnsi="Arial"/>
                <w:sz w:val="17"/>
                <w:szCs w:val="17"/>
                <w:b w:val="1"/>
                <w:bCs w:val="1"/>
                <w:color w:val="auto"/>
              </w:rPr>
              <w:t>Restructuring</w:t>
            </w:r>
          </w:p>
        </w:tc>
        <w:tc>
          <w:tcPr>
            <w:tcW w:w="14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294"/>
              <w:spacing w:after="0" w:line="184" w:lineRule="exact"/>
              <w:rPr>
                <w:sz w:val="20"/>
                <w:szCs w:val="20"/>
                <w:color w:val="auto"/>
              </w:rPr>
            </w:pPr>
            <w:r>
              <w:rPr>
                <w:rFonts w:ascii="Arial" w:cs="Arial" w:eastAsia="Arial" w:hAnsi="Arial"/>
                <w:sz w:val="17"/>
                <w:szCs w:val="17"/>
                <w:b w:val="1"/>
                <w:bCs w:val="1"/>
                <w:color w:val="auto"/>
              </w:rPr>
              <w:t>Currency</w:t>
            </w:r>
          </w:p>
        </w:tc>
        <w:tc>
          <w:tcPr>
            <w:tcW w:w="1460" w:type="dxa"/>
            <w:vAlign w:val="bottom"/>
            <w:tcBorders>
              <w:top w:val="single" w:sz="8" w:color="auto"/>
            </w:tcBorders>
          </w:tcPr>
          <w:p>
            <w:pPr>
              <w:jc w:val="center"/>
              <w:ind w:right="194"/>
              <w:spacing w:after="0" w:line="184" w:lineRule="exact"/>
              <w:rPr>
                <w:sz w:val="20"/>
                <w:szCs w:val="20"/>
                <w:color w:val="auto"/>
              </w:rPr>
            </w:pPr>
            <w:r>
              <w:rPr>
                <w:rFonts w:ascii="Arial" w:cs="Arial" w:eastAsia="Arial" w:hAnsi="Arial"/>
                <w:sz w:val="17"/>
                <w:szCs w:val="17"/>
                <w:b w:val="1"/>
                <w:bCs w:val="1"/>
                <w:color w:val="auto"/>
              </w:rPr>
              <w:t>June 30,</w:t>
            </w:r>
          </w:p>
        </w:tc>
        <w:tc>
          <w:tcPr>
            <w:tcW w:w="20" w:type="dxa"/>
            <w:vAlign w:val="bottom"/>
          </w:tcPr>
          <w:p>
            <w:pPr>
              <w:spacing w:after="0"/>
              <w:rPr>
                <w:sz w:val="15"/>
                <w:szCs w:val="15"/>
                <w:color w:val="auto"/>
              </w:rPr>
            </w:pPr>
          </w:p>
        </w:tc>
      </w:tr>
      <w:tr>
        <w:trPr>
          <w:trHeight w:val="194"/>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jc w:val="right"/>
              <w:ind w:right="394"/>
              <w:spacing w:after="0" w:line="194" w:lineRule="exact"/>
              <w:rPr>
                <w:sz w:val="20"/>
                <w:szCs w:val="20"/>
                <w:color w:val="auto"/>
              </w:rPr>
            </w:pPr>
            <w:r>
              <w:rPr>
                <w:rFonts w:ascii="Arial" w:cs="Arial" w:eastAsia="Arial" w:hAnsi="Arial"/>
                <w:sz w:val="17"/>
                <w:szCs w:val="17"/>
                <w:b w:val="1"/>
                <w:bCs w:val="1"/>
                <w:color w:val="auto"/>
              </w:rPr>
              <w:t>Payments</w:t>
            </w:r>
          </w:p>
        </w:tc>
        <w:tc>
          <w:tcPr>
            <w:tcW w:w="1580" w:type="dxa"/>
            <w:vAlign w:val="bottom"/>
          </w:tcPr>
          <w:p>
            <w:pPr>
              <w:jc w:val="center"/>
              <w:ind w:right="294"/>
              <w:spacing w:after="0" w:line="194" w:lineRule="exact"/>
              <w:rPr>
                <w:sz w:val="20"/>
                <w:szCs w:val="20"/>
                <w:color w:val="auto"/>
              </w:rPr>
            </w:pPr>
            <w:r>
              <w:rPr>
                <w:rFonts w:ascii="Arial" w:cs="Arial" w:eastAsia="Arial" w:hAnsi="Arial"/>
                <w:sz w:val="17"/>
                <w:szCs w:val="17"/>
                <w:b w:val="1"/>
                <w:bCs w:val="1"/>
                <w:color w:val="auto"/>
              </w:rPr>
              <w:t>translation</w:t>
            </w: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0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2017</w:t>
            </w:r>
          </w:p>
        </w:tc>
        <w:tc>
          <w:tcPr>
            <w:tcW w:w="162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rPr>
              <w:t>charges accrued</w:t>
            </w:r>
          </w:p>
        </w:tc>
        <w:tc>
          <w:tcPr>
            <w:tcW w:w="1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94"/>
              <w:spacing w:after="0"/>
              <w:rPr>
                <w:sz w:val="20"/>
                <w:szCs w:val="20"/>
                <w:color w:val="auto"/>
              </w:rPr>
            </w:pPr>
            <w:r>
              <w:rPr>
                <w:rFonts w:ascii="Arial" w:cs="Arial" w:eastAsia="Arial" w:hAnsi="Arial"/>
                <w:sz w:val="17"/>
                <w:szCs w:val="17"/>
                <w:b w:val="1"/>
                <w:bCs w:val="1"/>
                <w:color w:val="auto"/>
              </w:rPr>
              <w:t>/other</w:t>
            </w: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18"/>
                <w:szCs w:val="18"/>
                <w:color w:val="auto"/>
              </w:rPr>
            </w:pPr>
          </w:p>
        </w:tc>
      </w:tr>
      <w:tr>
        <w:trPr>
          <w:trHeight w:val="380"/>
        </w:trPr>
        <w:tc>
          <w:tcPr>
            <w:tcW w:w="3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termination and other costs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$3,326</w:t>
            </w:r>
          </w:p>
        </w:tc>
        <w:tc>
          <w:tcPr>
            <w:tcW w:w="16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$11,162</w:t>
            </w: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($5,323)</w:t>
            </w:r>
          </w:p>
        </w:tc>
        <w:tc>
          <w:tcPr>
            <w:tcW w:w="15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($378)</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$8,787</w:t>
            </w:r>
          </w:p>
        </w:tc>
      </w:tr>
    </w:tbl>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103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39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14"/>
              <w:spacing w:after="0" w:line="184" w:lineRule="exact"/>
              <w:rPr>
                <w:sz w:val="20"/>
                <w:szCs w:val="20"/>
                <w:color w:val="auto"/>
              </w:rPr>
            </w:pPr>
            <w:r>
              <w:rPr>
                <w:rFonts w:ascii="Arial" w:cs="Arial" w:eastAsia="Arial" w:hAnsi="Arial"/>
                <w:sz w:val="17"/>
                <w:szCs w:val="17"/>
                <w:b w:val="1"/>
                <w:bCs w:val="1"/>
                <w:color w:val="auto"/>
              </w:rPr>
              <w:t>December 31,</w:t>
            </w:r>
          </w:p>
        </w:tc>
        <w:tc>
          <w:tcPr>
            <w:tcW w:w="1420" w:type="dxa"/>
            <w:vAlign w:val="bottom"/>
            <w:tcBorders>
              <w:top w:val="single" w:sz="8" w:color="auto"/>
            </w:tcBorders>
          </w:tcPr>
          <w:p>
            <w:pPr>
              <w:jc w:val="right"/>
              <w:ind w:right="34"/>
              <w:spacing w:after="0" w:line="184" w:lineRule="exact"/>
              <w:rPr>
                <w:sz w:val="20"/>
                <w:szCs w:val="20"/>
                <w:color w:val="auto"/>
              </w:rPr>
            </w:pPr>
            <w:r>
              <w:rPr>
                <w:rFonts w:ascii="Arial" w:cs="Arial" w:eastAsia="Arial" w:hAnsi="Arial"/>
                <w:sz w:val="17"/>
                <w:szCs w:val="17"/>
                <w:b w:val="1"/>
                <w:bCs w:val="1"/>
                <w:color w:val="auto"/>
              </w:rPr>
              <w:t>Restructuring</w:t>
            </w:r>
          </w:p>
        </w:tc>
        <w:tc>
          <w:tcPr>
            <w:tcW w:w="3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center"/>
              <w:ind w:left="434"/>
              <w:spacing w:after="0" w:line="184" w:lineRule="exact"/>
              <w:rPr>
                <w:sz w:val="20"/>
                <w:szCs w:val="20"/>
                <w:color w:val="auto"/>
              </w:rPr>
            </w:pPr>
            <w:r>
              <w:rPr>
                <w:rFonts w:ascii="Arial" w:cs="Arial" w:eastAsia="Arial" w:hAnsi="Arial"/>
                <w:sz w:val="17"/>
                <w:szCs w:val="17"/>
                <w:b w:val="1"/>
                <w:bCs w:val="1"/>
                <w:color w:val="auto"/>
              </w:rPr>
              <w:t>Currency</w:t>
            </w:r>
          </w:p>
        </w:tc>
        <w:tc>
          <w:tcPr>
            <w:tcW w:w="3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4"/>
          </w:tcPr>
          <w:p>
            <w:pPr>
              <w:jc w:val="center"/>
              <w:ind w:right="20"/>
              <w:spacing w:after="0" w:line="184" w:lineRule="exact"/>
              <w:rPr>
                <w:sz w:val="20"/>
                <w:szCs w:val="20"/>
                <w:color w:val="auto"/>
              </w:rPr>
            </w:pPr>
            <w:r>
              <w:rPr>
                <w:rFonts w:ascii="Arial" w:cs="Arial" w:eastAsia="Arial" w:hAnsi="Arial"/>
                <w:sz w:val="17"/>
                <w:szCs w:val="17"/>
                <w:b w:val="1"/>
                <w:bCs w:val="1"/>
                <w:color w:val="auto"/>
              </w:rPr>
              <w:t>June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34"/>
              <w:spacing w:after="0" w:line="194" w:lineRule="exact"/>
              <w:rPr>
                <w:sz w:val="20"/>
                <w:szCs w:val="20"/>
                <w:color w:val="auto"/>
              </w:rPr>
            </w:pPr>
            <w:r>
              <w:rPr>
                <w:rFonts w:ascii="Arial" w:cs="Arial" w:eastAsia="Arial" w:hAnsi="Arial"/>
                <w:sz w:val="17"/>
                <w:szCs w:val="17"/>
                <w:b w:val="1"/>
                <w:bCs w:val="1"/>
                <w:color w:val="auto"/>
              </w:rPr>
              <w:t>Payments</w:t>
            </w:r>
          </w:p>
        </w:tc>
        <w:tc>
          <w:tcPr>
            <w:tcW w:w="1400" w:type="dxa"/>
            <w:vAlign w:val="bottom"/>
          </w:tcPr>
          <w:p>
            <w:pPr>
              <w:jc w:val="center"/>
              <w:ind w:left="434"/>
              <w:spacing w:after="0" w:line="194" w:lineRule="exact"/>
              <w:rPr>
                <w:sz w:val="20"/>
                <w:szCs w:val="20"/>
                <w:color w:val="auto"/>
              </w:rPr>
            </w:pPr>
            <w:r>
              <w:rPr>
                <w:rFonts w:ascii="Arial" w:cs="Arial" w:eastAsia="Arial" w:hAnsi="Arial"/>
                <w:sz w:val="17"/>
                <w:szCs w:val="17"/>
                <w:b w:val="1"/>
                <w:bCs w:val="1"/>
                <w:color w:val="auto"/>
              </w:rPr>
              <w:t>translation</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2016</w:t>
            </w: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charges accrued</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434"/>
              <w:spacing w:after="0"/>
              <w:rPr>
                <w:sz w:val="20"/>
                <w:szCs w:val="20"/>
                <w:color w:val="auto"/>
              </w:rPr>
            </w:pPr>
            <w:r>
              <w:rPr>
                <w:rFonts w:ascii="Arial" w:cs="Arial" w:eastAsia="Arial" w:hAnsi="Arial"/>
                <w:sz w:val="17"/>
                <w:szCs w:val="17"/>
                <w:b w:val="1"/>
                <w:bCs w:val="1"/>
                <w:color w:val="auto"/>
              </w:rPr>
              <w:t>/other</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3960" w:type="dxa"/>
            <w:vAlign w:val="bottom"/>
          </w:tcPr>
          <w:p>
            <w:pPr>
              <w:spacing w:after="0"/>
              <w:rPr>
                <w:sz w:val="20"/>
                <w:szCs w:val="20"/>
                <w:color w:val="auto"/>
              </w:rPr>
            </w:pPr>
            <w:r>
              <w:rPr>
                <w:rFonts w:ascii="Arial" w:cs="Arial" w:eastAsia="Arial" w:hAnsi="Arial"/>
                <w:sz w:val="17"/>
                <w:szCs w:val="17"/>
                <w:color w:val="auto"/>
              </w:rPr>
              <w:t>Total termination and other costs</w:t>
            </w:r>
          </w:p>
        </w:tc>
        <w:tc>
          <w:tcPr>
            <w:tcW w:w="1320" w:type="dxa"/>
            <w:vAlign w:val="bottom"/>
          </w:tcPr>
          <w:p>
            <w:pPr>
              <w:jc w:val="right"/>
              <w:spacing w:after="0"/>
              <w:rPr>
                <w:sz w:val="20"/>
                <w:szCs w:val="20"/>
                <w:color w:val="auto"/>
              </w:rPr>
            </w:pPr>
            <w:r>
              <w:rPr>
                <w:rFonts w:ascii="Arial" w:cs="Arial" w:eastAsia="Arial" w:hAnsi="Arial"/>
                <w:sz w:val="17"/>
                <w:szCs w:val="17"/>
                <w:color w:val="auto"/>
              </w:rPr>
              <w:t>$5,559</w:t>
            </w:r>
          </w:p>
        </w:tc>
        <w:tc>
          <w:tcPr>
            <w:tcW w:w="1780" w:type="dxa"/>
            <w:vAlign w:val="bottom"/>
            <w:gridSpan w:val="2"/>
          </w:tcPr>
          <w:p>
            <w:pPr>
              <w:jc w:val="right"/>
              <w:ind w:right="214"/>
              <w:spacing w:after="0"/>
              <w:rPr>
                <w:sz w:val="20"/>
                <w:szCs w:val="20"/>
                <w:color w:val="auto"/>
              </w:rPr>
            </w:pPr>
            <w:r>
              <w:rPr>
                <w:rFonts w:ascii="Arial" w:cs="Arial" w:eastAsia="Arial" w:hAnsi="Arial"/>
                <w:sz w:val="17"/>
                <w:szCs w:val="17"/>
                <w:color w:val="auto"/>
              </w:rPr>
              <w:t>$4,272</w:t>
            </w:r>
          </w:p>
        </w:tc>
        <w:tc>
          <w:tcPr>
            <w:tcW w:w="2360" w:type="dxa"/>
            <w:vAlign w:val="bottom"/>
            <w:gridSpan w:val="2"/>
          </w:tcPr>
          <w:p>
            <w:pPr>
              <w:jc w:val="right"/>
              <w:ind w:right="1094"/>
              <w:spacing w:after="0"/>
              <w:rPr>
                <w:sz w:val="20"/>
                <w:szCs w:val="20"/>
                <w:color w:val="auto"/>
              </w:rPr>
            </w:pPr>
            <w:r>
              <w:rPr>
                <w:rFonts w:ascii="Arial" w:cs="Arial" w:eastAsia="Arial" w:hAnsi="Arial"/>
                <w:sz w:val="17"/>
                <w:szCs w:val="17"/>
                <w:color w:val="auto"/>
              </w:rPr>
              <w:t>($4,513)</w:t>
            </w:r>
          </w:p>
        </w:tc>
        <w:tc>
          <w:tcPr>
            <w:tcW w:w="320" w:type="dxa"/>
            <w:vAlign w:val="bottom"/>
          </w:tcPr>
          <w:p>
            <w:pPr>
              <w:jc w:val="right"/>
              <w:spacing w:after="0"/>
              <w:rPr>
                <w:sz w:val="20"/>
                <w:szCs w:val="20"/>
                <w:color w:val="auto"/>
              </w:rPr>
            </w:pPr>
            <w:r>
              <w:rPr>
                <w:rFonts w:ascii="Arial" w:cs="Arial" w:eastAsia="Arial" w:hAnsi="Arial"/>
                <w:sz w:val="17"/>
                <w:szCs w:val="17"/>
                <w:color w:val="auto"/>
                <w:w w:val="98"/>
              </w:rPr>
              <w:t>$65</w:t>
            </w:r>
          </w:p>
        </w:tc>
        <w:tc>
          <w:tcPr>
            <w:tcW w:w="1700" w:type="dxa"/>
            <w:vAlign w:val="bottom"/>
            <w:gridSpan w:val="5"/>
          </w:tcPr>
          <w:p>
            <w:pPr>
              <w:jc w:val="right"/>
              <w:ind w:right="20"/>
              <w:spacing w:after="0"/>
              <w:rPr>
                <w:sz w:val="20"/>
                <w:szCs w:val="20"/>
                <w:color w:val="auto"/>
              </w:rPr>
            </w:pPr>
            <w:r>
              <w:rPr>
                <w:rFonts w:ascii="Arial" w:cs="Arial" w:eastAsia="Arial" w:hAnsi="Arial"/>
                <w:sz w:val="17"/>
                <w:szCs w:val="17"/>
                <w:color w:val="auto"/>
              </w:rPr>
              <w:t>$5,383</w:t>
            </w:r>
          </w:p>
        </w:tc>
        <w:tc>
          <w:tcPr>
            <w:tcW w:w="0" w:type="dxa"/>
            <w:vAlign w:val="bottom"/>
          </w:tcPr>
          <w:p>
            <w:pPr>
              <w:spacing w:after="0"/>
              <w:rPr>
                <w:sz w:val="1"/>
                <w:szCs w:val="1"/>
                <w:color w:val="auto"/>
              </w:rPr>
            </w:pPr>
          </w:p>
        </w:tc>
      </w:tr>
      <w:tr>
        <w:trPr>
          <w:trHeight w:val="585"/>
        </w:trPr>
        <w:tc>
          <w:tcPr>
            <w:tcW w:w="39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i w:val="1"/>
                <w:iCs w:val="1"/>
                <w:color w:val="auto"/>
              </w:rPr>
              <w:t>6. Other expense, net</w:t>
            </w:r>
          </w:p>
        </w:tc>
        <w:tc>
          <w:tcPr>
            <w:tcW w:w="13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960" w:type="dxa"/>
            <w:vAlign w:val="bottom"/>
          </w:tcPr>
          <w:p>
            <w:pPr>
              <w:ind w:left="620"/>
              <w:spacing w:after="0"/>
              <w:rPr>
                <w:sz w:val="20"/>
                <w:szCs w:val="20"/>
                <w:color w:val="auto"/>
              </w:rPr>
            </w:pPr>
            <w:r>
              <w:rPr>
                <w:rFonts w:ascii="Arial" w:cs="Arial" w:eastAsia="Arial" w:hAnsi="Arial"/>
                <w:sz w:val="17"/>
                <w:szCs w:val="17"/>
                <w:color w:val="auto"/>
              </w:rPr>
              <w:t>The components of Other expense, net are:</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9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gridSpan w:val="2"/>
          </w:tcPr>
          <w:p>
            <w:pPr>
              <w:ind w:left="60"/>
              <w:spacing w:after="0" w:line="163" w:lineRule="exact"/>
              <w:rPr>
                <w:sz w:val="20"/>
                <w:szCs w:val="20"/>
                <w:color w:val="auto"/>
              </w:rPr>
            </w:pPr>
            <w:r>
              <w:rPr>
                <w:rFonts w:ascii="Arial" w:cs="Arial" w:eastAsia="Arial" w:hAnsi="Arial"/>
                <w:sz w:val="17"/>
                <w:szCs w:val="17"/>
                <w:b w:val="1"/>
                <w:bCs w:val="1"/>
                <w:color w:val="auto"/>
              </w:rPr>
              <w:t>Three months ended</w:t>
            </w:r>
          </w:p>
        </w:tc>
        <w:tc>
          <w:tcPr>
            <w:tcW w:w="960" w:type="dxa"/>
            <w:vAlign w:val="bottom"/>
          </w:tcPr>
          <w:p>
            <w:pPr>
              <w:spacing w:after="0"/>
              <w:rPr>
                <w:sz w:val="14"/>
                <w:szCs w:val="14"/>
                <w:color w:val="auto"/>
              </w:rPr>
            </w:pPr>
          </w:p>
        </w:tc>
        <w:tc>
          <w:tcPr>
            <w:tcW w:w="1720" w:type="dxa"/>
            <w:vAlign w:val="bottom"/>
            <w:gridSpan w:val="2"/>
          </w:tcPr>
          <w:p>
            <w:pPr>
              <w:jc w:val="right"/>
              <w:spacing w:after="0" w:line="163" w:lineRule="exact"/>
              <w:rPr>
                <w:sz w:val="20"/>
                <w:szCs w:val="20"/>
                <w:color w:val="auto"/>
              </w:rPr>
            </w:pPr>
            <w:r>
              <w:rPr>
                <w:rFonts w:ascii="Arial" w:cs="Arial" w:eastAsia="Arial" w:hAnsi="Arial"/>
                <w:sz w:val="17"/>
                <w:szCs w:val="17"/>
                <w:b w:val="1"/>
                <w:bCs w:val="1"/>
                <w:color w:val="auto"/>
              </w:rPr>
              <w:t>Six months ended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b w:val="1"/>
                <w:bCs w:val="1"/>
                <w:color w:val="auto"/>
              </w:rPr>
              <w:t>June 30,</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jc w:val="right"/>
              <w:ind w:right="34"/>
              <w:spacing w:after="0" w:line="194" w:lineRule="exact"/>
              <w:rPr>
                <w:sz w:val="20"/>
                <w:szCs w:val="20"/>
                <w:color w:val="auto"/>
              </w:rPr>
            </w:pPr>
            <w:r>
              <w:rPr>
                <w:rFonts w:ascii="Arial" w:cs="Arial" w:eastAsia="Arial" w:hAnsi="Arial"/>
                <w:sz w:val="17"/>
                <w:szCs w:val="17"/>
                <w:b w:val="1"/>
                <w:bCs w:val="1"/>
                <w:color w:val="auto"/>
              </w:rPr>
              <w:t>June 30,</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b w:val="1"/>
                <w:bCs w:val="1"/>
                <w:color w:val="auto"/>
                <w:w w:val="95"/>
              </w:rPr>
              <w:t>2018</w:t>
            </w:r>
          </w:p>
        </w:tc>
        <w:tc>
          <w:tcPr>
            <w:tcW w:w="1320" w:type="dxa"/>
            <w:vAlign w:val="bottom"/>
            <w:tcBorders>
              <w:bottom w:val="single" w:sz="8" w:color="auto"/>
            </w:tcBorders>
            <w:gridSpan w:val="2"/>
          </w:tcPr>
          <w:p>
            <w:pPr>
              <w:jc w:val="right"/>
              <w:ind w:right="834"/>
              <w:spacing w:after="0"/>
              <w:rPr>
                <w:sz w:val="20"/>
                <w:szCs w:val="20"/>
                <w:color w:val="auto"/>
              </w:rPr>
            </w:pPr>
            <w:r>
              <w:rPr>
                <w:rFonts w:ascii="Arial" w:cs="Arial" w:eastAsia="Arial" w:hAnsi="Arial"/>
                <w:sz w:val="17"/>
                <w:szCs w:val="17"/>
                <w:b w:val="1"/>
                <w:bCs w:val="1"/>
                <w:color w:val="auto"/>
              </w:rPr>
              <w:t>2017</w:t>
            </w:r>
          </w:p>
        </w:tc>
        <w:tc>
          <w:tcPr>
            <w:tcW w:w="14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2018</w:t>
            </w:r>
          </w:p>
        </w:tc>
        <w:tc>
          <w:tcPr>
            <w:tcW w:w="8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60" w:type="dxa"/>
            <w:vAlign w:val="bottom"/>
          </w:tcPr>
          <w:p>
            <w:pPr>
              <w:spacing w:after="0" w:line="163" w:lineRule="exact"/>
              <w:rPr>
                <w:sz w:val="20"/>
                <w:szCs w:val="20"/>
                <w:color w:val="auto"/>
              </w:rPr>
            </w:pPr>
            <w:r>
              <w:rPr>
                <w:rFonts w:ascii="Arial" w:cs="Arial" w:eastAsia="Arial" w:hAnsi="Arial"/>
                <w:sz w:val="17"/>
                <w:szCs w:val="17"/>
                <w:color w:val="auto"/>
              </w:rPr>
              <w:t>Currency transaction (gains)/losses</w:t>
            </w:r>
          </w:p>
        </w:tc>
        <w:tc>
          <w:tcPr>
            <w:tcW w:w="1320" w:type="dxa"/>
            <w:vAlign w:val="bottom"/>
          </w:tcPr>
          <w:p>
            <w:pPr>
              <w:spacing w:after="0"/>
              <w:rPr>
                <w:sz w:val="14"/>
                <w:szCs w:val="14"/>
                <w:color w:val="auto"/>
              </w:rPr>
            </w:pPr>
          </w:p>
        </w:tc>
        <w:tc>
          <w:tcPr>
            <w:tcW w:w="1420" w:type="dxa"/>
            <w:vAlign w:val="bottom"/>
          </w:tcPr>
          <w:p>
            <w:pPr>
              <w:jc w:val="right"/>
              <w:ind w:right="434"/>
              <w:spacing w:after="0" w:line="163" w:lineRule="exact"/>
              <w:rPr>
                <w:sz w:val="20"/>
                <w:szCs w:val="20"/>
                <w:color w:val="auto"/>
              </w:rPr>
            </w:pPr>
            <w:r>
              <w:rPr>
                <w:rFonts w:ascii="Arial" w:cs="Arial" w:eastAsia="Arial" w:hAnsi="Arial"/>
                <w:sz w:val="17"/>
                <w:szCs w:val="17"/>
                <w:b w:val="1"/>
                <w:bCs w:val="1"/>
                <w:color w:val="auto"/>
              </w:rPr>
              <w:t>($9)</w:t>
            </w:r>
          </w:p>
        </w:tc>
        <w:tc>
          <w:tcPr>
            <w:tcW w:w="360" w:type="dxa"/>
            <w:vAlign w:val="bottom"/>
          </w:tcPr>
          <w:p>
            <w:pPr>
              <w:spacing w:after="0"/>
              <w:rPr>
                <w:sz w:val="14"/>
                <w:szCs w:val="14"/>
                <w:color w:val="auto"/>
              </w:rPr>
            </w:pPr>
          </w:p>
        </w:tc>
        <w:tc>
          <w:tcPr>
            <w:tcW w:w="960" w:type="dxa"/>
            <w:vAlign w:val="bottom"/>
          </w:tcPr>
          <w:p>
            <w:pPr>
              <w:jc w:val="right"/>
              <w:ind w:right="314"/>
              <w:spacing w:after="0" w:line="163" w:lineRule="exact"/>
              <w:rPr>
                <w:sz w:val="20"/>
                <w:szCs w:val="20"/>
                <w:color w:val="auto"/>
              </w:rPr>
            </w:pPr>
            <w:r>
              <w:rPr>
                <w:rFonts w:ascii="Arial" w:cs="Arial" w:eastAsia="Arial" w:hAnsi="Arial"/>
                <w:sz w:val="17"/>
                <w:szCs w:val="17"/>
                <w:color w:val="auto"/>
              </w:rPr>
              <w:t>$1,948</w:t>
            </w:r>
          </w:p>
        </w:tc>
        <w:tc>
          <w:tcPr>
            <w:tcW w:w="1400" w:type="dxa"/>
            <w:vAlign w:val="bottom"/>
          </w:tcPr>
          <w:p>
            <w:pPr>
              <w:jc w:val="right"/>
              <w:ind w:right="274"/>
              <w:spacing w:after="0" w:line="163" w:lineRule="exact"/>
              <w:rPr>
                <w:sz w:val="20"/>
                <w:szCs w:val="20"/>
                <w:color w:val="auto"/>
              </w:rPr>
            </w:pPr>
            <w:r>
              <w:rPr>
                <w:rFonts w:ascii="Arial" w:cs="Arial" w:eastAsia="Arial" w:hAnsi="Arial"/>
                <w:sz w:val="17"/>
                <w:szCs w:val="17"/>
                <w:b w:val="1"/>
                <w:bCs w:val="1"/>
                <w:color w:val="auto"/>
              </w:rPr>
              <w:t>$681</w:t>
            </w:r>
          </w:p>
        </w:tc>
        <w:tc>
          <w:tcPr>
            <w:tcW w:w="320" w:type="dxa"/>
            <w:vAlign w:val="bottom"/>
          </w:tcPr>
          <w:p>
            <w:pPr>
              <w:spacing w:after="0"/>
              <w:rPr>
                <w:sz w:val="14"/>
                <w:szCs w:val="14"/>
                <w:color w:val="auto"/>
              </w:rPr>
            </w:pPr>
          </w:p>
        </w:tc>
        <w:tc>
          <w:tcPr>
            <w:tcW w:w="540" w:type="dxa"/>
            <w:vAlign w:val="bottom"/>
          </w:tcPr>
          <w:p>
            <w:pPr>
              <w:jc w:val="right"/>
              <w:spacing w:after="0" w:line="163" w:lineRule="exact"/>
              <w:rPr>
                <w:sz w:val="20"/>
                <w:szCs w:val="20"/>
                <w:color w:val="auto"/>
              </w:rPr>
            </w:pPr>
            <w:r>
              <w:rPr>
                <w:rFonts w:ascii="Arial" w:cs="Arial" w:eastAsia="Arial" w:hAnsi="Arial"/>
                <w:sz w:val="17"/>
                <w:szCs w:val="17"/>
                <w:color w:val="auto"/>
                <w:w w:val="99"/>
              </w:rPr>
              <w:t>$2,049</w:t>
            </w:r>
          </w:p>
        </w:tc>
        <w:tc>
          <w:tcPr>
            <w:tcW w:w="4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7"/>
                <w:szCs w:val="17"/>
                <w:color w:val="auto"/>
              </w:rPr>
              <w:t>Bank fees</w:t>
            </w:r>
          </w:p>
        </w:tc>
        <w:tc>
          <w:tcPr>
            <w:tcW w:w="1320" w:type="dxa"/>
            <w:vAlign w:val="bottom"/>
          </w:tcPr>
          <w:p>
            <w:pPr>
              <w:spacing w:after="0"/>
              <w:rPr>
                <w:sz w:val="18"/>
                <w:szCs w:val="18"/>
                <w:color w:val="auto"/>
              </w:rPr>
            </w:pPr>
          </w:p>
        </w:tc>
        <w:tc>
          <w:tcPr>
            <w:tcW w:w="1420" w:type="dxa"/>
            <w:vAlign w:val="bottom"/>
          </w:tcPr>
          <w:p>
            <w:pPr>
              <w:jc w:val="right"/>
              <w:ind w:right="434"/>
              <w:spacing w:after="0"/>
              <w:rPr>
                <w:sz w:val="20"/>
                <w:szCs w:val="20"/>
                <w:color w:val="auto"/>
              </w:rPr>
            </w:pPr>
            <w:r>
              <w:rPr>
                <w:rFonts w:ascii="Arial" w:cs="Arial" w:eastAsia="Arial" w:hAnsi="Arial"/>
                <w:sz w:val="17"/>
                <w:szCs w:val="17"/>
                <w:b w:val="1"/>
                <w:bCs w:val="1"/>
                <w:color w:val="auto"/>
              </w:rPr>
              <w:t>96</w:t>
            </w:r>
          </w:p>
        </w:tc>
        <w:tc>
          <w:tcPr>
            <w:tcW w:w="36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7"/>
                <w:szCs w:val="17"/>
                <w:color w:val="auto"/>
              </w:rPr>
              <w:t>111</w:t>
            </w:r>
          </w:p>
        </w:tc>
        <w:tc>
          <w:tcPr>
            <w:tcW w:w="1400" w:type="dxa"/>
            <w:vAlign w:val="bottom"/>
          </w:tcPr>
          <w:p>
            <w:pPr>
              <w:jc w:val="right"/>
              <w:ind w:right="274"/>
              <w:spacing w:after="0"/>
              <w:rPr>
                <w:sz w:val="20"/>
                <w:szCs w:val="20"/>
                <w:color w:val="auto"/>
              </w:rPr>
            </w:pPr>
            <w:r>
              <w:rPr>
                <w:rFonts w:ascii="Arial" w:cs="Arial" w:eastAsia="Arial" w:hAnsi="Arial"/>
                <w:sz w:val="17"/>
                <w:szCs w:val="17"/>
                <w:b w:val="1"/>
                <w:bCs w:val="1"/>
                <w:color w:val="auto"/>
              </w:rPr>
              <w:t>204</w:t>
            </w:r>
          </w:p>
        </w:tc>
        <w:tc>
          <w:tcPr>
            <w:tcW w:w="3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259</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80" w:type="dxa"/>
            <w:vAlign w:val="bottom"/>
            <w:gridSpan w:val="2"/>
          </w:tcPr>
          <w:p>
            <w:pPr>
              <w:spacing w:after="0" w:line="194" w:lineRule="exact"/>
              <w:rPr>
                <w:sz w:val="20"/>
                <w:szCs w:val="20"/>
                <w:color w:val="auto"/>
              </w:rPr>
            </w:pPr>
            <w:r>
              <w:rPr>
                <w:rFonts w:ascii="Arial" w:cs="Arial" w:eastAsia="Arial" w:hAnsi="Arial"/>
                <w:sz w:val="17"/>
                <w:szCs w:val="17"/>
                <w:color w:val="auto"/>
              </w:rPr>
              <w:t>Components of net periodic pension and postretirement cost</w:t>
            </w:r>
          </w:p>
        </w:tc>
        <w:tc>
          <w:tcPr>
            <w:tcW w:w="1420" w:type="dxa"/>
            <w:vAlign w:val="bottom"/>
            <w:vMerge w:val="restart"/>
          </w:tcPr>
          <w:p>
            <w:pPr>
              <w:jc w:val="right"/>
              <w:ind w:right="434"/>
              <w:spacing w:after="0"/>
              <w:rPr>
                <w:sz w:val="20"/>
                <w:szCs w:val="20"/>
                <w:color w:val="auto"/>
              </w:rPr>
            </w:pPr>
            <w:r>
              <w:rPr>
                <w:rFonts w:ascii="Arial" w:cs="Arial" w:eastAsia="Arial" w:hAnsi="Arial"/>
                <w:sz w:val="17"/>
                <w:szCs w:val="17"/>
                <w:b w:val="1"/>
                <w:bCs w:val="1"/>
                <w:color w:val="auto"/>
              </w:rPr>
              <w:t>259</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rPr>
              <w:t>525</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60" w:type="dxa"/>
            <w:vAlign w:val="bottom"/>
          </w:tcPr>
          <w:p>
            <w:pPr>
              <w:spacing w:after="0" w:line="172" w:lineRule="exact"/>
              <w:rPr>
                <w:sz w:val="20"/>
                <w:szCs w:val="20"/>
                <w:color w:val="auto"/>
              </w:rPr>
            </w:pPr>
            <w:r>
              <w:rPr>
                <w:rFonts w:ascii="Arial" w:cs="Arial" w:eastAsia="Arial" w:hAnsi="Arial"/>
                <w:sz w:val="17"/>
                <w:szCs w:val="17"/>
                <w:color w:val="auto"/>
              </w:rPr>
              <w:t>other than service</w:t>
            </w:r>
          </w:p>
        </w:tc>
        <w:tc>
          <w:tcPr>
            <w:tcW w:w="13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314"/>
              <w:spacing w:after="0" w:line="172" w:lineRule="exact"/>
              <w:rPr>
                <w:sz w:val="20"/>
                <w:szCs w:val="20"/>
                <w:color w:val="auto"/>
              </w:rPr>
            </w:pPr>
            <w:r>
              <w:rPr>
                <w:rFonts w:ascii="Arial" w:cs="Arial" w:eastAsia="Arial" w:hAnsi="Arial"/>
                <w:sz w:val="17"/>
                <w:szCs w:val="17"/>
                <w:color w:val="auto"/>
              </w:rPr>
              <w:t>627</w:t>
            </w:r>
          </w:p>
        </w:tc>
        <w:tc>
          <w:tcPr>
            <w:tcW w:w="1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1,249</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1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380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(128)</w:t>
            </w: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768</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9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4"/>
              <w:spacing w:after="0" w:line="186" w:lineRule="exact"/>
              <w:rPr>
                <w:sz w:val="20"/>
                <w:szCs w:val="20"/>
                <w:color w:val="auto"/>
              </w:rPr>
            </w:pPr>
            <w:r>
              <w:rPr>
                <w:rFonts w:ascii="Arial" w:cs="Arial" w:eastAsia="Arial" w:hAnsi="Arial"/>
                <w:sz w:val="17"/>
                <w:szCs w:val="17"/>
                <w:b w:val="1"/>
                <w:bCs w:val="1"/>
                <w:color w:val="auto"/>
              </w:rPr>
              <w:t>$726</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line="186" w:lineRule="exact"/>
              <w:rPr>
                <w:sz w:val="20"/>
                <w:szCs w:val="20"/>
                <w:color w:val="auto"/>
              </w:rPr>
            </w:pPr>
            <w:r>
              <w:rPr>
                <w:rFonts w:ascii="Arial" w:cs="Arial" w:eastAsia="Arial" w:hAnsi="Arial"/>
                <w:sz w:val="17"/>
                <w:szCs w:val="17"/>
                <w:color w:val="auto"/>
              </w:rPr>
              <w:t>$2,558</w:t>
            </w:r>
          </w:p>
        </w:tc>
        <w:tc>
          <w:tcPr>
            <w:tcW w:w="1400" w:type="dxa"/>
            <w:vAlign w:val="bottom"/>
            <w:tcBorders>
              <w:bottom w:val="single" w:sz="8" w:color="auto"/>
            </w:tcBorders>
          </w:tcPr>
          <w:p>
            <w:pPr>
              <w:jc w:val="right"/>
              <w:ind w:right="274"/>
              <w:spacing w:after="0" w:line="186" w:lineRule="exact"/>
              <w:rPr>
                <w:sz w:val="20"/>
                <w:szCs w:val="20"/>
                <w:color w:val="auto"/>
              </w:rPr>
            </w:pPr>
            <w:r>
              <w:rPr>
                <w:rFonts w:ascii="Arial" w:cs="Arial" w:eastAsia="Arial" w:hAnsi="Arial"/>
                <w:sz w:val="17"/>
                <w:szCs w:val="17"/>
                <w:b w:val="1"/>
                <w:bCs w:val="1"/>
                <w:color w:val="auto"/>
              </w:rPr>
              <w:t>$2,178</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w w:val="99"/>
              </w:rPr>
              <w:t>$3,384</w:t>
            </w:r>
          </w:p>
        </w:tc>
        <w:tc>
          <w:tcPr>
            <w:tcW w:w="2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60" w:firstLine="620"/>
        <w:spacing w:after="0" w:line="241" w:lineRule="auto"/>
        <w:rPr>
          <w:sz w:val="20"/>
          <w:szCs w:val="20"/>
          <w:color w:val="auto"/>
        </w:rPr>
      </w:pPr>
      <w:r>
        <w:rPr>
          <w:rFonts w:ascii="Arial" w:cs="Arial" w:eastAsia="Arial" w:hAnsi="Arial"/>
          <w:sz w:val="17"/>
          <w:szCs w:val="17"/>
          <w:color w:val="auto"/>
        </w:rPr>
        <w:t>In 2018, the Company adopted the provisions of ASU 2017-07. This accounting update affected the classification of components of net periodic benefit cost, other than service cost, to be reported separately from the service cost component and outside of operating income. The Company elected to report other components of net periodic pension and postretirement cost in Other expense, net. The comparative consolidated statement of income was restated as required by this update. Further detail of this accounting update is disclosed in Note 4.</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7. Income Taxes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components of income tax expense for the three and six months ended June 30, 2018 and 2017:</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58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2"/>
          </w:tcPr>
          <w:p>
            <w:pPr>
              <w:jc w:val="right"/>
              <w:ind w:right="454"/>
              <w:spacing w:after="0" w:line="184" w:lineRule="exact"/>
              <w:rPr>
                <w:sz w:val="20"/>
                <w:szCs w:val="20"/>
                <w:color w:val="auto"/>
              </w:rPr>
            </w:pPr>
            <w:r>
              <w:rPr>
                <w:rFonts w:ascii="Arial" w:cs="Arial" w:eastAsia="Arial" w:hAnsi="Arial"/>
                <w:sz w:val="17"/>
                <w:szCs w:val="17"/>
                <w:b w:val="1"/>
                <w:bCs w:val="1"/>
                <w:color w:val="auto"/>
              </w:rPr>
              <w:t>Three months ended</w:t>
            </w:r>
          </w:p>
        </w:tc>
        <w:tc>
          <w:tcPr>
            <w:tcW w:w="2200" w:type="dxa"/>
            <w:vAlign w:val="bottom"/>
            <w:tcBorders>
              <w:top w:val="single" w:sz="8" w:color="auto"/>
            </w:tcBorders>
            <w:gridSpan w:val="2"/>
          </w:tcPr>
          <w:p>
            <w:pPr>
              <w:jc w:val="right"/>
              <w:ind w:right="35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100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2018</w:t>
            </w: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2017</w:t>
            </w:r>
          </w:p>
        </w:tc>
        <w:tc>
          <w:tcPr>
            <w:tcW w:w="138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2018</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line="185" w:lineRule="exact"/>
              <w:rPr>
                <w:sz w:val="20"/>
                <w:szCs w:val="20"/>
                <w:color w:val="auto"/>
              </w:rPr>
            </w:pPr>
            <w:r>
              <w:rPr>
                <w:rFonts w:ascii="Arial" w:cs="Arial" w:eastAsia="Arial" w:hAnsi="Arial"/>
                <w:sz w:val="17"/>
                <w:szCs w:val="17"/>
                <w:color w:val="auto"/>
              </w:rPr>
              <w:t>Income tax based on income from continuing operations, at estimated tax rates of</w:t>
            </w:r>
          </w:p>
        </w:tc>
        <w:tc>
          <w:tcPr>
            <w:tcW w:w="16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$11,239</w:t>
            </w:r>
          </w:p>
        </w:tc>
        <w:tc>
          <w:tcPr>
            <w:tcW w:w="1000" w:type="dxa"/>
            <w:vAlign w:val="bottom"/>
          </w:tcPr>
          <w:p>
            <w:pPr>
              <w:spacing w:after="0"/>
              <w:rPr>
                <w:sz w:val="16"/>
                <w:szCs w:val="16"/>
                <w:color w:val="auto"/>
              </w:rPr>
            </w:pPr>
          </w:p>
        </w:tc>
        <w:tc>
          <w:tcPr>
            <w:tcW w:w="138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$15,779</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00" w:type="dxa"/>
            <w:vAlign w:val="bottom"/>
            <w:gridSpan w:val="2"/>
          </w:tcPr>
          <w:p>
            <w:pPr>
              <w:spacing w:after="0" w:line="172" w:lineRule="exact"/>
              <w:rPr>
                <w:sz w:val="20"/>
                <w:szCs w:val="20"/>
                <w:color w:val="auto"/>
              </w:rPr>
            </w:pPr>
            <w:r>
              <w:rPr>
                <w:rFonts w:ascii="Arial" w:cs="Arial" w:eastAsia="Arial" w:hAnsi="Arial"/>
                <w:sz w:val="17"/>
                <w:szCs w:val="17"/>
                <w:color w:val="auto"/>
              </w:rPr>
              <w:t>30.1% and 32.8%, respectively</w:t>
            </w:r>
          </w:p>
        </w:tc>
        <w:tc>
          <w:tcPr>
            <w:tcW w:w="1620" w:type="dxa"/>
            <w:vAlign w:val="bottom"/>
            <w:vMerge w:val="continue"/>
          </w:tcPr>
          <w:p>
            <w:pPr>
              <w:spacing w:after="0"/>
              <w:rPr>
                <w:sz w:val="14"/>
                <w:szCs w:val="14"/>
                <w:color w:val="auto"/>
              </w:rPr>
            </w:pPr>
          </w:p>
        </w:tc>
        <w:tc>
          <w:tcPr>
            <w:tcW w:w="1000" w:type="dxa"/>
            <w:vAlign w:val="bottom"/>
          </w:tcPr>
          <w:p>
            <w:pPr>
              <w:jc w:val="right"/>
              <w:ind w:right="94"/>
              <w:spacing w:after="0" w:line="172" w:lineRule="exact"/>
              <w:rPr>
                <w:sz w:val="20"/>
                <w:szCs w:val="20"/>
                <w:color w:val="auto"/>
              </w:rPr>
            </w:pPr>
            <w:r>
              <w:rPr>
                <w:rFonts w:ascii="Arial" w:cs="Arial" w:eastAsia="Arial" w:hAnsi="Arial"/>
                <w:sz w:val="17"/>
                <w:szCs w:val="17"/>
                <w:color w:val="auto"/>
              </w:rPr>
              <w:t>$989</w:t>
            </w:r>
          </w:p>
        </w:tc>
        <w:tc>
          <w:tcPr>
            <w:tcW w:w="1380" w:type="dxa"/>
            <w:vAlign w:val="bottom"/>
            <w:vMerge w:val="continue"/>
          </w:tcPr>
          <w:p>
            <w:pPr>
              <w:spacing w:after="0"/>
              <w:rPr>
                <w:sz w:val="14"/>
                <w:szCs w:val="14"/>
                <w:color w:val="auto"/>
              </w:rPr>
            </w:pPr>
          </w:p>
        </w:tc>
        <w:tc>
          <w:tcPr>
            <w:tcW w:w="8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$6,744</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Provision for change in estimated tax rate</w:t>
            </w: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(359)</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36</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7"/>
                <w:szCs w:val="17"/>
                <w:color w:val="auto"/>
              </w:rPr>
              <w:t>Income tax before discrete items</w:t>
            </w:r>
          </w:p>
        </w:tc>
        <w:tc>
          <w:tcPr>
            <w:tcW w:w="1620" w:type="dxa"/>
            <w:vAlign w:val="bottom"/>
          </w:tcPr>
          <w:p>
            <w:pPr>
              <w:jc w:val="right"/>
              <w:ind w:right="234"/>
              <w:spacing w:after="0"/>
              <w:rPr>
                <w:sz w:val="20"/>
                <w:szCs w:val="20"/>
                <w:color w:val="auto"/>
              </w:rPr>
            </w:pPr>
            <w:r>
              <w:rPr>
                <w:rFonts w:ascii="Arial" w:cs="Arial" w:eastAsia="Arial" w:hAnsi="Arial"/>
                <w:sz w:val="17"/>
                <w:szCs w:val="17"/>
                <w:b w:val="1"/>
                <w:bCs w:val="1"/>
                <w:color w:val="auto"/>
              </w:rPr>
              <w:t>10,880</w:t>
            </w:r>
          </w:p>
        </w:tc>
        <w:tc>
          <w:tcPr>
            <w:tcW w:w="1000" w:type="dxa"/>
            <w:vAlign w:val="bottom"/>
          </w:tcPr>
          <w:p>
            <w:pPr>
              <w:jc w:val="right"/>
              <w:ind w:right="94"/>
              <w:spacing w:after="0"/>
              <w:rPr>
                <w:sz w:val="20"/>
                <w:szCs w:val="20"/>
                <w:color w:val="auto"/>
              </w:rPr>
            </w:pPr>
            <w:r>
              <w:rPr>
                <w:rFonts w:ascii="Arial" w:cs="Arial" w:eastAsia="Arial" w:hAnsi="Arial"/>
                <w:sz w:val="17"/>
                <w:szCs w:val="17"/>
                <w:color w:val="auto"/>
              </w:rPr>
              <w:t>1,025</w:t>
            </w:r>
          </w:p>
        </w:tc>
        <w:tc>
          <w:tcPr>
            <w:tcW w:w="1380" w:type="dxa"/>
            <w:vAlign w:val="bottom"/>
          </w:tcPr>
          <w:p>
            <w:pPr>
              <w:jc w:val="right"/>
              <w:ind w:right="334"/>
              <w:spacing w:after="0"/>
              <w:rPr>
                <w:sz w:val="20"/>
                <w:szCs w:val="20"/>
                <w:color w:val="auto"/>
              </w:rPr>
            </w:pPr>
            <w:r>
              <w:rPr>
                <w:rFonts w:ascii="Arial" w:cs="Arial" w:eastAsia="Arial" w:hAnsi="Arial"/>
                <w:sz w:val="17"/>
                <w:szCs w:val="17"/>
                <w:b w:val="1"/>
                <w:bCs w:val="1"/>
                <w:color w:val="auto"/>
              </w:rPr>
              <w:t>15,779</w:t>
            </w:r>
          </w:p>
        </w:tc>
        <w:tc>
          <w:tcPr>
            <w:tcW w:w="820" w:type="dxa"/>
            <w:vAlign w:val="bottom"/>
          </w:tcPr>
          <w:p>
            <w:pPr>
              <w:jc w:val="right"/>
              <w:spacing w:after="0"/>
              <w:rPr>
                <w:sz w:val="20"/>
                <w:szCs w:val="20"/>
                <w:color w:val="auto"/>
              </w:rPr>
            </w:pPr>
            <w:r>
              <w:rPr>
                <w:rFonts w:ascii="Arial" w:cs="Arial" w:eastAsia="Arial" w:hAnsi="Arial"/>
                <w:sz w:val="17"/>
                <w:szCs w:val="17"/>
                <w:color w:val="auto"/>
              </w:rPr>
              <w:t>6,744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6600" w:type="dxa"/>
            <w:vAlign w:val="bottom"/>
            <w:gridSpan w:val="2"/>
          </w:tcPr>
          <w:p>
            <w:pPr>
              <w:spacing w:after="0"/>
              <w:rPr>
                <w:sz w:val="20"/>
                <w:szCs w:val="20"/>
                <w:color w:val="auto"/>
              </w:rPr>
            </w:pPr>
            <w:r>
              <w:rPr>
                <w:rFonts w:ascii="Arial" w:cs="Arial" w:eastAsia="Arial" w:hAnsi="Arial"/>
                <w:sz w:val="17"/>
                <w:szCs w:val="17"/>
                <w:color w:val="auto"/>
              </w:rPr>
              <w:t>Discrete tax expense:</w:t>
            </w:r>
          </w:p>
        </w:tc>
        <w:tc>
          <w:tcPr>
            <w:tcW w:w="16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(3)</w:t>
            </w:r>
          </w:p>
        </w:tc>
        <w:tc>
          <w:tcPr>
            <w:tcW w:w="1000" w:type="dxa"/>
            <w:vAlign w:val="bottom"/>
          </w:tcPr>
          <w:p>
            <w:pPr>
              <w:spacing w:after="0"/>
              <w:rPr>
                <w:sz w:val="24"/>
                <w:szCs w:val="24"/>
                <w:color w:val="auto"/>
              </w:rPr>
            </w:pPr>
          </w:p>
        </w:tc>
        <w:tc>
          <w:tcPr>
            <w:tcW w:w="138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(126)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ind w:left="220"/>
              <w:spacing w:after="0" w:line="172" w:lineRule="exact"/>
              <w:rPr>
                <w:sz w:val="20"/>
                <w:szCs w:val="20"/>
                <w:color w:val="auto"/>
              </w:rPr>
            </w:pPr>
            <w:r>
              <w:rPr>
                <w:rFonts w:ascii="Arial" w:cs="Arial" w:eastAsia="Arial" w:hAnsi="Arial"/>
                <w:sz w:val="17"/>
                <w:szCs w:val="17"/>
                <w:color w:val="auto"/>
              </w:rPr>
              <w:t>Exercise of US Stock Options</w:t>
            </w:r>
          </w:p>
        </w:tc>
        <w:tc>
          <w:tcPr>
            <w:tcW w:w="1620" w:type="dxa"/>
            <w:vAlign w:val="bottom"/>
            <w:vMerge w:val="continue"/>
          </w:tcPr>
          <w:p>
            <w:pPr>
              <w:spacing w:after="0"/>
              <w:rPr>
                <w:sz w:val="14"/>
                <w:szCs w:val="14"/>
                <w:color w:val="auto"/>
              </w:rPr>
            </w:pPr>
          </w:p>
        </w:tc>
        <w:tc>
          <w:tcPr>
            <w:tcW w:w="1000" w:type="dxa"/>
            <w:vAlign w:val="bottom"/>
          </w:tcPr>
          <w:p>
            <w:pPr>
              <w:jc w:val="right"/>
              <w:ind w:right="94"/>
              <w:spacing w:after="0" w:line="172" w:lineRule="exact"/>
              <w:rPr>
                <w:sz w:val="20"/>
                <w:szCs w:val="20"/>
                <w:color w:val="auto"/>
              </w:rPr>
            </w:pPr>
            <w:r>
              <w:rPr>
                <w:rFonts w:ascii="Arial" w:cs="Arial" w:eastAsia="Arial" w:hAnsi="Arial"/>
                <w:sz w:val="17"/>
                <w:szCs w:val="17"/>
                <w:color w:val="auto"/>
              </w:rPr>
              <w:t>-</w:t>
            </w:r>
          </w:p>
        </w:tc>
        <w:tc>
          <w:tcPr>
            <w:tcW w:w="1380" w:type="dxa"/>
            <w:vAlign w:val="bottom"/>
            <w:vMerge w:val="continue"/>
          </w:tcPr>
          <w:p>
            <w:pPr>
              <w:spacing w:after="0"/>
              <w:rPr>
                <w:sz w:val="14"/>
                <w:szCs w:val="14"/>
                <w:color w:val="auto"/>
              </w:rPr>
            </w:pPr>
          </w:p>
        </w:tc>
        <w:tc>
          <w:tcPr>
            <w:tcW w:w="8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ind w:left="220"/>
              <w:spacing w:after="0" w:line="194" w:lineRule="exact"/>
              <w:rPr>
                <w:sz w:val="20"/>
                <w:szCs w:val="20"/>
                <w:color w:val="auto"/>
              </w:rPr>
            </w:pPr>
            <w:r>
              <w:rPr>
                <w:rFonts w:ascii="Arial" w:cs="Arial" w:eastAsia="Arial" w:hAnsi="Arial"/>
                <w:sz w:val="17"/>
                <w:szCs w:val="17"/>
                <w:color w:val="auto"/>
              </w:rPr>
              <w:t>Impact of mandatory repatriation</w:t>
            </w:r>
          </w:p>
        </w:tc>
        <w:tc>
          <w:tcPr>
            <w:tcW w:w="1620" w:type="dxa"/>
            <w:vAlign w:val="bottom"/>
          </w:tcPr>
          <w:p>
            <w:pPr>
              <w:jc w:val="right"/>
              <w:ind w:right="234"/>
              <w:spacing w:after="0" w:line="194" w:lineRule="exact"/>
              <w:rPr>
                <w:sz w:val="20"/>
                <w:szCs w:val="20"/>
                <w:color w:val="auto"/>
              </w:rPr>
            </w:pPr>
            <w:r>
              <w:rPr>
                <w:rFonts w:ascii="Arial" w:cs="Arial" w:eastAsia="Arial" w:hAnsi="Arial"/>
                <w:sz w:val="17"/>
                <w:szCs w:val="17"/>
                <w:b w:val="1"/>
                <w:bCs w:val="1"/>
                <w:color w:val="auto"/>
              </w:rPr>
              <w:t>(1,099)</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(1,099)</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ind w:left="220"/>
              <w:spacing w:after="0" w:line="194" w:lineRule="exact"/>
              <w:rPr>
                <w:sz w:val="20"/>
                <w:szCs w:val="20"/>
                <w:color w:val="auto"/>
              </w:rPr>
            </w:pPr>
            <w:r>
              <w:rPr>
                <w:rFonts w:ascii="Arial" w:cs="Arial" w:eastAsia="Arial" w:hAnsi="Arial"/>
                <w:sz w:val="17"/>
                <w:szCs w:val="17"/>
                <w:color w:val="auto"/>
              </w:rPr>
              <w:t>Adjustments to prior period tax liabilities</w:t>
            </w:r>
          </w:p>
        </w:tc>
        <w:tc>
          <w:tcPr>
            <w:tcW w:w="1620" w:type="dxa"/>
            <w:vAlign w:val="bottom"/>
          </w:tcPr>
          <w:p>
            <w:pPr>
              <w:jc w:val="right"/>
              <w:ind w:right="234"/>
              <w:spacing w:after="0" w:line="194" w:lineRule="exact"/>
              <w:rPr>
                <w:sz w:val="20"/>
                <w:szCs w:val="20"/>
                <w:color w:val="auto"/>
              </w:rPr>
            </w:pPr>
            <w:r>
              <w:rPr>
                <w:rFonts w:ascii="Arial" w:cs="Arial" w:eastAsia="Arial" w:hAnsi="Arial"/>
                <w:sz w:val="17"/>
                <w:szCs w:val="17"/>
                <w:b w:val="1"/>
                <w:bCs w:val="1"/>
                <w:color w:val="auto"/>
              </w:rPr>
              <w:t>(206)</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189</w:t>
            </w:r>
          </w:p>
        </w:tc>
        <w:tc>
          <w:tcPr>
            <w:tcW w:w="138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(252)</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ind w:left="220"/>
              <w:spacing w:after="0" w:line="194" w:lineRule="exact"/>
              <w:rPr>
                <w:sz w:val="20"/>
                <w:szCs w:val="20"/>
                <w:color w:val="auto"/>
              </w:rPr>
            </w:pPr>
            <w:r>
              <w:rPr>
                <w:rFonts w:ascii="Arial" w:cs="Arial" w:eastAsia="Arial" w:hAnsi="Arial"/>
                <w:sz w:val="17"/>
                <w:szCs w:val="17"/>
                <w:color w:val="auto"/>
              </w:rPr>
              <w:t>Provision for/resolution of tax audits and contingencies, net</w:t>
            </w:r>
          </w:p>
        </w:tc>
        <w:tc>
          <w:tcPr>
            <w:tcW w:w="1620" w:type="dxa"/>
            <w:vAlign w:val="bottom"/>
          </w:tcPr>
          <w:p>
            <w:pPr>
              <w:jc w:val="right"/>
              <w:ind w:right="234"/>
              <w:spacing w:after="0" w:line="194" w:lineRule="exact"/>
              <w:rPr>
                <w:sz w:val="20"/>
                <w:szCs w:val="20"/>
                <w:color w:val="auto"/>
              </w:rPr>
            </w:pPr>
            <w:r>
              <w:rPr>
                <w:rFonts w:ascii="Arial" w:cs="Arial" w:eastAsia="Arial" w:hAnsi="Arial"/>
                <w:sz w:val="17"/>
                <w:szCs w:val="17"/>
                <w:b w:val="1"/>
                <w:bCs w:val="1"/>
                <w:color w:val="auto"/>
              </w:rPr>
              <w:t>2,443</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599</w:t>
            </w:r>
          </w:p>
        </w:tc>
        <w:tc>
          <w:tcPr>
            <w:tcW w:w="138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2,448</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1,451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ind w:left="220"/>
              <w:spacing w:after="0" w:line="194" w:lineRule="exact"/>
              <w:rPr>
                <w:sz w:val="20"/>
                <w:szCs w:val="20"/>
                <w:color w:val="auto"/>
              </w:rPr>
            </w:pPr>
            <w:r>
              <w:rPr>
                <w:rFonts w:ascii="Arial" w:cs="Arial" w:eastAsia="Arial" w:hAnsi="Arial"/>
                <w:sz w:val="17"/>
                <w:szCs w:val="17"/>
                <w:color w:val="auto"/>
              </w:rPr>
              <w:t>Changes in valuation allowance</w:t>
            </w:r>
          </w:p>
        </w:tc>
        <w:tc>
          <w:tcPr>
            <w:tcW w:w="1620" w:type="dxa"/>
            <w:vAlign w:val="bottom"/>
          </w:tcPr>
          <w:p>
            <w:pPr>
              <w:jc w:val="right"/>
              <w:ind w:right="234"/>
              <w:spacing w:after="0" w:line="194" w:lineRule="exact"/>
              <w:rPr>
                <w:sz w:val="20"/>
                <w:szCs w:val="20"/>
                <w:color w:val="auto"/>
              </w:rPr>
            </w:pPr>
            <w:r>
              <w:rPr>
                <w:rFonts w:ascii="Arial" w:cs="Arial" w:eastAsia="Arial" w:hAnsi="Arial"/>
                <w:sz w:val="17"/>
                <w:szCs w:val="17"/>
                <w:b w:val="1"/>
                <w:bCs w:val="1"/>
                <w:color w:val="auto"/>
              </w:rPr>
              <w:t>(4,986)</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(4,986)</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(34)</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(124)</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income tax expense</w:t>
            </w:r>
          </w:p>
        </w:tc>
        <w:tc>
          <w:tcPr>
            <w:tcW w:w="1620" w:type="dxa"/>
            <w:vAlign w:val="bottom"/>
            <w:tcBorders>
              <w:bottom w:val="single" w:sz="8" w:color="auto"/>
            </w:tcBorders>
          </w:tcPr>
          <w:p>
            <w:pPr>
              <w:jc w:val="right"/>
              <w:ind w:right="234"/>
              <w:spacing w:after="0" w:line="186" w:lineRule="exact"/>
              <w:rPr>
                <w:sz w:val="20"/>
                <w:szCs w:val="20"/>
                <w:color w:val="auto"/>
              </w:rPr>
            </w:pPr>
            <w:r>
              <w:rPr>
                <w:rFonts w:ascii="Arial" w:cs="Arial" w:eastAsia="Arial" w:hAnsi="Arial"/>
                <w:sz w:val="17"/>
                <w:szCs w:val="17"/>
                <w:b w:val="1"/>
                <w:bCs w:val="1"/>
                <w:color w:val="auto"/>
              </w:rPr>
              <w:t>$7,031</w:t>
            </w:r>
          </w:p>
        </w:tc>
        <w:tc>
          <w:tcPr>
            <w:tcW w:w="1000" w:type="dxa"/>
            <w:vAlign w:val="bottom"/>
            <w:tcBorders>
              <w:bottom w:val="single" w:sz="8" w:color="auto"/>
            </w:tcBorders>
          </w:tcPr>
          <w:p>
            <w:pPr>
              <w:jc w:val="right"/>
              <w:ind w:right="94"/>
              <w:spacing w:after="0" w:line="186" w:lineRule="exact"/>
              <w:rPr>
                <w:sz w:val="20"/>
                <w:szCs w:val="20"/>
                <w:color w:val="auto"/>
              </w:rPr>
            </w:pPr>
            <w:r>
              <w:rPr>
                <w:rFonts w:ascii="Arial" w:cs="Arial" w:eastAsia="Arial" w:hAnsi="Arial"/>
                <w:sz w:val="17"/>
                <w:szCs w:val="17"/>
                <w:color w:val="auto"/>
              </w:rPr>
              <w:t>$1,779</w:t>
            </w:r>
          </w:p>
        </w:tc>
        <w:tc>
          <w:tcPr>
            <w:tcW w:w="1380" w:type="dxa"/>
            <w:vAlign w:val="bottom"/>
            <w:tcBorders>
              <w:bottom w:val="single" w:sz="8" w:color="auto"/>
            </w:tcBorders>
          </w:tcPr>
          <w:p>
            <w:pPr>
              <w:jc w:val="right"/>
              <w:ind w:right="334"/>
              <w:spacing w:after="0" w:line="186" w:lineRule="exact"/>
              <w:rPr>
                <w:sz w:val="20"/>
                <w:szCs w:val="20"/>
                <w:color w:val="auto"/>
              </w:rPr>
            </w:pPr>
            <w:r>
              <w:rPr>
                <w:rFonts w:ascii="Arial" w:cs="Arial" w:eastAsia="Arial" w:hAnsi="Arial"/>
                <w:sz w:val="17"/>
                <w:szCs w:val="17"/>
                <w:b w:val="1"/>
                <w:bCs w:val="1"/>
                <w:color w:val="auto"/>
              </w:rPr>
              <w:t>$11,640</w:t>
            </w:r>
          </w:p>
        </w:tc>
        <w:tc>
          <w:tcPr>
            <w:tcW w:w="84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60" w:firstLine="620"/>
        <w:spacing w:after="0" w:line="250" w:lineRule="auto"/>
        <w:rPr>
          <w:sz w:val="20"/>
          <w:szCs w:val="20"/>
          <w:color w:val="auto"/>
        </w:rPr>
      </w:pPr>
      <w:r>
        <w:rPr>
          <w:rFonts w:ascii="Arial" w:cs="Arial" w:eastAsia="Arial" w:hAnsi="Arial"/>
          <w:sz w:val="17"/>
          <w:szCs w:val="17"/>
          <w:color w:val="auto"/>
        </w:rPr>
        <w:t>The second quarter estimated effective tax rate on continuing operations was 30.1 percent in 2018, compared to 32.8 percent for the same period in 2017.</w:t>
      </w:r>
    </w:p>
    <w:p>
      <w:pPr>
        <w:spacing w:after="0" w:line="148" w:lineRule="exact"/>
        <w:rPr>
          <w:sz w:val="20"/>
          <w:szCs w:val="20"/>
          <w:color w:val="auto"/>
        </w:rPr>
      </w:pPr>
    </w:p>
    <w:p>
      <w:pPr>
        <w:ind w:right="140" w:firstLine="620"/>
        <w:spacing w:after="0" w:line="243" w:lineRule="auto"/>
        <w:rPr>
          <w:sz w:val="20"/>
          <w:szCs w:val="20"/>
          <w:color w:val="auto"/>
        </w:rPr>
      </w:pPr>
      <w:r>
        <w:rPr>
          <w:rFonts w:ascii="Arial" w:cs="Arial" w:eastAsia="Arial" w:hAnsi="Arial"/>
          <w:sz w:val="17"/>
          <w:szCs w:val="17"/>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are recorded discretely in each quarter.</w:t>
      </w:r>
    </w:p>
    <w:p>
      <w:pPr>
        <w:spacing w:after="0" w:line="155" w:lineRule="exact"/>
        <w:rPr>
          <w:sz w:val="20"/>
          <w:szCs w:val="20"/>
          <w:color w:val="auto"/>
        </w:rPr>
      </w:pPr>
    </w:p>
    <w:p>
      <w:pPr>
        <w:ind w:right="140" w:firstLine="620"/>
        <w:spacing w:after="0"/>
        <w:rPr>
          <w:sz w:val="20"/>
          <w:szCs w:val="20"/>
          <w:color w:val="auto"/>
        </w:rPr>
      </w:pPr>
      <w:r>
        <w:rPr>
          <w:rFonts w:ascii="Arial" w:cs="Arial" w:eastAsia="Arial" w:hAnsi="Arial"/>
          <w:sz w:val="17"/>
          <w:szCs w:val="17"/>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 Additionally, tax adjustments resulting from the 2017 Tax Cut and Jobs Act (TCJA) have affected the Company’s 2018 AETR, including the global intangible low-taxed income (GILTI) inclusion, the foreign-derived intangible income (FDII) deduction and the corporate U.S. tax rate reduction from 35% to 21%.</w:t>
      </w:r>
    </w:p>
    <w:p>
      <w:pPr>
        <w:spacing w:after="0" w:line="171"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The TCJA significantly revised the U.S. corporate income tax regime by, among other things, lowering the U.S. corporate tax rate from 35% to 21% effective January 1, 2018, while also repealing the deduction for domestic production activities, implementing a territorial tax system and imposing a transition tax on deemed repatriated earnings of foreign subsidiaries. U.S. GAAP requires that the impact of tax legislation be recognized in the period in which the law was enacted.</w:t>
      </w:r>
    </w:p>
    <w:p>
      <w:pPr>
        <w:spacing w:after="0" w:line="157"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In December 2017, the Securities and Exchange Commission staff issued Staff Accounting Bulletin No. 118 (SAB 118), which addresses how a company recognizes provisional amounts when a company does not have the necessary information available, prepared or analyzed (including computations) in reasonable detail to complete its accounting for the effect of the changes in the TCJA. The measurement period ends when a company has obtained, prepared and analyzed the information necessary to finalize its accounting, but cannot extend beyond one year. The Company elected to apply the measurement period guidance provided in SAB 118.</w:t>
      </w:r>
    </w:p>
    <w:p>
      <w:pPr>
        <w:spacing w:after="0" w:line="158" w:lineRule="exact"/>
        <w:rPr>
          <w:sz w:val="20"/>
          <w:szCs w:val="20"/>
          <w:color w:val="auto"/>
        </w:rPr>
      </w:pPr>
    </w:p>
    <w:p>
      <w:pPr>
        <w:ind w:right="180" w:firstLine="620"/>
        <w:spacing w:after="0" w:line="243" w:lineRule="auto"/>
        <w:rPr>
          <w:sz w:val="20"/>
          <w:szCs w:val="20"/>
          <w:color w:val="auto"/>
        </w:rPr>
      </w:pPr>
      <w:r>
        <w:rPr>
          <w:rFonts w:ascii="Arial" w:cs="Arial" w:eastAsia="Arial" w:hAnsi="Arial"/>
          <w:sz w:val="17"/>
          <w:szCs w:val="17"/>
          <w:color w:val="auto"/>
        </w:rPr>
        <w:t>Deferred tax assets and liabilities: At December 31, 2017, the Company re-measured certain deferred tax assets and liabilities based on the federal rate of 21%. However, the Company is still analyzing certain aspects of the TCJA, such as IRC section 162(m), and refining its calculations which</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23" w:right="239" w:bottom="1440" w:gutter="0" w:footer="0" w:header="0"/>
        </w:sectPr>
      </w:pPr>
    </w:p>
    <w:bookmarkStart w:id="23" w:name="page24"/>
    <w:bookmarkEnd w:id="23"/>
    <w:p>
      <w:pPr>
        <w:ind w:right="360"/>
        <w:spacing w:after="0" w:line="250" w:lineRule="auto"/>
        <w:rPr>
          <w:sz w:val="20"/>
          <w:szCs w:val="20"/>
          <w:color w:val="auto"/>
        </w:rPr>
      </w:pPr>
      <w:r>
        <w:rPr>
          <w:rFonts w:ascii="Arial" w:cs="Arial" w:eastAsia="Arial" w:hAnsi="Arial"/>
          <w:sz w:val="17"/>
          <w:szCs w:val="17"/>
          <w:color w:val="auto"/>
        </w:rPr>
        <w:t>could potentially affect the measurement of these balances or potentially give rise to new deferred tax amounts. As such, no adjustment has been recorded to the provisional amount previously recorded in 2017.</w:t>
      </w:r>
    </w:p>
    <w:p>
      <w:pPr>
        <w:spacing w:after="0" w:line="161" w:lineRule="exact"/>
        <w:rPr>
          <w:sz w:val="20"/>
          <w:szCs w:val="20"/>
          <w:color w:val="auto"/>
        </w:rPr>
      </w:pPr>
    </w:p>
    <w:p>
      <w:pPr>
        <w:ind w:right="80" w:firstLine="620"/>
        <w:spacing w:after="0" w:line="239" w:lineRule="auto"/>
        <w:rPr>
          <w:sz w:val="20"/>
          <w:szCs w:val="20"/>
          <w:color w:val="auto"/>
        </w:rPr>
      </w:pPr>
      <w:r>
        <w:rPr>
          <w:rFonts w:ascii="Arial" w:cs="Arial" w:eastAsia="Arial" w:hAnsi="Arial"/>
          <w:sz w:val="17"/>
          <w:szCs w:val="17"/>
          <w:color w:val="auto"/>
        </w:rPr>
        <w:t>Foreign tax effects: At December 31, 2017, the Company recorded a provisional federal tax charge due to the transition tax on deemed repatriation of foreign earnings. As of June 30, 2018, the Company is still analyzing its U.S. tax attributes such as foreign earnings and profits, foreign tax paid, and other tax components involved in foreign tax credit calculations, however, the Company has recorded a net $1.1 million reduction to the provisional transition tax in Q2 2018. The $1.1 million adjustment is comprised of a $1.9 million federal tax benefit attributable to adjustments discovered while analyzing the Post 1986 E&amp;P and tax pools through 2016 and a $0.8 million state tax charge based on interpretive guidance issued by various states during the quarter on how the deemed mandatory repatriation would be taxed in those jurisdictions. These amounts are still considered provisional as the Company continues to analyze guidance and legislation published by the taxing jurisdictions.</w:t>
      </w:r>
    </w:p>
    <w:p>
      <w:pPr>
        <w:spacing w:after="0" w:line="160" w:lineRule="exact"/>
        <w:rPr>
          <w:sz w:val="20"/>
          <w:szCs w:val="20"/>
          <w:color w:val="auto"/>
        </w:rPr>
      </w:pPr>
    </w:p>
    <w:p>
      <w:pPr>
        <w:ind w:right="80" w:firstLine="620"/>
        <w:spacing w:after="0" w:line="239" w:lineRule="auto"/>
        <w:rPr>
          <w:sz w:val="20"/>
          <w:szCs w:val="20"/>
          <w:color w:val="auto"/>
        </w:rPr>
      </w:pPr>
      <w:r>
        <w:rPr>
          <w:rFonts w:ascii="Arial" w:cs="Arial" w:eastAsia="Arial" w:hAnsi="Arial"/>
          <w:sz w:val="17"/>
          <w:szCs w:val="17"/>
          <w:color w:val="auto"/>
        </w:rPr>
        <w:t>The Company has elected to account for the global intangible low-taxed income (GILTI) as a current-period expense when incurred (the “period cost method”). The estimated net GILTI inclusion calculated by the Company (including the gross up on the GILTI Inclusion and the apportioned foreign tax credits applied to GILTI) was $18 million and increased the AETR by 2.3%. The Company also calculated an estimated foreign-derived intangible income (FDII) deduction of $9 million which decreased the AETR by 2.1%. Because of the complexity of the GILTI and FDII tax rules and the lack of legislative guidance, the Company continues to evaluate these provisions of the TCJA and the application of ASC 740, Income Taxes. The final impact on the Company from the TCJA’s GILTI and FDII tax legislation may differ from the estimate calculated by the Company. Such differences could be material, due to, among other things, changes in interpretations of the TCJA, future legislative action to address questions that arise because of the TCJA, changes in accounting standards for income taxes or related interpretations in response to the TCJA, or any updates or changes to estimates the Company has utilized to calculate the GILTI inclusion and FDII deduction.</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continues to believe that the Base Erosion Anti-Abuse Tax (BEAT) does not apply under the Company’s current policies.</w:t>
      </w:r>
    </w:p>
    <w:p>
      <w:pPr>
        <w:spacing w:after="0"/>
        <w:rPr>
          <w:sz w:val="20"/>
          <w:szCs w:val="20"/>
          <w:color w:val="auto"/>
        </w:rPr>
      </w:pPr>
      <w:r>
        <w:rPr>
          <w:rFonts w:ascii="Arial" w:cs="Arial" w:eastAsia="Arial" w:hAnsi="Arial"/>
          <w:sz w:val="17"/>
          <w:szCs w:val="17"/>
          <w:color w:val="auto"/>
        </w:rPr>
        <w:t>Therefore no adjustments for BEAT have been recorded.</w:t>
      </w:r>
    </w:p>
    <w:p>
      <w:pPr>
        <w:spacing w:after="0" w:line="179"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$92.9 million of current year and prior year earnings of the Company’s foreign operations. If these earnings were distributed, the Company would be subject to foreign withholding taxes of $2.2 million which have already been recorded.</w:t>
      </w:r>
    </w:p>
    <w:p>
      <w:pPr>
        <w:spacing w:after="0" w:line="158"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2018. The Company is currently under audit in non-U.S. tax jurisdictions, including but not limited to Canada and Italy. During the second quarter of 2018, the Company recorded a charge for additional uncertain tax positions of $2.4 million as a result of developments in ongoing tax audits.</w:t>
      </w:r>
    </w:p>
    <w:p>
      <w:pPr>
        <w:spacing w:after="0" w:line="156" w:lineRule="exact"/>
        <w:rPr>
          <w:sz w:val="20"/>
          <w:szCs w:val="20"/>
          <w:color w:val="auto"/>
        </w:rPr>
      </w:pPr>
    </w:p>
    <w:p>
      <w:pPr>
        <w:ind w:right="600" w:firstLine="620"/>
        <w:spacing w:after="0" w:line="250" w:lineRule="auto"/>
        <w:rPr>
          <w:sz w:val="20"/>
          <w:szCs w:val="20"/>
          <w:color w:val="auto"/>
        </w:rPr>
      </w:pPr>
      <w:r>
        <w:rPr>
          <w:rFonts w:ascii="Arial" w:cs="Arial" w:eastAsia="Arial" w:hAnsi="Arial"/>
          <w:sz w:val="17"/>
          <w:szCs w:val="17"/>
          <w:color w:val="auto"/>
        </w:rPr>
        <w:t>It is reasonably possible that over the next twelve months the amount of unrecognized tax benefits may change within a range of a net increase of nil to a net decrease of $0.7 million, from the</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42"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reevaluation of uncertain tax positions arising in examinations, in appeals, or in the courts, or from the closure of tax statutes of limitations.</w:t>
      </w:r>
    </w:p>
    <w:p>
      <w:pPr>
        <w:spacing w:after="0" w:line="166"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As of each reporting date, management considers new evidence, both positive and negative, that could affect its view of the future realization of deferred tax assets. As of June 2018, management determined that there was sufficient positive evidence to conclude that it is more likely than not that deferred tax assets in Germany are realizable. Therefore, the Company reversed the previously recorded valuation allowance in the second quarter of 2018 which resulted in a discrete tax benefit of $5.0 million.</w:t>
      </w:r>
    </w:p>
    <w:p>
      <w:pPr>
        <w:spacing w:after="0" w:line="170" w:lineRule="exact"/>
        <w:rPr>
          <w:sz w:val="20"/>
          <w:szCs w:val="20"/>
          <w:color w:val="auto"/>
        </w:rPr>
      </w:pPr>
    </w:p>
    <w:p>
      <w:pPr>
        <w:ind w:right="140" w:firstLine="620"/>
        <w:spacing w:after="0" w:line="243" w:lineRule="auto"/>
        <w:rPr>
          <w:sz w:val="20"/>
          <w:szCs w:val="20"/>
          <w:color w:val="auto"/>
        </w:rPr>
      </w:pPr>
      <w:r>
        <w:rPr>
          <w:rFonts w:ascii="Arial" w:cs="Arial" w:eastAsia="Arial" w:hAnsi="Arial"/>
          <w:sz w:val="17"/>
          <w:szCs w:val="17"/>
          <w:color w:val="auto"/>
        </w:rPr>
        <w:t>In October 2016, an accounting update, ASU 2016-16 was issued which modifies the recognition of income tax effects on intercompany transfers of assets, other than inventory. The Company adopted this update effective January 1, 2018, which resulted in a decrease of $0.5 million to deferred taxes liabilities, with an offsetting increase to retained earnings.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 Earnings Per Share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7"/>
          <w:szCs w:val="17"/>
          <w:color w:val="auto"/>
        </w:rPr>
        <w:t>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gridSpan w:val="2"/>
          </w:tcPr>
          <w:p>
            <w:pPr>
              <w:jc w:val="right"/>
              <w:ind w:right="554"/>
              <w:spacing w:after="0" w:line="184" w:lineRule="exact"/>
              <w:rPr>
                <w:sz w:val="20"/>
                <w:szCs w:val="20"/>
                <w:color w:val="auto"/>
              </w:rPr>
            </w:pPr>
            <w:r>
              <w:rPr>
                <w:rFonts w:ascii="Arial" w:cs="Arial" w:eastAsia="Arial" w:hAnsi="Arial"/>
                <w:sz w:val="17"/>
                <w:szCs w:val="17"/>
                <w:b w:val="1"/>
                <w:bCs w:val="1"/>
                <w:color w:val="auto"/>
              </w:rPr>
              <w:t>Three months ended</w:t>
            </w:r>
          </w:p>
        </w:tc>
        <w:tc>
          <w:tcPr>
            <w:tcW w:w="2280" w:type="dxa"/>
            <w:vAlign w:val="bottom"/>
            <w:tcBorders>
              <w:top w:val="single" w:sz="8" w:color="auto"/>
            </w:tcBorders>
            <w:gridSpan w:val="2"/>
          </w:tcPr>
          <w:p>
            <w:pPr>
              <w:jc w:val="right"/>
              <w:ind w:right="41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20" w:type="dxa"/>
            <w:vAlign w:val="bottom"/>
          </w:tcPr>
          <w:p>
            <w:pPr>
              <w:spacing w:after="0"/>
              <w:rPr>
                <w:sz w:val="16"/>
                <w:szCs w:val="16"/>
                <w:color w:val="auto"/>
              </w:rPr>
            </w:pPr>
          </w:p>
        </w:tc>
        <w:tc>
          <w:tcPr>
            <w:tcW w:w="22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1080" w:type="dxa"/>
            <w:vAlign w:val="bottom"/>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market price and earnings per share)</w:t>
            </w:r>
          </w:p>
        </w:tc>
        <w:tc>
          <w:tcPr>
            <w:tcW w:w="22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2018</w:t>
            </w: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2017</w:t>
            </w:r>
          </w:p>
        </w:tc>
        <w:tc>
          <w:tcPr>
            <w:tcW w:w="142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2018</w:t>
            </w: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 attributable to the Company</w:t>
            </w:r>
          </w:p>
        </w:tc>
        <w:tc>
          <w:tcPr>
            <w:tcW w:w="22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$30,365</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$1,117</w:t>
            </w: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$40,610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820" w:type="dxa"/>
            <w:vAlign w:val="bottom"/>
          </w:tcPr>
          <w:p>
            <w:pPr>
              <w:spacing w:after="0"/>
              <w:rPr>
                <w:sz w:val="20"/>
                <w:szCs w:val="20"/>
                <w:color w:val="auto"/>
              </w:rPr>
            </w:pPr>
            <w:r>
              <w:rPr>
                <w:rFonts w:ascii="Arial" w:cs="Arial" w:eastAsia="Arial" w:hAnsi="Arial"/>
                <w:sz w:val="17"/>
                <w:szCs w:val="17"/>
                <w:b w:val="1"/>
                <w:bCs w:val="1"/>
                <w:color w:val="auto"/>
              </w:rPr>
              <w:t>Weighted average number of shares:</w:t>
            </w: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20" w:type="dxa"/>
            <w:vAlign w:val="bottom"/>
          </w:tcPr>
          <w:p>
            <w:pPr>
              <w:ind w:left="240"/>
              <w:spacing w:after="0" w:line="194" w:lineRule="exact"/>
              <w:rPr>
                <w:sz w:val="20"/>
                <w:szCs w:val="20"/>
                <w:color w:val="auto"/>
              </w:rPr>
            </w:pPr>
            <w:r>
              <w:rPr>
                <w:rFonts w:ascii="Arial" w:cs="Arial" w:eastAsia="Arial" w:hAnsi="Arial"/>
                <w:sz w:val="17"/>
                <w:szCs w:val="17"/>
                <w:color w:val="auto"/>
              </w:rPr>
              <w:t>Weighted average number of shares used in</w:t>
            </w:r>
          </w:p>
        </w:tc>
        <w:tc>
          <w:tcPr>
            <w:tcW w:w="224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32,257</w:t>
            </w:r>
          </w:p>
        </w:tc>
        <w:tc>
          <w:tcPr>
            <w:tcW w:w="1080" w:type="dxa"/>
            <w:vAlign w:val="bottom"/>
          </w:tcPr>
          <w:p>
            <w:pPr>
              <w:spacing w:after="0"/>
              <w:rPr>
                <w:sz w:val="16"/>
                <w:szCs w:val="16"/>
                <w:color w:val="auto"/>
              </w:rPr>
            </w:pPr>
          </w:p>
        </w:tc>
        <w:tc>
          <w:tcPr>
            <w:tcW w:w="142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32,239</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820" w:type="dxa"/>
            <w:vAlign w:val="bottom"/>
          </w:tcPr>
          <w:p>
            <w:pPr>
              <w:ind w:left="240"/>
              <w:spacing w:after="0" w:line="172" w:lineRule="exact"/>
              <w:rPr>
                <w:sz w:val="20"/>
                <w:szCs w:val="20"/>
                <w:color w:val="auto"/>
              </w:rPr>
            </w:pPr>
            <w:r>
              <w:rPr>
                <w:rFonts w:ascii="Arial" w:cs="Arial" w:eastAsia="Arial" w:hAnsi="Arial"/>
                <w:sz w:val="17"/>
                <w:szCs w:val="17"/>
                <w:color w:val="auto"/>
              </w:rPr>
              <w:t>calculating basic net income per share</w:t>
            </w:r>
          </w:p>
        </w:tc>
        <w:tc>
          <w:tcPr>
            <w:tcW w:w="2240" w:type="dxa"/>
            <w:vAlign w:val="bottom"/>
            <w:vMerge w:val="continue"/>
          </w:tcPr>
          <w:p>
            <w:pPr>
              <w:spacing w:after="0"/>
              <w:rPr>
                <w:sz w:val="14"/>
                <w:szCs w:val="14"/>
                <w:color w:val="auto"/>
              </w:rPr>
            </w:pPr>
          </w:p>
        </w:tc>
        <w:tc>
          <w:tcPr>
            <w:tcW w:w="1080" w:type="dxa"/>
            <w:vAlign w:val="bottom"/>
          </w:tcPr>
          <w:p>
            <w:pPr>
              <w:jc w:val="right"/>
              <w:ind w:right="134"/>
              <w:spacing w:after="0" w:line="172" w:lineRule="exact"/>
              <w:rPr>
                <w:sz w:val="20"/>
                <w:szCs w:val="20"/>
                <w:color w:val="auto"/>
              </w:rPr>
            </w:pPr>
            <w:r>
              <w:rPr>
                <w:rFonts w:ascii="Arial" w:cs="Arial" w:eastAsia="Arial" w:hAnsi="Arial"/>
                <w:sz w:val="17"/>
                <w:szCs w:val="17"/>
                <w:color w:val="auto"/>
              </w:rPr>
              <w:t>32,166</w:t>
            </w:r>
          </w:p>
        </w:tc>
        <w:tc>
          <w:tcPr>
            <w:tcW w:w="1420" w:type="dxa"/>
            <w:vAlign w:val="bottom"/>
            <w:vMerge w:val="continue"/>
          </w:tcPr>
          <w:p>
            <w:pPr>
              <w:spacing w:after="0"/>
              <w:rPr>
                <w:sz w:val="14"/>
                <w:szCs w:val="14"/>
                <w:color w:val="auto"/>
              </w:rPr>
            </w:pPr>
          </w:p>
        </w:tc>
        <w:tc>
          <w:tcPr>
            <w:tcW w:w="88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32,147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7"/>
                <w:szCs w:val="17"/>
                <w:b w:val="1"/>
                <w:bCs w:val="1"/>
                <w:color w:val="auto"/>
              </w:rPr>
              <w:t>Effect of dilutive stock-based compensation plans:</w:t>
            </w:r>
          </w:p>
        </w:tc>
        <w:tc>
          <w:tcPr>
            <w:tcW w:w="224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16</w:t>
            </w:r>
          </w:p>
        </w:tc>
        <w:tc>
          <w:tcPr>
            <w:tcW w:w="1080" w:type="dxa"/>
            <w:vAlign w:val="bottom"/>
          </w:tcPr>
          <w:p>
            <w:pPr>
              <w:spacing w:after="0"/>
              <w:rPr>
                <w:sz w:val="18"/>
                <w:szCs w:val="18"/>
                <w:color w:val="auto"/>
              </w:rPr>
            </w:pPr>
          </w:p>
        </w:tc>
        <w:tc>
          <w:tcPr>
            <w:tcW w:w="142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16</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20" w:type="dxa"/>
            <w:vAlign w:val="bottom"/>
            <w:tcBorders>
              <w:bottom w:val="single" w:sz="8" w:color="auto"/>
            </w:tcBorders>
          </w:tcPr>
          <w:p>
            <w:pPr>
              <w:ind w:left="240"/>
              <w:spacing w:after="0" w:line="194" w:lineRule="exact"/>
              <w:rPr>
                <w:sz w:val="20"/>
                <w:szCs w:val="20"/>
                <w:color w:val="auto"/>
              </w:rPr>
            </w:pPr>
            <w:r>
              <w:rPr>
                <w:rFonts w:ascii="Arial" w:cs="Arial" w:eastAsia="Arial" w:hAnsi="Arial"/>
                <w:sz w:val="17"/>
                <w:szCs w:val="17"/>
                <w:color w:val="auto"/>
              </w:rPr>
              <w:t>Stock options</w:t>
            </w:r>
          </w:p>
        </w:tc>
        <w:tc>
          <w:tcPr>
            <w:tcW w:w="22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34</w:t>
            </w:r>
          </w:p>
        </w:tc>
        <w:tc>
          <w:tcPr>
            <w:tcW w:w="14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820" w:type="dxa"/>
            <w:vAlign w:val="bottom"/>
          </w:tcPr>
          <w:p>
            <w:pPr>
              <w:spacing w:after="0"/>
              <w:rPr>
                <w:sz w:val="20"/>
                <w:szCs w:val="20"/>
                <w:color w:val="auto"/>
              </w:rPr>
            </w:pPr>
            <w:r>
              <w:rPr>
                <w:rFonts w:ascii="Arial" w:cs="Arial" w:eastAsia="Arial" w:hAnsi="Arial"/>
                <w:sz w:val="17"/>
                <w:szCs w:val="17"/>
                <w:color w:val="auto"/>
              </w:rPr>
              <w:t>Weighted average number of shares used in</w:t>
            </w:r>
          </w:p>
        </w:tc>
        <w:tc>
          <w:tcPr>
            <w:tcW w:w="224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32,273</w:t>
            </w:r>
          </w:p>
        </w:tc>
        <w:tc>
          <w:tcPr>
            <w:tcW w:w="1080" w:type="dxa"/>
            <w:vAlign w:val="bottom"/>
          </w:tcPr>
          <w:p>
            <w:pPr>
              <w:spacing w:after="0"/>
              <w:rPr>
                <w:sz w:val="24"/>
                <w:szCs w:val="24"/>
                <w:color w:val="auto"/>
              </w:rPr>
            </w:pPr>
          </w:p>
        </w:tc>
        <w:tc>
          <w:tcPr>
            <w:tcW w:w="142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32,255</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20" w:type="dxa"/>
            <w:vAlign w:val="bottom"/>
          </w:tcPr>
          <w:p>
            <w:pPr>
              <w:spacing w:after="0" w:line="194" w:lineRule="exact"/>
              <w:rPr>
                <w:sz w:val="20"/>
                <w:szCs w:val="20"/>
                <w:color w:val="auto"/>
              </w:rPr>
            </w:pPr>
            <w:r>
              <w:rPr>
                <w:rFonts w:ascii="Arial" w:cs="Arial" w:eastAsia="Arial" w:hAnsi="Arial"/>
                <w:sz w:val="17"/>
                <w:szCs w:val="17"/>
                <w:color w:val="auto"/>
              </w:rPr>
              <w:t>calculating diluted net income per share</w:t>
            </w:r>
          </w:p>
        </w:tc>
        <w:tc>
          <w:tcPr>
            <w:tcW w:w="2240" w:type="dxa"/>
            <w:vAlign w:val="bottom"/>
            <w:vMerge w:val="continue"/>
          </w:tcPr>
          <w:p>
            <w:pPr>
              <w:spacing w:after="0"/>
              <w:rPr>
                <w:sz w:val="16"/>
                <w:szCs w:val="16"/>
                <w:color w:val="auto"/>
              </w:rPr>
            </w:pPr>
          </w:p>
        </w:tc>
        <w:tc>
          <w:tcPr>
            <w:tcW w:w="108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32,200</w:t>
            </w:r>
          </w:p>
        </w:tc>
        <w:tc>
          <w:tcPr>
            <w:tcW w:w="1420" w:type="dxa"/>
            <w:vAlign w:val="bottom"/>
            <w:vMerge w:val="continue"/>
          </w:tcPr>
          <w:p>
            <w:pPr>
              <w:spacing w:after="0"/>
              <w:rPr>
                <w:sz w:val="16"/>
                <w:szCs w:val="16"/>
                <w:color w:val="auto"/>
              </w:rPr>
            </w:pPr>
          </w:p>
        </w:tc>
        <w:tc>
          <w:tcPr>
            <w:tcW w:w="8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32,182</w:t>
            </w:r>
          </w:p>
        </w:tc>
        <w:tc>
          <w:tcPr>
            <w:tcW w:w="0" w:type="dxa"/>
            <w:vAlign w:val="bottom"/>
          </w:tcPr>
          <w:p>
            <w:pPr>
              <w:spacing w:after="0"/>
              <w:rPr>
                <w:sz w:val="1"/>
                <w:szCs w:val="1"/>
                <w:color w:val="auto"/>
              </w:rPr>
            </w:pPr>
          </w:p>
        </w:tc>
      </w:tr>
      <w:tr>
        <w:trPr>
          <w:trHeight w:val="379"/>
        </w:trPr>
        <w:tc>
          <w:tcPr>
            <w:tcW w:w="5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Average market price of common stock used</w:t>
            </w:r>
          </w:p>
        </w:tc>
        <w:tc>
          <w:tcPr>
            <w:tcW w:w="2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7"/>
                <w:szCs w:val="17"/>
                <w:b w:val="1"/>
                <w:bCs w:val="1"/>
                <w:color w:val="auto"/>
              </w:rPr>
              <w:t>$61.86</w:t>
            </w:r>
          </w:p>
        </w:tc>
        <w:tc>
          <w:tcPr>
            <w:tcW w:w="10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7"/>
                <w:szCs w:val="17"/>
                <w:b w:val="1"/>
                <w:bCs w:val="1"/>
                <w:color w:val="auto"/>
              </w:rPr>
              <w:t>$62.83</w:t>
            </w: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20" w:type="dxa"/>
            <w:vAlign w:val="bottom"/>
          </w:tcPr>
          <w:p>
            <w:pPr>
              <w:spacing w:after="0" w:line="194" w:lineRule="exact"/>
              <w:rPr>
                <w:sz w:val="20"/>
                <w:szCs w:val="20"/>
                <w:color w:val="auto"/>
              </w:rPr>
            </w:pPr>
            <w:r>
              <w:rPr>
                <w:rFonts w:ascii="Arial" w:cs="Arial" w:eastAsia="Arial" w:hAnsi="Arial"/>
                <w:sz w:val="17"/>
                <w:szCs w:val="17"/>
                <w:color w:val="auto"/>
              </w:rPr>
              <w:t>for calculation of dilutive shares</w:t>
            </w:r>
          </w:p>
        </w:tc>
        <w:tc>
          <w:tcPr>
            <w:tcW w:w="2240" w:type="dxa"/>
            <w:vAlign w:val="bottom"/>
            <w:vMerge w:val="continue"/>
          </w:tcPr>
          <w:p>
            <w:pPr>
              <w:spacing w:after="0"/>
              <w:rPr>
                <w:sz w:val="16"/>
                <w:szCs w:val="16"/>
                <w:color w:val="auto"/>
              </w:rPr>
            </w:pPr>
          </w:p>
        </w:tc>
        <w:tc>
          <w:tcPr>
            <w:tcW w:w="108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$48.44</w:t>
            </w:r>
          </w:p>
        </w:tc>
        <w:tc>
          <w:tcPr>
            <w:tcW w:w="1420" w:type="dxa"/>
            <w:vAlign w:val="bottom"/>
            <w:vMerge w:val="continue"/>
          </w:tcPr>
          <w:p>
            <w:pPr>
              <w:spacing w:after="0"/>
              <w:rPr>
                <w:sz w:val="16"/>
                <w:szCs w:val="16"/>
                <w:color w:val="auto"/>
              </w:rPr>
            </w:pPr>
          </w:p>
        </w:tc>
        <w:tc>
          <w:tcPr>
            <w:tcW w:w="8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$47.47</w:t>
            </w:r>
          </w:p>
        </w:tc>
        <w:tc>
          <w:tcPr>
            <w:tcW w:w="0" w:type="dxa"/>
            <w:vAlign w:val="bottom"/>
          </w:tcPr>
          <w:p>
            <w:pPr>
              <w:spacing w:after="0"/>
              <w:rPr>
                <w:sz w:val="1"/>
                <w:szCs w:val="1"/>
                <w:color w:val="auto"/>
              </w:rPr>
            </w:pPr>
          </w:p>
        </w:tc>
      </w:tr>
      <w:tr>
        <w:trPr>
          <w:trHeight w:val="379"/>
        </w:trPr>
        <w:tc>
          <w:tcPr>
            <w:tcW w:w="58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Net income per share:</w:t>
            </w:r>
          </w:p>
        </w:tc>
        <w:tc>
          <w:tcPr>
            <w:tcW w:w="2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7"/>
                <w:szCs w:val="17"/>
                <w:b w:val="1"/>
                <w:bCs w:val="1"/>
                <w:color w:val="auto"/>
              </w:rPr>
              <w:t>$0.94</w:t>
            </w:r>
          </w:p>
        </w:tc>
        <w:tc>
          <w:tcPr>
            <w:tcW w:w="10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7"/>
                <w:szCs w:val="17"/>
                <w:b w:val="1"/>
                <w:bCs w:val="1"/>
                <w:color w:val="auto"/>
              </w:rPr>
              <w:t>$1.26</w:t>
            </w: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20" w:type="dxa"/>
            <w:vAlign w:val="bottom"/>
          </w:tcPr>
          <w:p>
            <w:pPr>
              <w:ind w:left="240"/>
              <w:spacing w:after="0" w:line="172" w:lineRule="exact"/>
              <w:rPr>
                <w:sz w:val="20"/>
                <w:szCs w:val="20"/>
                <w:color w:val="auto"/>
              </w:rPr>
            </w:pPr>
            <w:r>
              <w:rPr>
                <w:rFonts w:ascii="Arial" w:cs="Arial" w:eastAsia="Arial" w:hAnsi="Arial"/>
                <w:sz w:val="17"/>
                <w:szCs w:val="17"/>
                <w:color w:val="auto"/>
              </w:rPr>
              <w:t>Basic</w:t>
            </w:r>
          </w:p>
        </w:tc>
        <w:tc>
          <w:tcPr>
            <w:tcW w:w="2240" w:type="dxa"/>
            <w:vAlign w:val="bottom"/>
            <w:vMerge w:val="continue"/>
          </w:tcPr>
          <w:p>
            <w:pPr>
              <w:spacing w:after="0"/>
              <w:rPr>
                <w:sz w:val="14"/>
                <w:szCs w:val="14"/>
                <w:color w:val="auto"/>
              </w:rPr>
            </w:pPr>
          </w:p>
        </w:tc>
        <w:tc>
          <w:tcPr>
            <w:tcW w:w="1080" w:type="dxa"/>
            <w:vAlign w:val="bottom"/>
          </w:tcPr>
          <w:p>
            <w:pPr>
              <w:jc w:val="right"/>
              <w:ind w:right="134"/>
              <w:spacing w:after="0" w:line="172" w:lineRule="exact"/>
              <w:rPr>
                <w:sz w:val="20"/>
                <w:szCs w:val="20"/>
                <w:color w:val="auto"/>
              </w:rPr>
            </w:pPr>
            <w:r>
              <w:rPr>
                <w:rFonts w:ascii="Arial" w:cs="Arial" w:eastAsia="Arial" w:hAnsi="Arial"/>
                <w:sz w:val="17"/>
                <w:szCs w:val="17"/>
                <w:color w:val="auto"/>
              </w:rPr>
              <w:t>$0.03</w:t>
            </w:r>
          </w:p>
        </w:tc>
        <w:tc>
          <w:tcPr>
            <w:tcW w:w="1420" w:type="dxa"/>
            <w:vAlign w:val="bottom"/>
            <w:vMerge w:val="continue"/>
          </w:tcPr>
          <w:p>
            <w:pPr>
              <w:spacing w:after="0"/>
              <w:rPr>
                <w:sz w:val="14"/>
                <w:szCs w:val="14"/>
                <w:color w:val="auto"/>
              </w:rPr>
            </w:pPr>
          </w:p>
        </w:tc>
        <w:tc>
          <w:tcPr>
            <w:tcW w:w="860" w:type="dxa"/>
            <w:vAlign w:val="bottom"/>
          </w:tcPr>
          <w:p>
            <w:pPr>
              <w:jc w:val="right"/>
              <w:spacing w:after="0" w:line="172" w:lineRule="exact"/>
              <w:rPr>
                <w:sz w:val="20"/>
                <w:szCs w:val="20"/>
                <w:color w:val="auto"/>
              </w:rPr>
            </w:pPr>
            <w:r>
              <w:rPr>
                <w:rFonts w:ascii="Arial" w:cs="Arial" w:eastAsia="Arial" w:hAnsi="Arial"/>
                <w:sz w:val="17"/>
                <w:szCs w:val="17"/>
                <w:color w:val="auto"/>
              </w:rPr>
              <w:t>$0.37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Diluted</w:t>
            </w:r>
          </w:p>
        </w:tc>
        <w:tc>
          <w:tcPr>
            <w:tcW w:w="22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$0.94</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$0.03</w:t>
            </w: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$1.26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9. Noncontrolling Interest</w:t>
      </w:r>
    </w:p>
    <w:p>
      <w:pPr>
        <w:spacing w:after="0" w:line="199" w:lineRule="exact"/>
        <w:rPr>
          <w:sz w:val="20"/>
          <w:szCs w:val="20"/>
          <w:color w:val="auto"/>
        </w:rPr>
      </w:pPr>
    </w:p>
    <w:p>
      <w:pPr>
        <w:ind w:right="340" w:firstLine="620"/>
        <w:spacing w:after="0" w:line="243" w:lineRule="auto"/>
        <w:rPr>
          <w:sz w:val="20"/>
          <w:szCs w:val="20"/>
          <w:color w:val="auto"/>
        </w:rPr>
      </w:pPr>
      <w:r>
        <w:rPr>
          <w:rFonts w:ascii="Arial" w:cs="Arial" w:eastAsia="Arial" w:hAnsi="Arial"/>
          <w:sz w:val="17"/>
          <w:szCs w:val="17"/>
          <w:color w:val="auto"/>
        </w:rPr>
        <w:t>The table below presents a reconciliation of income attributable to the noncontrolling interest and noncontrolling equity in the Company’s subsidiary Albany Safran Composites, LLC, and the impact that the ASC 606 revenue standard had on Company results for the first six months of 2018, included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756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gridSpan w:val="2"/>
          </w:tcPr>
          <w:p>
            <w:pPr>
              <w:jc w:val="right"/>
              <w:ind w:right="594"/>
              <w:spacing w:after="0" w:line="184" w:lineRule="exact"/>
              <w:rPr>
                <w:sz w:val="20"/>
                <w:szCs w:val="20"/>
                <w:color w:val="auto"/>
              </w:rPr>
            </w:pPr>
            <w:r>
              <w:rPr>
                <w:rFonts w:ascii="Arial" w:cs="Arial" w:eastAsia="Arial" w:hAnsi="Arial"/>
                <w:sz w:val="17"/>
                <w:szCs w:val="17"/>
                <w:b w:val="1"/>
                <w:bCs w:val="1"/>
                <w:color w:val="auto"/>
              </w:rPr>
              <w:t>Six months ended</w:t>
            </w:r>
          </w:p>
        </w:tc>
        <w:tc>
          <w:tcPr>
            <w:tcW w:w="40" w:type="dxa"/>
            <w:vAlign w:val="bottom"/>
            <w:gridSpan w:val="2"/>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75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(in thousands)</w:t>
            </w:r>
          </w:p>
        </w:tc>
        <w:tc>
          <w:tcPr>
            <w:tcW w:w="2920" w:type="dxa"/>
            <w:vAlign w:val="bottom"/>
            <w:tcBorders>
              <w:bottom w:val="single" w:sz="8" w:color="auto"/>
            </w:tcBorders>
          </w:tcPr>
          <w:p>
            <w:pPr>
              <w:jc w:val="right"/>
              <w:ind w:right="814"/>
              <w:spacing w:after="0" w:line="186" w:lineRule="exact"/>
              <w:rPr>
                <w:sz w:val="20"/>
                <w:szCs w:val="20"/>
                <w:color w:val="auto"/>
              </w:rPr>
            </w:pPr>
            <w:r>
              <w:rPr>
                <w:rFonts w:ascii="Arial" w:cs="Arial" w:eastAsia="Arial" w:hAnsi="Arial"/>
                <w:sz w:val="17"/>
                <w:szCs w:val="17"/>
                <w:b w:val="1"/>
                <w:bCs w:val="1"/>
                <w:color w:val="auto"/>
              </w:rPr>
              <w:t>2018</w:t>
            </w:r>
          </w:p>
        </w:tc>
        <w:tc>
          <w:tcPr>
            <w:tcW w:w="920" w:type="dxa"/>
            <w:vAlign w:val="bottom"/>
            <w:tcBorders>
              <w:bottom w:val="single" w:sz="8" w:color="auto"/>
            </w:tcBorders>
          </w:tcPr>
          <w:p>
            <w:pPr>
              <w:jc w:val="right"/>
              <w:ind w:right="334"/>
              <w:spacing w:after="0" w:line="186" w:lineRule="exact"/>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4"/>
        </w:trPr>
        <w:tc>
          <w:tcPr>
            <w:tcW w:w="7580" w:type="dxa"/>
            <w:vAlign w:val="bottom"/>
            <w:gridSpan w:val="2"/>
          </w:tcPr>
          <w:p>
            <w:pPr>
              <w:spacing w:after="0" w:line="163" w:lineRule="exact"/>
              <w:rPr>
                <w:sz w:val="20"/>
                <w:szCs w:val="20"/>
                <w:color w:val="auto"/>
              </w:rPr>
            </w:pPr>
            <w:r>
              <w:rPr>
                <w:rFonts w:ascii="Arial" w:cs="Arial" w:eastAsia="Arial" w:hAnsi="Arial"/>
                <w:sz w:val="17"/>
                <w:szCs w:val="17"/>
                <w:color w:val="auto"/>
              </w:rPr>
              <w:t>Net income of Albany Safran Composites (ASC)</w:t>
            </w:r>
          </w:p>
        </w:tc>
        <w:tc>
          <w:tcPr>
            <w:tcW w:w="2920" w:type="dxa"/>
            <w:vAlign w:val="bottom"/>
          </w:tcPr>
          <w:p>
            <w:pPr>
              <w:jc w:val="right"/>
              <w:ind w:right="234"/>
              <w:spacing w:after="0" w:line="163" w:lineRule="exact"/>
              <w:rPr>
                <w:sz w:val="20"/>
                <w:szCs w:val="20"/>
                <w:color w:val="auto"/>
              </w:rPr>
            </w:pPr>
            <w:r>
              <w:rPr>
                <w:rFonts w:ascii="Arial" w:cs="Arial" w:eastAsia="Arial" w:hAnsi="Arial"/>
                <w:sz w:val="17"/>
                <w:szCs w:val="17"/>
                <w:b w:val="1"/>
                <w:bCs w:val="1"/>
                <w:color w:val="auto"/>
              </w:rPr>
              <w:t>$2,419</w:t>
            </w:r>
          </w:p>
        </w:tc>
        <w:tc>
          <w:tcPr>
            <w:tcW w:w="920" w:type="dxa"/>
            <w:vAlign w:val="bottom"/>
          </w:tcPr>
          <w:p>
            <w:pPr>
              <w:jc w:val="right"/>
              <w:spacing w:after="0" w:line="163" w:lineRule="exact"/>
              <w:rPr>
                <w:sz w:val="20"/>
                <w:szCs w:val="20"/>
                <w:color w:val="auto"/>
              </w:rPr>
            </w:pPr>
            <w:r>
              <w:rPr>
                <w:rFonts w:ascii="Arial" w:cs="Arial" w:eastAsia="Arial" w:hAnsi="Arial"/>
                <w:sz w:val="17"/>
                <w:szCs w:val="17"/>
                <w:color w:val="auto"/>
              </w:rPr>
              <w:t>$3,029</w:t>
            </w:r>
          </w:p>
        </w:tc>
        <w:tc>
          <w:tcPr>
            <w:tcW w:w="40" w:type="dxa"/>
            <w:vAlign w:val="bottom"/>
            <w:gridSpan w:val="2"/>
          </w:tcPr>
          <w:p>
            <w:pPr>
              <w:spacing w:after="0"/>
              <w:rPr>
                <w:sz w:val="14"/>
                <w:szCs w:val="14"/>
                <w:color w:val="auto"/>
              </w:rPr>
            </w:pPr>
          </w:p>
        </w:tc>
      </w:tr>
      <w:tr>
        <w:trPr>
          <w:trHeight w:val="216"/>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Less: Return attributable to the Company's preferred holding</w:t>
            </w:r>
          </w:p>
        </w:tc>
        <w:tc>
          <w:tcPr>
            <w:tcW w:w="29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635</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515</w:t>
            </w:r>
          </w:p>
        </w:tc>
        <w:tc>
          <w:tcPr>
            <w:tcW w:w="20" w:type="dxa"/>
            <w:vAlign w:val="bottom"/>
          </w:tcPr>
          <w:p>
            <w:pPr>
              <w:spacing w:after="0"/>
              <w:rPr>
                <w:sz w:val="18"/>
                <w:szCs w:val="18"/>
                <w:color w:val="auto"/>
              </w:rPr>
            </w:pPr>
          </w:p>
        </w:tc>
      </w:tr>
      <w:tr>
        <w:trPr>
          <w:trHeight w:val="164"/>
        </w:trPr>
        <w:tc>
          <w:tcPr>
            <w:tcW w:w="7580" w:type="dxa"/>
            <w:vAlign w:val="bottom"/>
            <w:gridSpan w:val="2"/>
          </w:tcPr>
          <w:p>
            <w:pPr>
              <w:spacing w:after="0" w:line="163" w:lineRule="exact"/>
              <w:rPr>
                <w:sz w:val="20"/>
                <w:szCs w:val="20"/>
                <w:color w:val="auto"/>
              </w:rPr>
            </w:pPr>
            <w:r>
              <w:rPr>
                <w:rFonts w:ascii="Arial" w:cs="Arial" w:eastAsia="Arial" w:hAnsi="Arial"/>
                <w:sz w:val="17"/>
                <w:szCs w:val="17"/>
                <w:color w:val="auto"/>
              </w:rPr>
              <w:t>Net income of ASC available for common ownership</w:t>
            </w:r>
          </w:p>
        </w:tc>
        <w:tc>
          <w:tcPr>
            <w:tcW w:w="2920" w:type="dxa"/>
            <w:vAlign w:val="bottom"/>
          </w:tcPr>
          <w:p>
            <w:pPr>
              <w:jc w:val="right"/>
              <w:ind w:right="234"/>
              <w:spacing w:after="0" w:line="163" w:lineRule="exact"/>
              <w:rPr>
                <w:sz w:val="20"/>
                <w:szCs w:val="20"/>
                <w:color w:val="auto"/>
              </w:rPr>
            </w:pPr>
            <w:r>
              <w:rPr>
                <w:rFonts w:ascii="Arial" w:cs="Arial" w:eastAsia="Arial" w:hAnsi="Arial"/>
                <w:sz w:val="17"/>
                <w:szCs w:val="17"/>
                <w:b w:val="1"/>
                <w:bCs w:val="1"/>
                <w:color w:val="auto"/>
              </w:rPr>
              <w:t>$1,784</w:t>
            </w:r>
          </w:p>
        </w:tc>
        <w:tc>
          <w:tcPr>
            <w:tcW w:w="940" w:type="dxa"/>
            <w:vAlign w:val="bottom"/>
            <w:gridSpan w:val="2"/>
          </w:tcPr>
          <w:p>
            <w:pPr>
              <w:jc w:val="right"/>
              <w:ind w:right="20"/>
              <w:spacing w:after="0" w:line="163" w:lineRule="exact"/>
              <w:rPr>
                <w:sz w:val="20"/>
                <w:szCs w:val="20"/>
                <w:color w:val="auto"/>
              </w:rPr>
            </w:pPr>
            <w:r>
              <w:rPr>
                <w:rFonts w:ascii="Arial" w:cs="Arial" w:eastAsia="Arial" w:hAnsi="Arial"/>
                <w:sz w:val="17"/>
                <w:szCs w:val="17"/>
                <w:color w:val="auto"/>
              </w:rPr>
              <w:t>$2,514</w:t>
            </w:r>
          </w:p>
        </w:tc>
        <w:tc>
          <w:tcPr>
            <w:tcW w:w="20" w:type="dxa"/>
            <w:vAlign w:val="bottom"/>
          </w:tcPr>
          <w:p>
            <w:pPr>
              <w:spacing w:after="0"/>
              <w:rPr>
                <w:sz w:val="14"/>
                <w:szCs w:val="14"/>
                <w:color w:val="auto"/>
              </w:rPr>
            </w:pPr>
          </w:p>
        </w:tc>
      </w:tr>
      <w:tr>
        <w:trPr>
          <w:trHeight w:val="216"/>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Ownership percentage of noncontrolling shareholder</w:t>
            </w:r>
          </w:p>
        </w:tc>
        <w:tc>
          <w:tcPr>
            <w:tcW w:w="29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10%</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r>
      <w:tr>
        <w:trPr>
          <w:trHeight w:val="186"/>
        </w:trPr>
        <w:tc>
          <w:tcPr>
            <w:tcW w:w="758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color w:val="auto"/>
              </w:rPr>
              <w:t>Net income attributable to noncontrolling interest</w:t>
            </w:r>
          </w:p>
        </w:tc>
        <w:tc>
          <w:tcPr>
            <w:tcW w:w="2920" w:type="dxa"/>
            <w:vAlign w:val="bottom"/>
            <w:tcBorders>
              <w:bottom w:val="single" w:sz="8" w:color="auto"/>
            </w:tcBorders>
          </w:tcPr>
          <w:p>
            <w:pPr>
              <w:jc w:val="right"/>
              <w:ind w:right="234"/>
              <w:spacing w:after="0" w:line="186" w:lineRule="exact"/>
              <w:rPr>
                <w:sz w:val="20"/>
                <w:szCs w:val="20"/>
                <w:color w:val="auto"/>
              </w:rPr>
            </w:pPr>
            <w:r>
              <w:rPr>
                <w:rFonts w:ascii="Arial" w:cs="Arial" w:eastAsia="Arial" w:hAnsi="Arial"/>
                <w:sz w:val="17"/>
                <w:szCs w:val="17"/>
                <w:b w:val="1"/>
                <w:bCs w:val="1"/>
                <w:color w:val="auto"/>
              </w:rPr>
              <w:t>$178</w:t>
            </w:r>
          </w:p>
        </w:tc>
        <w:tc>
          <w:tcPr>
            <w:tcW w:w="94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$251</w:t>
            </w:r>
          </w:p>
        </w:tc>
        <w:tc>
          <w:tcPr>
            <w:tcW w:w="20" w:type="dxa"/>
            <w:vAlign w:val="bottom"/>
          </w:tcPr>
          <w:p>
            <w:pPr>
              <w:spacing w:after="0"/>
              <w:rPr>
                <w:sz w:val="16"/>
                <w:szCs w:val="16"/>
                <w:color w:val="auto"/>
              </w:rPr>
            </w:pPr>
          </w:p>
        </w:tc>
      </w:tr>
      <w:tr>
        <w:trPr>
          <w:trHeight w:val="357"/>
        </w:trPr>
        <w:tc>
          <w:tcPr>
            <w:tcW w:w="7580" w:type="dxa"/>
            <w:vAlign w:val="bottom"/>
            <w:gridSpan w:val="2"/>
          </w:tcPr>
          <w:p>
            <w:pPr>
              <w:spacing w:after="0"/>
              <w:rPr>
                <w:sz w:val="20"/>
                <w:szCs w:val="20"/>
                <w:color w:val="auto"/>
              </w:rPr>
            </w:pPr>
            <w:r>
              <w:rPr>
                <w:rFonts w:ascii="Arial" w:cs="Arial" w:eastAsia="Arial" w:hAnsi="Arial"/>
                <w:sz w:val="17"/>
                <w:szCs w:val="17"/>
                <w:color w:val="auto"/>
              </w:rPr>
              <w:t>Noncontrolling interest, beginning of year</w:t>
            </w:r>
          </w:p>
        </w:tc>
        <w:tc>
          <w:tcPr>
            <w:tcW w:w="2920" w:type="dxa"/>
            <w:vAlign w:val="bottom"/>
          </w:tcPr>
          <w:p>
            <w:pPr>
              <w:jc w:val="right"/>
              <w:ind w:right="234"/>
              <w:spacing w:after="0"/>
              <w:rPr>
                <w:sz w:val="20"/>
                <w:szCs w:val="20"/>
                <w:color w:val="auto"/>
              </w:rPr>
            </w:pPr>
            <w:r>
              <w:rPr>
                <w:rFonts w:ascii="Arial" w:cs="Arial" w:eastAsia="Arial" w:hAnsi="Arial"/>
                <w:sz w:val="17"/>
                <w:szCs w:val="17"/>
                <w:b w:val="1"/>
                <w:bCs w:val="1"/>
                <w:color w:val="auto"/>
              </w:rPr>
              <w:t>$3,247</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$3,767</w:t>
            </w:r>
          </w:p>
        </w:tc>
      </w:tr>
      <w:tr>
        <w:trPr>
          <w:trHeight w:val="194"/>
        </w:trPr>
        <w:tc>
          <w:tcPr>
            <w:tcW w:w="7580" w:type="dxa"/>
            <w:vAlign w:val="bottom"/>
            <w:gridSpan w:val="2"/>
          </w:tcPr>
          <w:p>
            <w:pPr>
              <w:spacing w:after="0" w:line="194" w:lineRule="exact"/>
              <w:rPr>
                <w:sz w:val="20"/>
                <w:szCs w:val="20"/>
                <w:color w:val="auto"/>
              </w:rPr>
            </w:pPr>
            <w:r>
              <w:rPr>
                <w:rFonts w:ascii="Arial" w:cs="Arial" w:eastAsia="Arial" w:hAnsi="Arial"/>
                <w:sz w:val="17"/>
                <w:szCs w:val="17"/>
                <w:color w:val="auto"/>
              </w:rPr>
              <w:t>Decrease attributable to application of ASC 606</w:t>
            </w:r>
          </w:p>
        </w:tc>
        <w:tc>
          <w:tcPr>
            <w:tcW w:w="2920" w:type="dxa"/>
            <w:vAlign w:val="bottom"/>
          </w:tcPr>
          <w:p>
            <w:pPr>
              <w:jc w:val="right"/>
              <w:ind w:right="234"/>
              <w:spacing w:after="0" w:line="194" w:lineRule="exact"/>
              <w:rPr>
                <w:sz w:val="20"/>
                <w:szCs w:val="20"/>
                <w:color w:val="auto"/>
              </w:rPr>
            </w:pPr>
            <w:r>
              <w:rPr>
                <w:rFonts w:ascii="Arial" w:cs="Arial" w:eastAsia="Arial" w:hAnsi="Arial"/>
                <w:sz w:val="17"/>
                <w:szCs w:val="17"/>
                <w:b w:val="1"/>
                <w:bCs w:val="1"/>
                <w:color w:val="auto"/>
              </w:rPr>
              <w:t>(327)</w:t>
            </w:r>
          </w:p>
        </w:tc>
        <w:tc>
          <w:tcPr>
            <w:tcW w:w="92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7580" w:type="dxa"/>
            <w:vAlign w:val="bottom"/>
            <w:gridSpan w:val="2"/>
          </w:tcPr>
          <w:p>
            <w:pPr>
              <w:spacing w:after="0" w:line="194" w:lineRule="exact"/>
              <w:rPr>
                <w:sz w:val="20"/>
                <w:szCs w:val="20"/>
                <w:color w:val="auto"/>
              </w:rPr>
            </w:pPr>
            <w:r>
              <w:rPr>
                <w:rFonts w:ascii="Arial" w:cs="Arial" w:eastAsia="Arial" w:hAnsi="Arial"/>
                <w:sz w:val="17"/>
                <w:szCs w:val="17"/>
                <w:color w:val="auto"/>
              </w:rPr>
              <w:t>Net income attributable to noncontrolling interest</w:t>
            </w:r>
          </w:p>
        </w:tc>
        <w:tc>
          <w:tcPr>
            <w:tcW w:w="2920" w:type="dxa"/>
            <w:vAlign w:val="bottom"/>
          </w:tcPr>
          <w:p>
            <w:pPr>
              <w:jc w:val="right"/>
              <w:ind w:right="234"/>
              <w:spacing w:after="0" w:line="194" w:lineRule="exact"/>
              <w:rPr>
                <w:sz w:val="20"/>
                <w:szCs w:val="20"/>
                <w:color w:val="auto"/>
              </w:rPr>
            </w:pPr>
            <w:r>
              <w:rPr>
                <w:rFonts w:ascii="Arial" w:cs="Arial" w:eastAsia="Arial" w:hAnsi="Arial"/>
                <w:sz w:val="17"/>
                <w:szCs w:val="17"/>
                <w:b w:val="1"/>
                <w:bCs w:val="1"/>
                <w:color w:val="auto"/>
              </w:rPr>
              <w:t>178</w:t>
            </w:r>
          </w:p>
        </w:tc>
        <w:tc>
          <w:tcPr>
            <w:tcW w:w="9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251</w:t>
            </w:r>
          </w:p>
        </w:tc>
        <w:tc>
          <w:tcPr>
            <w:tcW w:w="20" w:type="dxa"/>
            <w:vAlign w:val="bottom"/>
          </w:tcPr>
          <w:p>
            <w:pPr>
              <w:spacing w:after="0"/>
              <w:rPr>
                <w:sz w:val="16"/>
                <w:szCs w:val="16"/>
                <w:color w:val="auto"/>
              </w:rPr>
            </w:pPr>
          </w:p>
        </w:tc>
      </w:tr>
      <w:tr>
        <w:trPr>
          <w:trHeight w:val="216"/>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Changes in other comprehensive income attributable to noncontrolling interest</w:t>
            </w:r>
          </w:p>
        </w:tc>
        <w:tc>
          <w:tcPr>
            <w:tcW w:w="29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4</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r>
      <w:tr>
        <w:trPr>
          <w:trHeight w:val="186"/>
        </w:trPr>
        <w:tc>
          <w:tcPr>
            <w:tcW w:w="758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color w:val="auto"/>
              </w:rPr>
              <w:t>Noncontrolling interest</w:t>
            </w:r>
          </w:p>
        </w:tc>
        <w:tc>
          <w:tcPr>
            <w:tcW w:w="2920" w:type="dxa"/>
            <w:vAlign w:val="bottom"/>
            <w:tcBorders>
              <w:bottom w:val="single" w:sz="8" w:color="auto"/>
            </w:tcBorders>
          </w:tcPr>
          <w:p>
            <w:pPr>
              <w:jc w:val="right"/>
              <w:ind w:right="234"/>
              <w:spacing w:after="0" w:line="186" w:lineRule="exact"/>
              <w:rPr>
                <w:sz w:val="20"/>
                <w:szCs w:val="20"/>
                <w:color w:val="auto"/>
              </w:rPr>
            </w:pPr>
            <w:r>
              <w:rPr>
                <w:rFonts w:ascii="Arial" w:cs="Arial" w:eastAsia="Arial" w:hAnsi="Arial"/>
                <w:sz w:val="17"/>
                <w:szCs w:val="17"/>
                <w:b w:val="1"/>
                <w:bCs w:val="1"/>
                <w:color w:val="auto"/>
              </w:rPr>
              <w:t>$3,102</w:t>
            </w:r>
          </w:p>
        </w:tc>
        <w:tc>
          <w:tcPr>
            <w:tcW w:w="94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$4,031</w:t>
            </w:r>
          </w:p>
        </w:tc>
        <w:tc>
          <w:tcPr>
            <w:tcW w:w="20" w:type="dxa"/>
            <w:vAlign w:val="bottom"/>
            <w:tcBorders>
              <w:bottom w:val="single" w:sz="8" w:color="auto"/>
            </w:tcBorders>
          </w:tcPr>
          <w:p>
            <w:pPr>
              <w:spacing w:after="0"/>
              <w:rPr>
                <w:sz w:val="16"/>
                <w:szCs w:val="16"/>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Accumulated Other Comprehensive Income (AOCI)</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presents changes in the components of AOCI for the period December 31, 2017 to June 30, 2018:</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center"/>
              <w:ind w:right="34"/>
              <w:spacing w:after="0" w:line="184" w:lineRule="exact"/>
              <w:rPr>
                <w:sz w:val="20"/>
                <w:szCs w:val="20"/>
                <w:color w:val="auto"/>
              </w:rPr>
            </w:pPr>
            <w:r>
              <w:rPr>
                <w:rFonts w:ascii="Arial" w:cs="Arial" w:eastAsia="Arial" w:hAnsi="Arial"/>
                <w:sz w:val="17"/>
                <w:szCs w:val="17"/>
                <w:b w:val="1"/>
                <w:bCs w:val="1"/>
                <w:color w:val="auto"/>
              </w:rPr>
              <w:t>Pension and</w:t>
            </w:r>
          </w:p>
        </w:tc>
        <w:tc>
          <w:tcPr>
            <w:tcW w:w="1300" w:type="dxa"/>
            <w:vAlign w:val="bottom"/>
            <w:tcBorders>
              <w:top w:val="single" w:sz="8" w:color="auto"/>
            </w:tcBorders>
          </w:tcPr>
          <w:p>
            <w:pPr>
              <w:jc w:val="center"/>
              <w:ind w:right="134"/>
              <w:spacing w:after="0" w:line="184" w:lineRule="exact"/>
              <w:rPr>
                <w:sz w:val="20"/>
                <w:szCs w:val="20"/>
                <w:color w:val="auto"/>
              </w:rPr>
            </w:pPr>
            <w:r>
              <w:rPr>
                <w:rFonts w:ascii="Arial" w:cs="Arial" w:eastAsia="Arial" w:hAnsi="Arial"/>
                <w:sz w:val="17"/>
                <w:szCs w:val="17"/>
                <w:b w:val="1"/>
                <w:bCs w:val="1"/>
                <w:color w:val="auto"/>
              </w:rPr>
              <w:t>Derivative</w:t>
            </w:r>
          </w:p>
        </w:tc>
        <w:tc>
          <w:tcPr>
            <w:tcW w:w="1680" w:type="dxa"/>
            <w:vAlign w:val="bottom"/>
            <w:tcBorders>
              <w:top w:val="single" w:sz="8" w:color="auto"/>
            </w:tcBorders>
          </w:tcPr>
          <w:p>
            <w:pPr>
              <w:jc w:val="center"/>
              <w:ind w:right="54"/>
              <w:spacing w:after="0" w:line="184" w:lineRule="exact"/>
              <w:rPr>
                <w:sz w:val="20"/>
                <w:szCs w:val="20"/>
                <w:color w:val="auto"/>
              </w:rPr>
            </w:pPr>
            <w:r>
              <w:rPr>
                <w:rFonts w:ascii="Arial" w:cs="Arial" w:eastAsia="Arial" w:hAnsi="Arial"/>
                <w:sz w:val="17"/>
                <w:szCs w:val="17"/>
                <w:b w:val="1"/>
                <w:bCs w:val="1"/>
                <w:color w:val="auto"/>
                <w:w w:val="99"/>
              </w:rPr>
              <w:t>Total Other</w:t>
            </w:r>
          </w:p>
        </w:tc>
        <w:tc>
          <w:tcPr>
            <w:tcW w:w="40" w:type="dxa"/>
            <w:vAlign w:val="bottom"/>
            <w:gridSpan w:val="2"/>
          </w:tcPr>
          <w:p>
            <w:pPr>
              <w:spacing w:after="0"/>
              <w:rPr>
                <w:sz w:val="15"/>
                <w:szCs w:val="15"/>
                <w:color w:val="auto"/>
              </w:rPr>
            </w:pPr>
          </w:p>
        </w:tc>
      </w:tr>
      <w:tr>
        <w:trPr>
          <w:trHeight w:val="194"/>
        </w:trPr>
        <w:tc>
          <w:tcPr>
            <w:tcW w:w="5180" w:type="dxa"/>
            <w:vAlign w:val="bottom"/>
          </w:tcPr>
          <w:p>
            <w:pPr>
              <w:spacing w:after="0"/>
              <w:rPr>
                <w:sz w:val="16"/>
                <w:szCs w:val="16"/>
                <w:color w:val="auto"/>
              </w:rPr>
            </w:pPr>
          </w:p>
        </w:tc>
        <w:tc>
          <w:tcPr>
            <w:tcW w:w="1480" w:type="dxa"/>
            <w:vAlign w:val="bottom"/>
          </w:tcPr>
          <w:p>
            <w:pPr>
              <w:jc w:val="right"/>
              <w:ind w:right="274"/>
              <w:spacing w:after="0" w:line="194" w:lineRule="exact"/>
              <w:rPr>
                <w:sz w:val="20"/>
                <w:szCs w:val="20"/>
                <w:color w:val="auto"/>
              </w:rPr>
            </w:pPr>
            <w:r>
              <w:rPr>
                <w:rFonts w:ascii="Arial" w:cs="Arial" w:eastAsia="Arial" w:hAnsi="Arial"/>
                <w:sz w:val="17"/>
                <w:szCs w:val="17"/>
                <w:b w:val="1"/>
                <w:bCs w:val="1"/>
                <w:color w:val="auto"/>
              </w:rPr>
              <w:t>Translation</w:t>
            </w:r>
          </w:p>
        </w:tc>
        <w:tc>
          <w:tcPr>
            <w:tcW w:w="178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postretirement</w:t>
            </w:r>
          </w:p>
        </w:tc>
        <w:tc>
          <w:tcPr>
            <w:tcW w:w="1300" w:type="dxa"/>
            <w:vAlign w:val="bottom"/>
          </w:tcPr>
          <w:p>
            <w:pPr>
              <w:jc w:val="center"/>
              <w:ind w:right="134"/>
              <w:spacing w:after="0" w:line="194" w:lineRule="exact"/>
              <w:rPr>
                <w:sz w:val="20"/>
                <w:szCs w:val="20"/>
                <w:color w:val="auto"/>
              </w:rPr>
            </w:pPr>
            <w:r>
              <w:rPr>
                <w:rFonts w:ascii="Arial" w:cs="Arial" w:eastAsia="Arial" w:hAnsi="Arial"/>
                <w:sz w:val="17"/>
                <w:szCs w:val="17"/>
                <w:b w:val="1"/>
                <w:bCs w:val="1"/>
                <w:color w:val="auto"/>
              </w:rPr>
              <w:t>valuation</w:t>
            </w:r>
          </w:p>
        </w:tc>
        <w:tc>
          <w:tcPr>
            <w:tcW w:w="1720" w:type="dxa"/>
            <w:vAlign w:val="bottom"/>
            <w:gridSpan w:val="3"/>
          </w:tcPr>
          <w:p>
            <w:pPr>
              <w:jc w:val="center"/>
              <w:ind w:right="180"/>
              <w:spacing w:after="0" w:line="194" w:lineRule="exact"/>
              <w:rPr>
                <w:sz w:val="20"/>
                <w:szCs w:val="20"/>
                <w:color w:val="auto"/>
              </w:rPr>
            </w:pPr>
            <w:r>
              <w:rPr>
                <w:rFonts w:ascii="Arial" w:cs="Arial" w:eastAsia="Arial" w:hAnsi="Arial"/>
                <w:sz w:val="17"/>
                <w:szCs w:val="17"/>
                <w:b w:val="1"/>
                <w:bCs w:val="1"/>
                <w:color w:val="auto"/>
              </w:rPr>
              <w:t>Comprehensive</w:t>
            </w:r>
          </w:p>
        </w:tc>
      </w:tr>
      <w:tr>
        <w:trPr>
          <w:trHeight w:val="216"/>
        </w:trPr>
        <w:tc>
          <w:tcPr>
            <w:tcW w:w="518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480" w:type="dxa"/>
            <w:vAlign w:val="bottom"/>
          </w:tcPr>
          <w:p>
            <w:pPr>
              <w:jc w:val="right"/>
              <w:ind w:right="234"/>
              <w:spacing w:after="0"/>
              <w:rPr>
                <w:sz w:val="20"/>
                <w:szCs w:val="20"/>
                <w:color w:val="auto"/>
              </w:rPr>
            </w:pPr>
            <w:r>
              <w:rPr>
                <w:rFonts w:ascii="Arial" w:cs="Arial" w:eastAsia="Arial" w:hAnsi="Arial"/>
                <w:sz w:val="17"/>
                <w:szCs w:val="17"/>
                <w:b w:val="1"/>
                <w:bCs w:val="1"/>
                <w:color w:val="auto"/>
              </w:rPr>
              <w:t>adjustments</w:t>
            </w:r>
          </w:p>
        </w:tc>
        <w:tc>
          <w:tcPr>
            <w:tcW w:w="1780" w:type="dxa"/>
            <w:vAlign w:val="bottom"/>
          </w:tcPr>
          <w:p>
            <w:pPr>
              <w:jc w:val="center"/>
              <w:ind w:right="34"/>
              <w:spacing w:after="0"/>
              <w:rPr>
                <w:sz w:val="20"/>
                <w:szCs w:val="20"/>
                <w:color w:val="auto"/>
              </w:rPr>
            </w:pPr>
            <w:r>
              <w:rPr>
                <w:rFonts w:ascii="Arial" w:cs="Arial" w:eastAsia="Arial" w:hAnsi="Arial"/>
                <w:sz w:val="17"/>
                <w:szCs w:val="17"/>
                <w:b w:val="1"/>
                <w:bCs w:val="1"/>
                <w:color w:val="auto"/>
              </w:rPr>
              <w:t>liability adjustments</w:t>
            </w:r>
          </w:p>
        </w:tc>
        <w:tc>
          <w:tcPr>
            <w:tcW w:w="1300" w:type="dxa"/>
            <w:vAlign w:val="bottom"/>
          </w:tcPr>
          <w:p>
            <w:pPr>
              <w:jc w:val="center"/>
              <w:ind w:right="134"/>
              <w:spacing w:after="0"/>
              <w:rPr>
                <w:sz w:val="20"/>
                <w:szCs w:val="20"/>
                <w:color w:val="auto"/>
              </w:rPr>
            </w:pPr>
            <w:r>
              <w:rPr>
                <w:rFonts w:ascii="Arial" w:cs="Arial" w:eastAsia="Arial" w:hAnsi="Arial"/>
                <w:sz w:val="17"/>
                <w:szCs w:val="17"/>
                <w:b w:val="1"/>
                <w:bCs w:val="1"/>
                <w:color w:val="auto"/>
              </w:rPr>
              <w:t>adjustment</w:t>
            </w:r>
          </w:p>
        </w:tc>
        <w:tc>
          <w:tcPr>
            <w:tcW w:w="172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rPr>
              <w:t>Income</w:t>
            </w:r>
          </w:p>
        </w:tc>
      </w:tr>
      <w:tr>
        <w:trPr>
          <w:trHeight w:val="186"/>
        </w:trPr>
        <w:tc>
          <w:tcPr>
            <w:tcW w:w="518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December 31, 2017</w:t>
            </w:r>
          </w:p>
        </w:tc>
        <w:tc>
          <w:tcPr>
            <w:tcW w:w="148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($87,318)</w:t>
            </w:r>
          </w:p>
        </w:tc>
        <w:tc>
          <w:tcPr>
            <w:tcW w:w="178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($50,536)</w:t>
            </w:r>
          </w:p>
        </w:tc>
        <w:tc>
          <w:tcPr>
            <w:tcW w:w="1300" w:type="dxa"/>
            <w:vAlign w:val="bottom"/>
            <w:tcBorders>
              <w:top w:val="single" w:sz="8" w:color="auto"/>
            </w:tcBorders>
          </w:tcPr>
          <w:p>
            <w:pPr>
              <w:jc w:val="right"/>
              <w:ind w:right="54"/>
              <w:spacing w:after="0" w:line="186" w:lineRule="exact"/>
              <w:rPr>
                <w:sz w:val="20"/>
                <w:szCs w:val="20"/>
                <w:color w:val="auto"/>
              </w:rPr>
            </w:pPr>
            <w:r>
              <w:rPr>
                <w:rFonts w:ascii="Arial" w:cs="Arial" w:eastAsia="Arial" w:hAnsi="Arial"/>
                <w:sz w:val="17"/>
                <w:szCs w:val="17"/>
                <w:b w:val="1"/>
                <w:bCs w:val="1"/>
                <w:color w:val="auto"/>
              </w:rPr>
              <w:t>$1,953</w:t>
            </w:r>
          </w:p>
        </w:tc>
        <w:tc>
          <w:tcPr>
            <w:tcW w:w="168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($135,901)</w:t>
            </w:r>
          </w:p>
        </w:tc>
        <w:tc>
          <w:tcPr>
            <w:tcW w:w="40" w:type="dxa"/>
            <w:vAlign w:val="bottom"/>
            <w:gridSpan w:val="2"/>
          </w:tcPr>
          <w:p>
            <w:pPr>
              <w:spacing w:after="0"/>
              <w:rPr>
                <w:sz w:val="16"/>
                <w:szCs w:val="16"/>
                <w:color w:val="auto"/>
              </w:rPr>
            </w:pPr>
          </w:p>
        </w:tc>
      </w:tr>
      <w:tr>
        <w:trPr>
          <w:trHeight w:val="186"/>
        </w:trPr>
        <w:tc>
          <w:tcPr>
            <w:tcW w:w="518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Other comprehensive income/(loss) before reclassifications</w:t>
            </w:r>
          </w:p>
        </w:tc>
        <w:tc>
          <w:tcPr>
            <w:tcW w:w="148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(15,570)</w:t>
            </w:r>
          </w:p>
        </w:tc>
        <w:tc>
          <w:tcPr>
            <w:tcW w:w="178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2,224</w:t>
            </w:r>
          </w:p>
        </w:tc>
        <w:tc>
          <w:tcPr>
            <w:tcW w:w="1300" w:type="dxa"/>
            <w:vAlign w:val="bottom"/>
            <w:tcBorders>
              <w:top w:val="single" w:sz="8" w:color="auto"/>
            </w:tcBorders>
          </w:tcPr>
          <w:p>
            <w:pPr>
              <w:jc w:val="right"/>
              <w:ind w:right="54"/>
              <w:spacing w:after="0" w:line="185" w:lineRule="exact"/>
              <w:rPr>
                <w:sz w:val="20"/>
                <w:szCs w:val="20"/>
                <w:color w:val="auto"/>
              </w:rPr>
            </w:pPr>
            <w:r>
              <w:rPr>
                <w:rFonts w:ascii="Arial" w:cs="Arial" w:eastAsia="Arial" w:hAnsi="Arial"/>
                <w:sz w:val="17"/>
                <w:szCs w:val="17"/>
                <w:color w:val="auto"/>
              </w:rPr>
              <w:t>6,024</w:t>
            </w:r>
          </w:p>
        </w:tc>
        <w:tc>
          <w:tcPr>
            <w:tcW w:w="1700" w:type="dxa"/>
            <w:vAlign w:val="bottom"/>
            <w:tcBorders>
              <w:top w:val="single" w:sz="8" w:color="auto"/>
            </w:tcBorders>
            <w:gridSpan w:val="2"/>
          </w:tcPr>
          <w:p>
            <w:pPr>
              <w:jc w:val="right"/>
              <w:ind w:right="20"/>
              <w:spacing w:after="0" w:line="185" w:lineRule="exact"/>
              <w:rPr>
                <w:sz w:val="20"/>
                <w:szCs w:val="20"/>
                <w:color w:val="auto"/>
              </w:rPr>
            </w:pPr>
            <w:r>
              <w:rPr>
                <w:rFonts w:ascii="Arial" w:cs="Arial" w:eastAsia="Arial" w:hAnsi="Arial"/>
                <w:sz w:val="17"/>
                <w:szCs w:val="17"/>
                <w:color w:val="auto"/>
              </w:rPr>
              <w:t>(7,322)</w:t>
            </w:r>
          </w:p>
        </w:tc>
        <w:tc>
          <w:tcPr>
            <w:tcW w:w="20" w:type="dxa"/>
            <w:vAlign w:val="bottom"/>
          </w:tcPr>
          <w:p>
            <w:pPr>
              <w:spacing w:after="0"/>
              <w:rPr>
                <w:sz w:val="16"/>
                <w:szCs w:val="16"/>
                <w:color w:val="auto"/>
              </w:rPr>
            </w:pPr>
          </w:p>
        </w:tc>
      </w:tr>
      <w:tr>
        <w:trPr>
          <w:trHeight w:val="194"/>
        </w:trPr>
        <w:tc>
          <w:tcPr>
            <w:tcW w:w="5180" w:type="dxa"/>
            <w:vAlign w:val="bottom"/>
          </w:tcPr>
          <w:p>
            <w:pPr>
              <w:spacing w:after="0" w:line="194" w:lineRule="exact"/>
              <w:rPr>
                <w:sz w:val="20"/>
                <w:szCs w:val="20"/>
                <w:color w:val="auto"/>
              </w:rPr>
            </w:pPr>
            <w:r>
              <w:rPr>
                <w:rFonts w:ascii="Arial" w:cs="Arial" w:eastAsia="Arial" w:hAnsi="Arial"/>
                <w:sz w:val="17"/>
                <w:szCs w:val="17"/>
                <w:color w:val="auto"/>
              </w:rPr>
              <w:t>Pension/postretirement curtailment gain, net of tax</w:t>
            </w:r>
          </w:p>
        </w:tc>
        <w:tc>
          <w:tcPr>
            <w:tcW w:w="1480" w:type="dxa"/>
            <w:vAlign w:val="bottom"/>
          </w:tcPr>
          <w:p>
            <w:pPr>
              <w:spacing w:after="0"/>
              <w:rPr>
                <w:sz w:val="16"/>
                <w:szCs w:val="16"/>
                <w:color w:val="auto"/>
              </w:rPr>
            </w:pPr>
          </w:p>
        </w:tc>
        <w:tc>
          <w:tcPr>
            <w:tcW w:w="1780" w:type="dxa"/>
            <w:vAlign w:val="bottom"/>
          </w:tcPr>
          <w:p>
            <w:pPr>
              <w:jc w:val="right"/>
              <w:spacing w:after="0" w:line="194" w:lineRule="exact"/>
              <w:rPr>
                <w:sz w:val="20"/>
                <w:szCs w:val="20"/>
                <w:color w:val="auto"/>
              </w:rPr>
            </w:pPr>
            <w:r>
              <w:rPr>
                <w:rFonts w:ascii="Arial" w:cs="Arial" w:eastAsia="Arial" w:hAnsi="Arial"/>
                <w:sz w:val="17"/>
                <w:szCs w:val="17"/>
                <w:color w:val="auto"/>
              </w:rPr>
              <w:t>(363)</w:t>
            </w:r>
          </w:p>
        </w:tc>
        <w:tc>
          <w:tcPr>
            <w:tcW w:w="1300" w:type="dxa"/>
            <w:vAlign w:val="bottom"/>
          </w:tcPr>
          <w:p>
            <w:pPr>
              <w:spacing w:after="0"/>
              <w:rPr>
                <w:sz w:val="16"/>
                <w:szCs w:val="16"/>
                <w:color w:val="auto"/>
              </w:rPr>
            </w:pPr>
          </w:p>
        </w:tc>
        <w:tc>
          <w:tcPr>
            <w:tcW w:w="17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(363)</w:t>
            </w:r>
          </w:p>
        </w:tc>
        <w:tc>
          <w:tcPr>
            <w:tcW w:w="20" w:type="dxa"/>
            <w:vAlign w:val="bottom"/>
          </w:tcPr>
          <w:p>
            <w:pPr>
              <w:spacing w:after="0"/>
              <w:rPr>
                <w:sz w:val="16"/>
                <w:szCs w:val="16"/>
                <w:color w:val="auto"/>
              </w:rPr>
            </w:pPr>
          </w:p>
        </w:tc>
      </w:tr>
      <w:tr>
        <w:trPr>
          <w:trHeight w:val="194"/>
        </w:trPr>
        <w:tc>
          <w:tcPr>
            <w:tcW w:w="5180" w:type="dxa"/>
            <w:vAlign w:val="bottom"/>
          </w:tcPr>
          <w:p>
            <w:pPr>
              <w:spacing w:after="0" w:line="194" w:lineRule="exact"/>
              <w:rPr>
                <w:sz w:val="20"/>
                <w:szCs w:val="20"/>
                <w:color w:val="auto"/>
              </w:rPr>
            </w:pPr>
            <w:r>
              <w:rPr>
                <w:rFonts w:ascii="Arial" w:cs="Arial" w:eastAsia="Arial" w:hAnsi="Arial"/>
                <w:sz w:val="17"/>
                <w:szCs w:val="17"/>
                <w:color w:val="auto"/>
              </w:rPr>
              <w:t>Interest expense related to swaps reclassified to the Consolidated</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180" w:type="dxa"/>
            <w:vAlign w:val="bottom"/>
          </w:tcPr>
          <w:p>
            <w:pPr>
              <w:spacing w:after="0" w:line="194" w:lineRule="exact"/>
              <w:rPr>
                <w:sz w:val="20"/>
                <w:szCs w:val="20"/>
                <w:color w:val="auto"/>
              </w:rPr>
            </w:pPr>
            <w:r>
              <w:rPr>
                <w:rFonts w:ascii="Arial" w:cs="Arial" w:eastAsia="Arial" w:hAnsi="Arial"/>
                <w:sz w:val="17"/>
                <w:szCs w:val="17"/>
                <w:color w:val="auto"/>
              </w:rPr>
              <w:t>Statements of Income, net of tax</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jc w:val="right"/>
              <w:ind w:right="54"/>
              <w:spacing w:after="0" w:line="194" w:lineRule="exact"/>
              <w:rPr>
                <w:sz w:val="20"/>
                <w:szCs w:val="20"/>
                <w:color w:val="auto"/>
              </w:rPr>
            </w:pPr>
            <w:r>
              <w:rPr>
                <w:rFonts w:ascii="Arial" w:cs="Arial" w:eastAsia="Arial" w:hAnsi="Arial"/>
                <w:sz w:val="17"/>
                <w:szCs w:val="17"/>
                <w:color w:val="auto"/>
              </w:rPr>
              <w:t>178</w:t>
            </w:r>
          </w:p>
        </w:tc>
        <w:tc>
          <w:tcPr>
            <w:tcW w:w="17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178</w:t>
            </w:r>
          </w:p>
        </w:tc>
        <w:tc>
          <w:tcPr>
            <w:tcW w:w="20" w:type="dxa"/>
            <w:vAlign w:val="bottom"/>
          </w:tcPr>
          <w:p>
            <w:pPr>
              <w:spacing w:after="0"/>
              <w:rPr>
                <w:sz w:val="16"/>
                <w:szCs w:val="16"/>
                <w:color w:val="auto"/>
              </w:rPr>
            </w:pPr>
          </w:p>
        </w:tc>
      </w:tr>
      <w:tr>
        <w:trPr>
          <w:trHeight w:val="194"/>
        </w:trPr>
        <w:tc>
          <w:tcPr>
            <w:tcW w:w="5180" w:type="dxa"/>
            <w:vAlign w:val="bottom"/>
          </w:tcPr>
          <w:p>
            <w:pPr>
              <w:spacing w:after="0" w:line="194" w:lineRule="exact"/>
              <w:rPr>
                <w:sz w:val="20"/>
                <w:szCs w:val="20"/>
                <w:color w:val="auto"/>
              </w:rPr>
            </w:pPr>
            <w:r>
              <w:rPr>
                <w:rFonts w:ascii="Arial" w:cs="Arial" w:eastAsia="Arial" w:hAnsi="Arial"/>
                <w:sz w:val="17"/>
                <w:szCs w:val="17"/>
                <w:color w:val="auto"/>
              </w:rPr>
              <w:t>Pension and postretirement liability adjustments reclassified to</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18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Consolidated Statements of Income, net of tax</w:t>
            </w:r>
          </w:p>
        </w:tc>
        <w:tc>
          <w:tcPr>
            <w:tcW w:w="1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253</w:t>
            </w:r>
          </w:p>
        </w:tc>
        <w:tc>
          <w:tcPr>
            <w:tcW w:w="1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253</w:t>
            </w:r>
          </w:p>
        </w:tc>
        <w:tc>
          <w:tcPr>
            <w:tcW w:w="20" w:type="dxa"/>
            <w:vAlign w:val="bottom"/>
          </w:tcPr>
          <w:p>
            <w:pPr>
              <w:spacing w:after="0"/>
              <w:rPr>
                <w:sz w:val="16"/>
                <w:szCs w:val="16"/>
                <w:color w:val="auto"/>
              </w:rPr>
            </w:pPr>
          </w:p>
        </w:tc>
      </w:tr>
      <w:tr>
        <w:trPr>
          <w:trHeight w:val="186"/>
        </w:trPr>
        <w:tc>
          <w:tcPr>
            <w:tcW w:w="51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Net current period other comprehensive income</w:t>
            </w:r>
          </w:p>
        </w:tc>
        <w:tc>
          <w:tcPr>
            <w:tcW w:w="14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(15,570)</w:t>
            </w:r>
          </w:p>
        </w:tc>
        <w:tc>
          <w:tcPr>
            <w:tcW w:w="1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2,114</w:t>
            </w:r>
          </w:p>
        </w:tc>
        <w:tc>
          <w:tcPr>
            <w:tcW w:w="130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7"/>
                <w:szCs w:val="17"/>
                <w:color w:val="auto"/>
              </w:rPr>
              <w:t>6,202</w:t>
            </w:r>
          </w:p>
        </w:tc>
        <w:tc>
          <w:tcPr>
            <w:tcW w:w="170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(7,254)</w:t>
            </w:r>
          </w:p>
        </w:tc>
        <w:tc>
          <w:tcPr>
            <w:tcW w:w="20" w:type="dxa"/>
            <w:vAlign w:val="bottom"/>
          </w:tcPr>
          <w:p>
            <w:pPr>
              <w:spacing w:after="0"/>
              <w:rPr>
                <w:sz w:val="16"/>
                <w:szCs w:val="16"/>
                <w:color w:val="auto"/>
              </w:rPr>
            </w:pPr>
          </w:p>
        </w:tc>
      </w:tr>
      <w:tr>
        <w:trPr>
          <w:trHeight w:val="186"/>
        </w:trPr>
        <w:tc>
          <w:tcPr>
            <w:tcW w:w="51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June 30, 2018</w:t>
            </w:r>
          </w:p>
        </w:tc>
        <w:tc>
          <w:tcPr>
            <w:tcW w:w="14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($102,888)</w:t>
            </w:r>
          </w:p>
        </w:tc>
        <w:tc>
          <w:tcPr>
            <w:tcW w:w="1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($48,422)</w:t>
            </w:r>
          </w:p>
        </w:tc>
        <w:tc>
          <w:tcPr>
            <w:tcW w:w="130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7"/>
                <w:szCs w:val="17"/>
                <w:b w:val="1"/>
                <w:bCs w:val="1"/>
                <w:color w:val="auto"/>
              </w:rPr>
              <w:t>$8,155</w:t>
            </w:r>
          </w:p>
        </w:tc>
        <w:tc>
          <w:tcPr>
            <w:tcW w:w="170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($143,155)</w:t>
            </w:r>
          </w:p>
        </w:tc>
        <w:tc>
          <w:tcPr>
            <w:tcW w:w="20" w:type="dxa"/>
            <w:vAlign w:val="bottom"/>
            <w:tcBorders>
              <w:bottom w:val="single" w:sz="8" w:color="auto"/>
            </w:tcBorders>
          </w:tcPr>
          <w:p>
            <w:pPr>
              <w:spacing w:after="0"/>
              <w:rPr>
                <w:sz w:val="16"/>
                <w:szCs w:val="16"/>
                <w:color w:val="auto"/>
              </w:rPr>
            </w:pPr>
          </w:p>
        </w:tc>
      </w:tr>
    </w:tbl>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presents changes in the components of AOCI for the period December 31, 2016 to June 30, 2017:</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82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5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center"/>
              <w:ind w:right="34"/>
              <w:spacing w:after="0" w:line="184" w:lineRule="exact"/>
              <w:rPr>
                <w:sz w:val="20"/>
                <w:szCs w:val="20"/>
                <w:color w:val="auto"/>
              </w:rPr>
            </w:pPr>
            <w:r>
              <w:rPr>
                <w:rFonts w:ascii="Arial" w:cs="Arial" w:eastAsia="Arial" w:hAnsi="Arial"/>
                <w:sz w:val="17"/>
                <w:szCs w:val="17"/>
                <w:b w:val="1"/>
                <w:bCs w:val="1"/>
                <w:color w:val="auto"/>
              </w:rPr>
              <w:t>Pension and</w:t>
            </w:r>
          </w:p>
        </w:tc>
        <w:tc>
          <w:tcPr>
            <w:tcW w:w="1300" w:type="dxa"/>
            <w:vAlign w:val="bottom"/>
            <w:tcBorders>
              <w:top w:val="single" w:sz="8" w:color="auto"/>
            </w:tcBorders>
          </w:tcPr>
          <w:p>
            <w:pPr>
              <w:jc w:val="center"/>
              <w:ind w:right="134"/>
              <w:spacing w:after="0" w:line="184" w:lineRule="exact"/>
              <w:rPr>
                <w:sz w:val="20"/>
                <w:szCs w:val="20"/>
                <w:color w:val="auto"/>
              </w:rPr>
            </w:pPr>
            <w:r>
              <w:rPr>
                <w:rFonts w:ascii="Arial" w:cs="Arial" w:eastAsia="Arial" w:hAnsi="Arial"/>
                <w:sz w:val="17"/>
                <w:szCs w:val="17"/>
                <w:b w:val="1"/>
                <w:bCs w:val="1"/>
                <w:color w:val="auto"/>
              </w:rPr>
              <w:t>Derivative</w:t>
            </w:r>
          </w:p>
        </w:tc>
        <w:tc>
          <w:tcPr>
            <w:tcW w:w="1680" w:type="dxa"/>
            <w:vAlign w:val="bottom"/>
            <w:tcBorders>
              <w:top w:val="single" w:sz="8" w:color="auto"/>
            </w:tcBorders>
          </w:tcPr>
          <w:p>
            <w:pPr>
              <w:jc w:val="center"/>
              <w:ind w:right="54"/>
              <w:spacing w:after="0" w:line="184" w:lineRule="exact"/>
              <w:rPr>
                <w:sz w:val="20"/>
                <w:szCs w:val="20"/>
                <w:color w:val="auto"/>
              </w:rPr>
            </w:pPr>
            <w:r>
              <w:rPr>
                <w:rFonts w:ascii="Arial" w:cs="Arial" w:eastAsia="Arial" w:hAnsi="Arial"/>
                <w:sz w:val="17"/>
                <w:szCs w:val="17"/>
                <w:b w:val="1"/>
                <w:bCs w:val="1"/>
                <w:color w:val="auto"/>
                <w:w w:val="99"/>
              </w:rPr>
              <w:t>Total Other</w:t>
            </w:r>
          </w:p>
        </w:tc>
        <w:tc>
          <w:tcPr>
            <w:tcW w:w="40" w:type="dxa"/>
            <w:vAlign w:val="bottom"/>
            <w:gridSpan w:val="2"/>
          </w:tcPr>
          <w:p>
            <w:pPr>
              <w:spacing w:after="0"/>
              <w:rPr>
                <w:sz w:val="15"/>
                <w:szCs w:val="15"/>
                <w:color w:val="auto"/>
              </w:rPr>
            </w:pPr>
          </w:p>
        </w:tc>
      </w:tr>
      <w:tr>
        <w:trPr>
          <w:trHeight w:val="194"/>
        </w:trPr>
        <w:tc>
          <w:tcPr>
            <w:tcW w:w="5180" w:type="dxa"/>
            <w:vAlign w:val="bottom"/>
          </w:tcPr>
          <w:p>
            <w:pPr>
              <w:spacing w:after="0"/>
              <w:rPr>
                <w:sz w:val="16"/>
                <w:szCs w:val="16"/>
                <w:color w:val="auto"/>
              </w:rPr>
            </w:pPr>
          </w:p>
        </w:tc>
        <w:tc>
          <w:tcPr>
            <w:tcW w:w="1480" w:type="dxa"/>
            <w:vAlign w:val="bottom"/>
          </w:tcPr>
          <w:p>
            <w:pPr>
              <w:jc w:val="right"/>
              <w:ind w:right="274"/>
              <w:spacing w:after="0" w:line="194" w:lineRule="exact"/>
              <w:rPr>
                <w:sz w:val="20"/>
                <w:szCs w:val="20"/>
                <w:color w:val="auto"/>
              </w:rPr>
            </w:pPr>
            <w:r>
              <w:rPr>
                <w:rFonts w:ascii="Arial" w:cs="Arial" w:eastAsia="Arial" w:hAnsi="Arial"/>
                <w:sz w:val="17"/>
                <w:szCs w:val="17"/>
                <w:b w:val="1"/>
                <w:bCs w:val="1"/>
                <w:color w:val="auto"/>
              </w:rPr>
              <w:t>Translation</w:t>
            </w:r>
          </w:p>
        </w:tc>
        <w:tc>
          <w:tcPr>
            <w:tcW w:w="178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postretirement</w:t>
            </w:r>
          </w:p>
        </w:tc>
        <w:tc>
          <w:tcPr>
            <w:tcW w:w="1300" w:type="dxa"/>
            <w:vAlign w:val="bottom"/>
          </w:tcPr>
          <w:p>
            <w:pPr>
              <w:jc w:val="center"/>
              <w:ind w:right="134"/>
              <w:spacing w:after="0" w:line="194" w:lineRule="exact"/>
              <w:rPr>
                <w:sz w:val="20"/>
                <w:szCs w:val="20"/>
                <w:color w:val="auto"/>
              </w:rPr>
            </w:pPr>
            <w:r>
              <w:rPr>
                <w:rFonts w:ascii="Arial" w:cs="Arial" w:eastAsia="Arial" w:hAnsi="Arial"/>
                <w:sz w:val="17"/>
                <w:szCs w:val="17"/>
                <w:b w:val="1"/>
                <w:bCs w:val="1"/>
                <w:color w:val="auto"/>
              </w:rPr>
              <w:t>valuation</w:t>
            </w:r>
          </w:p>
        </w:tc>
        <w:tc>
          <w:tcPr>
            <w:tcW w:w="1720" w:type="dxa"/>
            <w:vAlign w:val="bottom"/>
            <w:gridSpan w:val="3"/>
          </w:tcPr>
          <w:p>
            <w:pPr>
              <w:jc w:val="center"/>
              <w:ind w:right="180"/>
              <w:spacing w:after="0" w:line="194" w:lineRule="exact"/>
              <w:rPr>
                <w:sz w:val="20"/>
                <w:szCs w:val="20"/>
                <w:color w:val="auto"/>
              </w:rPr>
            </w:pPr>
            <w:r>
              <w:rPr>
                <w:rFonts w:ascii="Arial" w:cs="Arial" w:eastAsia="Arial" w:hAnsi="Arial"/>
                <w:sz w:val="17"/>
                <w:szCs w:val="17"/>
                <w:b w:val="1"/>
                <w:bCs w:val="1"/>
                <w:color w:val="auto"/>
              </w:rPr>
              <w:t>Comprehensive</w:t>
            </w:r>
          </w:p>
        </w:tc>
      </w:tr>
      <w:tr>
        <w:trPr>
          <w:trHeight w:val="216"/>
        </w:trPr>
        <w:tc>
          <w:tcPr>
            <w:tcW w:w="518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480" w:type="dxa"/>
            <w:vAlign w:val="bottom"/>
          </w:tcPr>
          <w:p>
            <w:pPr>
              <w:jc w:val="right"/>
              <w:ind w:right="234"/>
              <w:spacing w:after="0"/>
              <w:rPr>
                <w:sz w:val="20"/>
                <w:szCs w:val="20"/>
                <w:color w:val="auto"/>
              </w:rPr>
            </w:pPr>
            <w:r>
              <w:rPr>
                <w:rFonts w:ascii="Arial" w:cs="Arial" w:eastAsia="Arial" w:hAnsi="Arial"/>
                <w:sz w:val="17"/>
                <w:szCs w:val="17"/>
                <w:b w:val="1"/>
                <w:bCs w:val="1"/>
                <w:color w:val="auto"/>
              </w:rPr>
              <w:t>adjustments</w:t>
            </w:r>
          </w:p>
        </w:tc>
        <w:tc>
          <w:tcPr>
            <w:tcW w:w="1780" w:type="dxa"/>
            <w:vAlign w:val="bottom"/>
          </w:tcPr>
          <w:p>
            <w:pPr>
              <w:jc w:val="center"/>
              <w:ind w:right="34"/>
              <w:spacing w:after="0"/>
              <w:rPr>
                <w:sz w:val="20"/>
                <w:szCs w:val="20"/>
                <w:color w:val="auto"/>
              </w:rPr>
            </w:pPr>
            <w:r>
              <w:rPr>
                <w:rFonts w:ascii="Arial" w:cs="Arial" w:eastAsia="Arial" w:hAnsi="Arial"/>
                <w:sz w:val="17"/>
                <w:szCs w:val="17"/>
                <w:b w:val="1"/>
                <w:bCs w:val="1"/>
                <w:color w:val="auto"/>
              </w:rPr>
              <w:t>liability adjustments</w:t>
            </w:r>
          </w:p>
        </w:tc>
        <w:tc>
          <w:tcPr>
            <w:tcW w:w="1300" w:type="dxa"/>
            <w:vAlign w:val="bottom"/>
          </w:tcPr>
          <w:p>
            <w:pPr>
              <w:jc w:val="center"/>
              <w:ind w:right="134"/>
              <w:spacing w:after="0"/>
              <w:rPr>
                <w:sz w:val="20"/>
                <w:szCs w:val="20"/>
                <w:color w:val="auto"/>
              </w:rPr>
            </w:pPr>
            <w:r>
              <w:rPr>
                <w:rFonts w:ascii="Arial" w:cs="Arial" w:eastAsia="Arial" w:hAnsi="Arial"/>
                <w:sz w:val="17"/>
                <w:szCs w:val="17"/>
                <w:b w:val="1"/>
                <w:bCs w:val="1"/>
                <w:color w:val="auto"/>
              </w:rPr>
              <w:t>adjustment</w:t>
            </w:r>
          </w:p>
        </w:tc>
        <w:tc>
          <w:tcPr>
            <w:tcW w:w="172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rPr>
              <w:t>Income</w:t>
            </w:r>
          </w:p>
        </w:tc>
      </w:tr>
      <w:tr>
        <w:trPr>
          <w:trHeight w:val="186"/>
        </w:trPr>
        <w:tc>
          <w:tcPr>
            <w:tcW w:w="5180" w:type="dxa"/>
            <w:vAlign w:val="bottom"/>
            <w:tcBorders>
              <w:top w:val="single" w:sz="8" w:color="auto"/>
              <w:bottom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December 31, 2016</w:t>
            </w:r>
          </w:p>
        </w:tc>
        <w:tc>
          <w:tcPr>
            <w:tcW w:w="14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($133,298)</w:t>
            </w:r>
          </w:p>
        </w:tc>
        <w:tc>
          <w:tcPr>
            <w:tcW w:w="17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($51,719)</w:t>
            </w:r>
          </w:p>
        </w:tc>
        <w:tc>
          <w:tcPr>
            <w:tcW w:w="1300" w:type="dxa"/>
            <w:vAlign w:val="bottom"/>
            <w:tcBorders>
              <w:top w:val="single" w:sz="8" w:color="auto"/>
              <w:bottom w:val="single" w:sz="8" w:color="auto"/>
            </w:tcBorders>
          </w:tcPr>
          <w:p>
            <w:pPr>
              <w:jc w:val="right"/>
              <w:ind w:right="54"/>
              <w:spacing w:after="0" w:line="186" w:lineRule="exact"/>
              <w:rPr>
                <w:sz w:val="20"/>
                <w:szCs w:val="20"/>
                <w:color w:val="auto"/>
              </w:rPr>
            </w:pPr>
            <w:r>
              <w:rPr>
                <w:rFonts w:ascii="Arial" w:cs="Arial" w:eastAsia="Arial" w:hAnsi="Arial"/>
                <w:sz w:val="17"/>
                <w:szCs w:val="17"/>
                <w:b w:val="1"/>
                <w:bCs w:val="1"/>
                <w:color w:val="auto"/>
              </w:rPr>
              <w:t>$828</w:t>
            </w:r>
          </w:p>
        </w:tc>
        <w:tc>
          <w:tcPr>
            <w:tcW w:w="16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($184,189)</w:t>
            </w:r>
          </w:p>
        </w:tc>
        <w:tc>
          <w:tcPr>
            <w:tcW w:w="40" w:type="dxa"/>
            <w:vAlign w:val="bottom"/>
            <w:tcBorders>
              <w:bottom w:val="single" w:sz="8" w:color="auto"/>
            </w:tcBorders>
            <w:gridSpan w:val="2"/>
          </w:tcPr>
          <w:p>
            <w:pPr>
              <w:spacing w:after="0"/>
              <w:rPr>
                <w:sz w:val="16"/>
                <w:szCs w:val="16"/>
                <w:color w:val="auto"/>
              </w:rPr>
            </w:pPr>
          </w:p>
        </w:tc>
      </w:tr>
      <w:tr>
        <w:trPr>
          <w:trHeight w:val="186"/>
        </w:trPr>
        <w:tc>
          <w:tcPr>
            <w:tcW w:w="5180" w:type="dxa"/>
            <w:vAlign w:val="bottom"/>
          </w:tcPr>
          <w:p>
            <w:pPr>
              <w:spacing w:after="0" w:line="185" w:lineRule="exact"/>
              <w:rPr>
                <w:sz w:val="20"/>
                <w:szCs w:val="20"/>
                <w:color w:val="auto"/>
              </w:rPr>
            </w:pPr>
            <w:r>
              <w:rPr>
                <w:rFonts w:ascii="Arial" w:cs="Arial" w:eastAsia="Arial" w:hAnsi="Arial"/>
                <w:sz w:val="17"/>
                <w:szCs w:val="17"/>
                <w:color w:val="auto"/>
              </w:rPr>
              <w:t>Other comprehensive income/(loss) before reclassifications</w:t>
            </w:r>
          </w:p>
        </w:tc>
        <w:tc>
          <w:tcPr>
            <w:tcW w:w="1480" w:type="dxa"/>
            <w:vAlign w:val="bottom"/>
          </w:tcPr>
          <w:p>
            <w:pPr>
              <w:jc w:val="right"/>
              <w:spacing w:after="0" w:line="185" w:lineRule="exact"/>
              <w:rPr>
                <w:sz w:val="20"/>
                <w:szCs w:val="20"/>
                <w:color w:val="auto"/>
              </w:rPr>
            </w:pPr>
            <w:r>
              <w:rPr>
                <w:rFonts w:ascii="Arial" w:cs="Arial" w:eastAsia="Arial" w:hAnsi="Arial"/>
                <w:sz w:val="17"/>
                <w:szCs w:val="17"/>
                <w:color w:val="auto"/>
              </w:rPr>
              <w:t>28,453</w:t>
            </w:r>
          </w:p>
        </w:tc>
        <w:tc>
          <w:tcPr>
            <w:tcW w:w="1780" w:type="dxa"/>
            <w:vAlign w:val="bottom"/>
          </w:tcPr>
          <w:p>
            <w:pPr>
              <w:jc w:val="right"/>
              <w:spacing w:after="0" w:line="185" w:lineRule="exact"/>
              <w:rPr>
                <w:sz w:val="20"/>
                <w:szCs w:val="20"/>
                <w:color w:val="auto"/>
              </w:rPr>
            </w:pPr>
            <w:r>
              <w:rPr>
                <w:rFonts w:ascii="Arial" w:cs="Arial" w:eastAsia="Arial" w:hAnsi="Arial"/>
                <w:sz w:val="17"/>
                <w:szCs w:val="17"/>
                <w:color w:val="auto"/>
              </w:rPr>
              <w:t>(1,079)</w:t>
            </w:r>
          </w:p>
        </w:tc>
        <w:tc>
          <w:tcPr>
            <w:tcW w:w="1300" w:type="dxa"/>
            <w:vAlign w:val="bottom"/>
          </w:tcPr>
          <w:p>
            <w:pPr>
              <w:jc w:val="right"/>
              <w:ind w:right="54"/>
              <w:spacing w:after="0" w:line="185" w:lineRule="exact"/>
              <w:rPr>
                <w:sz w:val="20"/>
                <w:szCs w:val="20"/>
                <w:color w:val="auto"/>
              </w:rPr>
            </w:pPr>
            <w:r>
              <w:rPr>
                <w:rFonts w:ascii="Arial" w:cs="Arial" w:eastAsia="Arial" w:hAnsi="Arial"/>
                <w:sz w:val="17"/>
                <w:szCs w:val="17"/>
                <w:color w:val="auto"/>
              </w:rPr>
              <w:t>(619)</w:t>
            </w:r>
          </w:p>
        </w:tc>
        <w:tc>
          <w:tcPr>
            <w:tcW w:w="1720" w:type="dxa"/>
            <w:vAlign w:val="bottom"/>
            <w:gridSpan w:val="3"/>
          </w:tcPr>
          <w:p>
            <w:pPr>
              <w:jc w:val="right"/>
              <w:ind w:right="40"/>
              <w:spacing w:after="0" w:line="185" w:lineRule="exact"/>
              <w:rPr>
                <w:sz w:val="20"/>
                <w:szCs w:val="20"/>
                <w:color w:val="auto"/>
              </w:rPr>
            </w:pPr>
            <w:r>
              <w:rPr>
                <w:rFonts w:ascii="Arial" w:cs="Arial" w:eastAsia="Arial" w:hAnsi="Arial"/>
                <w:sz w:val="17"/>
                <w:szCs w:val="17"/>
                <w:color w:val="auto"/>
              </w:rPr>
              <w:t>26,755</w:t>
            </w:r>
          </w:p>
        </w:tc>
      </w:tr>
      <w:tr>
        <w:trPr>
          <w:trHeight w:val="194"/>
        </w:trPr>
        <w:tc>
          <w:tcPr>
            <w:tcW w:w="5180" w:type="dxa"/>
            <w:vAlign w:val="bottom"/>
          </w:tcPr>
          <w:p>
            <w:pPr>
              <w:spacing w:after="0" w:line="194" w:lineRule="exact"/>
              <w:rPr>
                <w:sz w:val="20"/>
                <w:szCs w:val="20"/>
                <w:color w:val="auto"/>
              </w:rPr>
            </w:pPr>
            <w:r>
              <w:rPr>
                <w:rFonts w:ascii="Arial" w:cs="Arial" w:eastAsia="Arial" w:hAnsi="Arial"/>
                <w:sz w:val="17"/>
                <w:szCs w:val="17"/>
                <w:color w:val="auto"/>
              </w:rPr>
              <w:t>Interest expense related to swaps reclassified to the Consolidated</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180" w:type="dxa"/>
            <w:vAlign w:val="bottom"/>
          </w:tcPr>
          <w:p>
            <w:pPr>
              <w:spacing w:after="0" w:line="194" w:lineRule="exact"/>
              <w:rPr>
                <w:sz w:val="20"/>
                <w:szCs w:val="20"/>
                <w:color w:val="auto"/>
              </w:rPr>
            </w:pPr>
            <w:r>
              <w:rPr>
                <w:rFonts w:ascii="Arial" w:cs="Arial" w:eastAsia="Arial" w:hAnsi="Arial"/>
                <w:sz w:val="17"/>
                <w:szCs w:val="17"/>
                <w:color w:val="auto"/>
              </w:rPr>
              <w:t>Statements of Income, net of tax</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jc w:val="right"/>
              <w:ind w:right="54"/>
              <w:spacing w:after="0" w:line="194" w:lineRule="exact"/>
              <w:rPr>
                <w:sz w:val="20"/>
                <w:szCs w:val="20"/>
                <w:color w:val="auto"/>
              </w:rPr>
            </w:pPr>
            <w:r>
              <w:rPr>
                <w:rFonts w:ascii="Arial" w:cs="Arial" w:eastAsia="Arial" w:hAnsi="Arial"/>
                <w:sz w:val="17"/>
                <w:szCs w:val="17"/>
                <w:color w:val="auto"/>
              </w:rPr>
              <w:t>585</w:t>
            </w:r>
          </w:p>
        </w:tc>
        <w:tc>
          <w:tcPr>
            <w:tcW w:w="17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585</w:t>
            </w:r>
          </w:p>
        </w:tc>
        <w:tc>
          <w:tcPr>
            <w:tcW w:w="20" w:type="dxa"/>
            <w:vAlign w:val="bottom"/>
          </w:tcPr>
          <w:p>
            <w:pPr>
              <w:spacing w:after="0"/>
              <w:rPr>
                <w:sz w:val="16"/>
                <w:szCs w:val="16"/>
                <w:color w:val="auto"/>
              </w:rPr>
            </w:pPr>
          </w:p>
        </w:tc>
      </w:tr>
      <w:tr>
        <w:trPr>
          <w:trHeight w:val="194"/>
        </w:trPr>
        <w:tc>
          <w:tcPr>
            <w:tcW w:w="5180" w:type="dxa"/>
            <w:vAlign w:val="bottom"/>
          </w:tcPr>
          <w:p>
            <w:pPr>
              <w:spacing w:after="0" w:line="194" w:lineRule="exact"/>
              <w:rPr>
                <w:sz w:val="20"/>
                <w:szCs w:val="20"/>
                <w:color w:val="auto"/>
              </w:rPr>
            </w:pPr>
            <w:r>
              <w:rPr>
                <w:rFonts w:ascii="Arial" w:cs="Arial" w:eastAsia="Arial" w:hAnsi="Arial"/>
                <w:sz w:val="17"/>
                <w:szCs w:val="17"/>
                <w:color w:val="auto"/>
              </w:rPr>
              <w:t>Pension and postretirement liability adjustments reclassified to</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18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Consolidated Statements of Income, net of tax</w:t>
            </w:r>
          </w:p>
        </w:tc>
        <w:tc>
          <w:tcPr>
            <w:tcW w:w="1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332</w:t>
            </w:r>
          </w:p>
        </w:tc>
        <w:tc>
          <w:tcPr>
            <w:tcW w:w="1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332</w:t>
            </w:r>
          </w:p>
        </w:tc>
        <w:tc>
          <w:tcPr>
            <w:tcW w:w="20" w:type="dxa"/>
            <w:vAlign w:val="bottom"/>
          </w:tcPr>
          <w:p>
            <w:pPr>
              <w:spacing w:after="0"/>
              <w:rPr>
                <w:sz w:val="16"/>
                <w:szCs w:val="16"/>
                <w:color w:val="auto"/>
              </w:rPr>
            </w:pPr>
          </w:p>
        </w:tc>
      </w:tr>
      <w:tr>
        <w:trPr>
          <w:trHeight w:val="186"/>
        </w:trPr>
        <w:tc>
          <w:tcPr>
            <w:tcW w:w="51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Net current period other comprehensive income</w:t>
            </w:r>
          </w:p>
        </w:tc>
        <w:tc>
          <w:tcPr>
            <w:tcW w:w="14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28,453</w:t>
            </w:r>
          </w:p>
        </w:tc>
        <w:tc>
          <w:tcPr>
            <w:tcW w:w="1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(747)</w:t>
            </w:r>
          </w:p>
        </w:tc>
        <w:tc>
          <w:tcPr>
            <w:tcW w:w="130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7"/>
                <w:szCs w:val="17"/>
                <w:color w:val="auto"/>
              </w:rPr>
              <w:t>(34)</w:t>
            </w:r>
          </w:p>
        </w:tc>
        <w:tc>
          <w:tcPr>
            <w:tcW w:w="170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27,672</w:t>
            </w:r>
          </w:p>
        </w:tc>
        <w:tc>
          <w:tcPr>
            <w:tcW w:w="20" w:type="dxa"/>
            <w:vAlign w:val="bottom"/>
            <w:tcBorders>
              <w:bottom w:val="single" w:sz="8" w:color="auto"/>
            </w:tcBorders>
          </w:tcPr>
          <w:p>
            <w:pPr>
              <w:spacing w:after="0"/>
              <w:rPr>
                <w:sz w:val="16"/>
                <w:szCs w:val="16"/>
                <w:color w:val="auto"/>
              </w:rPr>
            </w:pPr>
          </w:p>
        </w:tc>
      </w:tr>
      <w:tr>
        <w:trPr>
          <w:trHeight w:val="186"/>
        </w:trPr>
        <w:tc>
          <w:tcPr>
            <w:tcW w:w="51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June 30, 2017</w:t>
            </w:r>
          </w:p>
        </w:tc>
        <w:tc>
          <w:tcPr>
            <w:tcW w:w="14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($104,845)</w:t>
            </w:r>
          </w:p>
        </w:tc>
        <w:tc>
          <w:tcPr>
            <w:tcW w:w="1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($52,466)</w:t>
            </w:r>
          </w:p>
        </w:tc>
        <w:tc>
          <w:tcPr>
            <w:tcW w:w="130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7"/>
                <w:szCs w:val="17"/>
                <w:b w:val="1"/>
                <w:bCs w:val="1"/>
                <w:color w:val="auto"/>
              </w:rPr>
              <w:t>$794</w:t>
            </w:r>
          </w:p>
        </w:tc>
        <w:tc>
          <w:tcPr>
            <w:tcW w:w="1720" w:type="dxa"/>
            <w:vAlign w:val="bottom"/>
            <w:tcBorders>
              <w:bottom w:val="single" w:sz="8" w:color="auto"/>
            </w:tcBorders>
            <w:gridSpan w:val="3"/>
          </w:tcPr>
          <w:p>
            <w:pPr>
              <w:jc w:val="right"/>
              <w:ind w:right="40"/>
              <w:spacing w:after="0" w:line="186" w:lineRule="exact"/>
              <w:rPr>
                <w:sz w:val="20"/>
                <w:szCs w:val="20"/>
                <w:color w:val="auto"/>
              </w:rPr>
            </w:pPr>
            <w:r>
              <w:rPr>
                <w:rFonts w:ascii="Arial" w:cs="Arial" w:eastAsia="Arial" w:hAnsi="Arial"/>
                <w:sz w:val="17"/>
                <w:szCs w:val="17"/>
                <w:b w:val="1"/>
                <w:bCs w:val="1"/>
                <w:color w:val="auto"/>
              </w:rPr>
              <w:t>($156,517)</w:t>
            </w:r>
          </w:p>
        </w:tc>
      </w:tr>
    </w:tbl>
    <w:p>
      <w:pPr>
        <w:spacing w:after="0" w:line="180" w:lineRule="exact"/>
        <w:rPr>
          <w:sz w:val="20"/>
          <w:szCs w:val="20"/>
          <w:color w:val="auto"/>
        </w:rPr>
      </w:pPr>
    </w:p>
    <w:p>
      <w:pPr>
        <w:ind w:right="100" w:firstLine="620"/>
        <w:spacing w:after="0" w:line="250" w:lineRule="auto"/>
        <w:rPr>
          <w:sz w:val="20"/>
          <w:szCs w:val="20"/>
          <w:color w:val="auto"/>
        </w:rPr>
      </w:pPr>
      <w:r>
        <w:rPr>
          <w:rFonts w:ascii="Arial" w:cs="Arial" w:eastAsia="Arial" w:hAnsi="Arial"/>
          <w:sz w:val="17"/>
          <w:szCs w:val="17"/>
          <w:color w:val="auto"/>
        </w:rPr>
        <w:t>The table below presents the expense/(income) amounts reclassified, and the line items of the Consolidated Statements of Income that were affected for the periods ended June 30, 2018 and 2017.</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82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2"/>
          </w:tcPr>
          <w:p>
            <w:pPr>
              <w:jc w:val="right"/>
              <w:ind w:right="114"/>
              <w:spacing w:after="0" w:line="184" w:lineRule="exact"/>
              <w:rPr>
                <w:sz w:val="20"/>
                <w:szCs w:val="20"/>
                <w:color w:val="auto"/>
              </w:rPr>
            </w:pPr>
            <w:r>
              <w:rPr>
                <w:rFonts w:ascii="Arial" w:cs="Arial" w:eastAsia="Arial" w:hAnsi="Arial"/>
                <w:sz w:val="17"/>
                <w:szCs w:val="17"/>
                <w:b w:val="1"/>
                <w:bCs w:val="1"/>
                <w:color w:val="auto"/>
              </w:rPr>
              <w:t>Three months ended June</w:t>
            </w:r>
          </w:p>
        </w:tc>
        <w:tc>
          <w:tcPr>
            <w:tcW w:w="2080" w:type="dxa"/>
            <w:vAlign w:val="bottom"/>
            <w:tcBorders>
              <w:top w:val="single" w:sz="8" w:color="auto"/>
            </w:tcBorders>
            <w:gridSpan w:val="2"/>
          </w:tcPr>
          <w:p>
            <w:pPr>
              <w:jc w:val="right"/>
              <w:ind w:right="33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46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30,</w:t>
            </w:r>
          </w:p>
        </w:tc>
        <w:tc>
          <w:tcPr>
            <w:tcW w:w="104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2017</w:t>
            </w: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2018</w:t>
            </w: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840" w:type="dxa"/>
            <w:vAlign w:val="bottom"/>
            <w:gridSpan w:val="2"/>
          </w:tcPr>
          <w:p>
            <w:pPr>
              <w:spacing w:after="0" w:line="163" w:lineRule="exact"/>
              <w:rPr>
                <w:sz w:val="20"/>
                <w:szCs w:val="20"/>
                <w:color w:val="auto"/>
              </w:rPr>
            </w:pPr>
            <w:r>
              <w:rPr>
                <w:rFonts w:ascii="Arial" w:cs="Arial" w:eastAsia="Arial" w:hAnsi="Arial"/>
                <w:sz w:val="17"/>
                <w:szCs w:val="17"/>
                <w:b w:val="1"/>
                <w:bCs w:val="1"/>
                <w:color w:val="auto"/>
              </w:rPr>
              <w:t>Pretax Derivative valuation reclassified from Accumulated Other Comprehensive</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7"/>
                <w:szCs w:val="17"/>
                <w:b w:val="1"/>
                <w:bCs w:val="1"/>
                <w:color w:val="auto"/>
              </w:rPr>
              <w:t>Income:</w:t>
            </w: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tcPr>
          <w:p>
            <w:pPr>
              <w:ind w:left="220"/>
              <w:spacing w:after="0" w:line="194" w:lineRule="exact"/>
              <w:rPr>
                <w:sz w:val="20"/>
                <w:szCs w:val="20"/>
                <w:color w:val="auto"/>
              </w:rPr>
            </w:pPr>
            <w:r>
              <w:rPr>
                <w:rFonts w:ascii="Arial" w:cs="Arial" w:eastAsia="Arial" w:hAnsi="Arial"/>
                <w:sz w:val="17"/>
                <w:szCs w:val="17"/>
                <w:color w:val="auto"/>
              </w:rPr>
              <w:t>Expense related to interest rate swaps included in Income</w:t>
            </w:r>
          </w:p>
        </w:tc>
        <w:tc>
          <w:tcPr>
            <w:tcW w:w="146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$54</w:t>
            </w:r>
          </w:p>
        </w:tc>
        <w:tc>
          <w:tcPr>
            <w:tcW w:w="1040" w:type="dxa"/>
            <w:vAlign w:val="bottom"/>
          </w:tcPr>
          <w:p>
            <w:pPr>
              <w:spacing w:after="0"/>
              <w:rPr>
                <w:sz w:val="16"/>
                <w:szCs w:val="16"/>
                <w:color w:val="auto"/>
              </w:rPr>
            </w:pPr>
          </w:p>
        </w:tc>
        <w:tc>
          <w:tcPr>
            <w:tcW w:w="13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$234</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220"/>
              <w:spacing w:after="0" w:line="172" w:lineRule="exact"/>
              <w:rPr>
                <w:sz w:val="20"/>
                <w:szCs w:val="20"/>
                <w:color w:val="auto"/>
              </w:rPr>
            </w:pPr>
            <w:r>
              <w:rPr>
                <w:rFonts w:ascii="Arial" w:cs="Arial" w:eastAsia="Arial" w:hAnsi="Arial"/>
                <w:sz w:val="17"/>
                <w:szCs w:val="17"/>
                <w:color w:val="auto"/>
              </w:rPr>
              <w:t>before taxes (a)</w:t>
            </w:r>
          </w:p>
        </w:tc>
        <w:tc>
          <w:tcPr>
            <w:tcW w:w="1460" w:type="dxa"/>
            <w:vAlign w:val="bottom"/>
            <w:vMerge w:val="continue"/>
          </w:tcPr>
          <w:p>
            <w:pPr>
              <w:spacing w:after="0"/>
              <w:rPr>
                <w:sz w:val="14"/>
                <w:szCs w:val="14"/>
                <w:color w:val="auto"/>
              </w:rPr>
            </w:pPr>
          </w:p>
        </w:tc>
        <w:tc>
          <w:tcPr>
            <w:tcW w:w="1040" w:type="dxa"/>
            <w:vAlign w:val="bottom"/>
          </w:tcPr>
          <w:p>
            <w:pPr>
              <w:jc w:val="right"/>
              <w:ind w:right="94"/>
              <w:spacing w:after="0" w:line="172" w:lineRule="exact"/>
              <w:rPr>
                <w:sz w:val="20"/>
                <w:szCs w:val="20"/>
                <w:color w:val="auto"/>
              </w:rPr>
            </w:pPr>
            <w:r>
              <w:rPr>
                <w:rFonts w:ascii="Arial" w:cs="Arial" w:eastAsia="Arial" w:hAnsi="Arial"/>
                <w:sz w:val="17"/>
                <w:szCs w:val="17"/>
                <w:color w:val="auto"/>
              </w:rPr>
              <w:t>$343</w:t>
            </w:r>
          </w:p>
        </w:tc>
        <w:tc>
          <w:tcPr>
            <w:tcW w:w="1320" w:type="dxa"/>
            <w:vAlign w:val="bottom"/>
            <w:vMerge w:val="continue"/>
          </w:tcPr>
          <w:p>
            <w:pPr>
              <w:spacing w:after="0"/>
              <w:rPr>
                <w:sz w:val="14"/>
                <w:szCs w:val="14"/>
                <w:color w:val="auto"/>
              </w:rPr>
            </w:pPr>
          </w:p>
        </w:tc>
        <w:tc>
          <w:tcPr>
            <w:tcW w:w="78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7"/>
                <w:szCs w:val="17"/>
                <w:color w:val="auto"/>
              </w:rPr>
              <w:t>Income tax effect</w:t>
            </w:r>
          </w:p>
        </w:tc>
        <w:tc>
          <w:tcPr>
            <w:tcW w:w="1460" w:type="dxa"/>
            <w:vAlign w:val="bottom"/>
          </w:tcPr>
          <w:p>
            <w:pPr>
              <w:jc w:val="right"/>
              <w:ind w:right="94"/>
              <w:spacing w:after="0"/>
              <w:rPr>
                <w:sz w:val="20"/>
                <w:szCs w:val="20"/>
                <w:color w:val="auto"/>
              </w:rPr>
            </w:pPr>
            <w:r>
              <w:rPr>
                <w:rFonts w:ascii="Arial" w:cs="Arial" w:eastAsia="Arial" w:hAnsi="Arial"/>
                <w:sz w:val="17"/>
                <w:szCs w:val="17"/>
                <w:b w:val="1"/>
                <w:bCs w:val="1"/>
                <w:color w:val="auto"/>
              </w:rPr>
              <w:t>(13)</w:t>
            </w: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(130)</w:t>
            </w:r>
          </w:p>
        </w:tc>
        <w:tc>
          <w:tcPr>
            <w:tcW w:w="1320" w:type="dxa"/>
            <w:vAlign w:val="bottom"/>
          </w:tcPr>
          <w:p>
            <w:pPr>
              <w:jc w:val="right"/>
              <w:ind w:right="174"/>
              <w:spacing w:after="0"/>
              <w:rPr>
                <w:sz w:val="20"/>
                <w:szCs w:val="20"/>
                <w:color w:val="auto"/>
              </w:rPr>
            </w:pPr>
            <w:r>
              <w:rPr>
                <w:rFonts w:ascii="Arial" w:cs="Arial" w:eastAsia="Arial" w:hAnsi="Arial"/>
                <w:sz w:val="17"/>
                <w:szCs w:val="17"/>
                <w:b w:val="1"/>
                <w:bCs w:val="1"/>
                <w:color w:val="auto"/>
              </w:rPr>
              <w:t>(56)</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2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146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7"/>
                <w:szCs w:val="17"/>
                <w:b w:val="1"/>
                <w:bCs w:val="1"/>
                <w:color w:val="auto"/>
              </w:rPr>
              <w:t>$41</w:t>
            </w:r>
          </w:p>
        </w:tc>
        <w:tc>
          <w:tcPr>
            <w:tcW w:w="10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7"/>
                <w:szCs w:val="17"/>
                <w:b w:val="1"/>
                <w:bCs w:val="1"/>
                <w:color w:val="auto"/>
              </w:rPr>
              <w:t>$178</w:t>
            </w: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40" w:type="dxa"/>
            <w:vAlign w:val="bottom"/>
            <w:gridSpan w:val="2"/>
          </w:tcPr>
          <w:p>
            <w:pPr>
              <w:spacing w:after="0" w:line="194" w:lineRule="exact"/>
              <w:rPr>
                <w:sz w:val="20"/>
                <w:szCs w:val="20"/>
                <w:color w:val="auto"/>
              </w:rPr>
            </w:pPr>
            <w:r>
              <w:rPr>
                <w:rFonts w:ascii="Arial" w:cs="Arial" w:eastAsia="Arial" w:hAnsi="Arial"/>
                <w:sz w:val="17"/>
                <w:szCs w:val="17"/>
                <w:color w:val="auto"/>
              </w:rPr>
              <w:t>Income</w:t>
            </w:r>
          </w:p>
        </w:tc>
        <w:tc>
          <w:tcPr>
            <w:tcW w:w="1460" w:type="dxa"/>
            <w:vAlign w:val="bottom"/>
            <w:vMerge w:val="continue"/>
          </w:tcPr>
          <w:p>
            <w:pPr>
              <w:spacing w:after="0"/>
              <w:rPr>
                <w:sz w:val="16"/>
                <w:szCs w:val="16"/>
                <w:color w:val="auto"/>
              </w:rPr>
            </w:pPr>
          </w:p>
        </w:tc>
        <w:tc>
          <w:tcPr>
            <w:tcW w:w="1040" w:type="dxa"/>
            <w:vAlign w:val="bottom"/>
          </w:tcPr>
          <w:p>
            <w:pPr>
              <w:jc w:val="right"/>
              <w:ind w:right="94"/>
              <w:spacing w:after="0" w:line="194" w:lineRule="exact"/>
              <w:rPr>
                <w:sz w:val="20"/>
                <w:szCs w:val="20"/>
                <w:color w:val="auto"/>
              </w:rPr>
            </w:pPr>
            <w:r>
              <w:rPr>
                <w:rFonts w:ascii="Arial" w:cs="Arial" w:eastAsia="Arial" w:hAnsi="Arial"/>
                <w:sz w:val="17"/>
                <w:szCs w:val="17"/>
                <w:color w:val="auto"/>
              </w:rPr>
              <w:t>$213</w:t>
            </w:r>
          </w:p>
        </w:tc>
        <w:tc>
          <w:tcPr>
            <w:tcW w:w="1320" w:type="dxa"/>
            <w:vAlign w:val="bottom"/>
            <w:vMerge w:val="continue"/>
          </w:tcPr>
          <w:p>
            <w:pPr>
              <w:spacing w:after="0"/>
              <w:rPr>
                <w:sz w:val="16"/>
                <w:szCs w:val="16"/>
                <w:color w:val="auto"/>
              </w:rPr>
            </w:pPr>
          </w:p>
        </w:tc>
        <w:tc>
          <w:tcPr>
            <w:tcW w:w="7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357"/>
        </w:trPr>
        <w:tc>
          <w:tcPr>
            <w:tcW w:w="68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Pretax pension and postretirement liabilities reclassified from Accumulated Other</w:t>
            </w:r>
          </w:p>
        </w:tc>
        <w:tc>
          <w:tcPr>
            <w:tcW w:w="14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7"/>
                <w:szCs w:val="17"/>
                <w:b w:val="1"/>
                <w:bCs w:val="1"/>
                <w:color w:val="auto"/>
              </w:rPr>
              <w:t>Comprehensive Income:</w:t>
            </w:r>
          </w:p>
        </w:tc>
        <w:tc>
          <w:tcPr>
            <w:tcW w:w="146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($518)</w:t>
            </w:r>
          </w:p>
        </w:tc>
        <w:tc>
          <w:tcPr>
            <w:tcW w:w="1040" w:type="dxa"/>
            <w:vAlign w:val="bottom"/>
          </w:tcPr>
          <w:p>
            <w:pPr>
              <w:spacing w:after="0"/>
              <w:rPr>
                <w:sz w:val="18"/>
                <w:szCs w:val="18"/>
                <w:color w:val="auto"/>
              </w:rPr>
            </w:pPr>
          </w:p>
        </w:tc>
        <w:tc>
          <w:tcPr>
            <w:tcW w:w="13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($518)</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220"/>
              <w:spacing w:after="0" w:line="172" w:lineRule="exact"/>
              <w:rPr>
                <w:sz w:val="20"/>
                <w:szCs w:val="20"/>
                <w:color w:val="auto"/>
              </w:rPr>
            </w:pPr>
            <w:r>
              <w:rPr>
                <w:rFonts w:ascii="Arial" w:cs="Arial" w:eastAsia="Arial" w:hAnsi="Arial"/>
                <w:sz w:val="17"/>
                <w:szCs w:val="17"/>
                <w:color w:val="auto"/>
              </w:rPr>
              <w:t>Pension/postretirement curtailment</w:t>
            </w:r>
          </w:p>
        </w:tc>
        <w:tc>
          <w:tcPr>
            <w:tcW w:w="1460" w:type="dxa"/>
            <w:vAlign w:val="bottom"/>
            <w:vMerge w:val="continue"/>
          </w:tcPr>
          <w:p>
            <w:pPr>
              <w:spacing w:after="0"/>
              <w:rPr>
                <w:sz w:val="14"/>
                <w:szCs w:val="14"/>
                <w:color w:val="auto"/>
              </w:rPr>
            </w:pPr>
          </w:p>
        </w:tc>
        <w:tc>
          <w:tcPr>
            <w:tcW w:w="1040" w:type="dxa"/>
            <w:vAlign w:val="bottom"/>
          </w:tcPr>
          <w:p>
            <w:pPr>
              <w:jc w:val="right"/>
              <w:ind w:right="234"/>
              <w:spacing w:after="0" w:line="172" w:lineRule="exact"/>
              <w:rPr>
                <w:sz w:val="20"/>
                <w:szCs w:val="20"/>
                <w:color w:val="auto"/>
              </w:rPr>
            </w:pPr>
            <w:r>
              <w:rPr>
                <w:rFonts w:ascii="Arial" w:cs="Arial" w:eastAsia="Arial" w:hAnsi="Arial"/>
                <w:sz w:val="17"/>
                <w:szCs w:val="17"/>
                <w:color w:val="auto"/>
              </w:rPr>
              <w:t>$-</w:t>
            </w:r>
          </w:p>
        </w:tc>
        <w:tc>
          <w:tcPr>
            <w:tcW w:w="1320" w:type="dxa"/>
            <w:vAlign w:val="bottom"/>
            <w:vMerge w:val="continue"/>
          </w:tcPr>
          <w:p>
            <w:pPr>
              <w:spacing w:after="0"/>
              <w:rPr>
                <w:sz w:val="14"/>
                <w:szCs w:val="14"/>
                <w:color w:val="auto"/>
              </w:rPr>
            </w:pPr>
          </w:p>
        </w:tc>
        <w:tc>
          <w:tcPr>
            <w:tcW w:w="760" w:type="dxa"/>
            <w:vAlign w:val="bottom"/>
          </w:tcPr>
          <w:p>
            <w:pPr>
              <w:jc w:val="right"/>
              <w:ind w:right="54"/>
              <w:spacing w:after="0" w:line="172"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tcPr>
          <w:p>
            <w:pPr>
              <w:ind w:left="220"/>
              <w:spacing w:after="0" w:line="194" w:lineRule="exact"/>
              <w:rPr>
                <w:sz w:val="20"/>
                <w:szCs w:val="20"/>
                <w:color w:val="auto"/>
              </w:rPr>
            </w:pPr>
            <w:r>
              <w:rPr>
                <w:rFonts w:ascii="Arial" w:cs="Arial" w:eastAsia="Arial" w:hAnsi="Arial"/>
                <w:sz w:val="17"/>
                <w:szCs w:val="17"/>
                <w:color w:val="auto"/>
              </w:rPr>
              <w:t>Amortization of prior service credit (b)</w:t>
            </w:r>
          </w:p>
        </w:tc>
        <w:tc>
          <w:tcPr>
            <w:tcW w:w="1460" w:type="dxa"/>
            <w:vAlign w:val="bottom"/>
          </w:tcPr>
          <w:p>
            <w:pPr>
              <w:jc w:val="right"/>
              <w:ind w:right="94"/>
              <w:spacing w:after="0" w:line="194" w:lineRule="exact"/>
              <w:rPr>
                <w:sz w:val="20"/>
                <w:szCs w:val="20"/>
                <w:color w:val="auto"/>
              </w:rPr>
            </w:pPr>
            <w:r>
              <w:rPr>
                <w:rFonts w:ascii="Arial" w:cs="Arial" w:eastAsia="Arial" w:hAnsi="Arial"/>
                <w:sz w:val="17"/>
                <w:szCs w:val="17"/>
                <w:b w:val="1"/>
                <w:bCs w:val="1"/>
                <w:color w:val="auto"/>
              </w:rPr>
              <w:t>(1,113)</w:t>
            </w:r>
          </w:p>
        </w:tc>
        <w:tc>
          <w:tcPr>
            <w:tcW w:w="104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(1,113)</w:t>
            </w:r>
          </w:p>
        </w:tc>
        <w:tc>
          <w:tcPr>
            <w:tcW w:w="1320" w:type="dxa"/>
            <w:vAlign w:val="bottom"/>
          </w:tcPr>
          <w:p>
            <w:pPr>
              <w:jc w:val="right"/>
              <w:ind w:right="174"/>
              <w:spacing w:after="0" w:line="194" w:lineRule="exact"/>
              <w:rPr>
                <w:sz w:val="20"/>
                <w:szCs w:val="20"/>
                <w:color w:val="auto"/>
              </w:rPr>
            </w:pPr>
            <w:r>
              <w:rPr>
                <w:rFonts w:ascii="Arial" w:cs="Arial" w:eastAsia="Arial" w:hAnsi="Arial"/>
                <w:sz w:val="17"/>
                <w:szCs w:val="17"/>
                <w:b w:val="1"/>
                <w:bCs w:val="1"/>
                <w:color w:val="auto"/>
              </w:rPr>
              <w:t>(2,227)</w:t>
            </w:r>
          </w:p>
        </w:tc>
        <w:tc>
          <w:tcPr>
            <w:tcW w:w="7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Amortization of net actuarial loss (b)</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1,291</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1,353</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2,588</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20" w:type="dxa"/>
            <w:vAlign w:val="bottom"/>
          </w:tcPr>
          <w:p>
            <w:pPr>
              <w:spacing w:after="0" w:line="163" w:lineRule="exact"/>
              <w:rPr>
                <w:sz w:val="20"/>
                <w:szCs w:val="20"/>
                <w:color w:val="auto"/>
              </w:rPr>
            </w:pPr>
            <w:r>
              <w:rPr>
                <w:rFonts w:ascii="Arial" w:cs="Arial" w:eastAsia="Arial" w:hAnsi="Arial"/>
                <w:sz w:val="17"/>
                <w:szCs w:val="17"/>
                <w:color w:val="auto"/>
              </w:rPr>
              <w:t>Total pretax amount reclassified</w:t>
            </w:r>
          </w:p>
        </w:tc>
        <w:tc>
          <w:tcPr>
            <w:tcW w:w="1460" w:type="dxa"/>
            <w:vAlign w:val="bottom"/>
          </w:tcPr>
          <w:p>
            <w:pPr>
              <w:jc w:val="right"/>
              <w:ind w:right="94"/>
              <w:spacing w:after="0" w:line="163" w:lineRule="exact"/>
              <w:rPr>
                <w:sz w:val="20"/>
                <w:szCs w:val="20"/>
                <w:color w:val="auto"/>
              </w:rPr>
            </w:pPr>
            <w:r>
              <w:rPr>
                <w:rFonts w:ascii="Arial" w:cs="Arial" w:eastAsia="Arial" w:hAnsi="Arial"/>
                <w:sz w:val="17"/>
                <w:szCs w:val="17"/>
                <w:b w:val="1"/>
                <w:bCs w:val="1"/>
                <w:color w:val="auto"/>
              </w:rPr>
              <w:t>(340)</w:t>
            </w:r>
          </w:p>
        </w:tc>
        <w:tc>
          <w:tcPr>
            <w:tcW w:w="1040" w:type="dxa"/>
            <w:vAlign w:val="bottom"/>
          </w:tcPr>
          <w:p>
            <w:pPr>
              <w:jc w:val="right"/>
              <w:ind w:right="94"/>
              <w:spacing w:after="0" w:line="163" w:lineRule="exact"/>
              <w:rPr>
                <w:sz w:val="20"/>
                <w:szCs w:val="20"/>
                <w:color w:val="auto"/>
              </w:rPr>
            </w:pPr>
            <w:r>
              <w:rPr>
                <w:rFonts w:ascii="Arial" w:cs="Arial" w:eastAsia="Arial" w:hAnsi="Arial"/>
                <w:sz w:val="17"/>
                <w:szCs w:val="17"/>
                <w:color w:val="auto"/>
              </w:rPr>
              <w:t>240</w:t>
            </w:r>
          </w:p>
        </w:tc>
        <w:tc>
          <w:tcPr>
            <w:tcW w:w="1320" w:type="dxa"/>
            <w:vAlign w:val="bottom"/>
          </w:tcPr>
          <w:p>
            <w:pPr>
              <w:jc w:val="right"/>
              <w:ind w:right="174"/>
              <w:spacing w:after="0" w:line="163" w:lineRule="exact"/>
              <w:rPr>
                <w:sz w:val="20"/>
                <w:szCs w:val="20"/>
                <w:color w:val="auto"/>
              </w:rPr>
            </w:pPr>
            <w:r>
              <w:rPr>
                <w:rFonts w:ascii="Arial" w:cs="Arial" w:eastAsia="Arial" w:hAnsi="Arial"/>
                <w:sz w:val="17"/>
                <w:szCs w:val="17"/>
                <w:b w:val="1"/>
                <w:bCs w:val="1"/>
                <w:color w:val="auto"/>
              </w:rPr>
              <w:t>(157)</w:t>
            </w:r>
          </w:p>
        </w:tc>
        <w:tc>
          <w:tcPr>
            <w:tcW w:w="780" w:type="dxa"/>
            <w:vAlign w:val="bottom"/>
            <w:gridSpan w:val="2"/>
          </w:tcPr>
          <w:p>
            <w:pPr>
              <w:jc w:val="right"/>
              <w:ind w:right="20"/>
              <w:spacing w:after="0" w:line="163" w:lineRule="exact"/>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7"/>
                <w:szCs w:val="17"/>
                <w:color w:val="auto"/>
              </w:rPr>
              <w:t>Income tax effect</w:t>
            </w:r>
          </w:p>
        </w:tc>
        <w:tc>
          <w:tcPr>
            <w:tcW w:w="1460" w:type="dxa"/>
            <w:vAlign w:val="bottom"/>
          </w:tcPr>
          <w:p>
            <w:pPr>
              <w:jc w:val="right"/>
              <w:ind w:right="94"/>
              <w:spacing w:after="0"/>
              <w:rPr>
                <w:sz w:val="20"/>
                <w:szCs w:val="20"/>
                <w:color w:val="auto"/>
              </w:rPr>
            </w:pPr>
            <w:r>
              <w:rPr>
                <w:rFonts w:ascii="Arial" w:cs="Arial" w:eastAsia="Arial" w:hAnsi="Arial"/>
                <w:sz w:val="17"/>
                <w:szCs w:val="17"/>
                <w:b w:val="1"/>
                <w:bCs w:val="1"/>
                <w:color w:val="auto"/>
              </w:rPr>
              <w:t>102</w:t>
            </w: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(72)</w:t>
            </w:r>
          </w:p>
        </w:tc>
        <w:tc>
          <w:tcPr>
            <w:tcW w:w="1320" w:type="dxa"/>
            <w:vAlign w:val="bottom"/>
          </w:tcPr>
          <w:p>
            <w:pPr>
              <w:jc w:val="right"/>
              <w:ind w:right="174"/>
              <w:spacing w:after="0"/>
              <w:rPr>
                <w:sz w:val="20"/>
                <w:szCs w:val="20"/>
                <w:color w:val="auto"/>
              </w:rPr>
            </w:pPr>
            <w:r>
              <w:rPr>
                <w:rFonts w:ascii="Arial" w:cs="Arial" w:eastAsia="Arial" w:hAnsi="Arial"/>
                <w:sz w:val="17"/>
                <w:szCs w:val="17"/>
                <w:b w:val="1"/>
                <w:bCs w:val="1"/>
                <w:color w:val="auto"/>
              </w:rPr>
              <w:t>47</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6"/>
        </w:trPr>
        <w:tc>
          <w:tcPr>
            <w:tcW w:w="684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146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7"/>
                <w:szCs w:val="17"/>
                <w:b w:val="1"/>
                <w:bCs w:val="1"/>
                <w:color w:val="auto"/>
              </w:rPr>
              <w:t>($238)</w:t>
            </w:r>
          </w:p>
        </w:tc>
        <w:tc>
          <w:tcPr>
            <w:tcW w:w="10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7"/>
                <w:szCs w:val="17"/>
                <w:b w:val="1"/>
                <w:bCs w:val="1"/>
                <w:color w:val="auto"/>
              </w:rPr>
              <w:t>($110)</w:t>
            </w: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4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7"/>
                <w:szCs w:val="17"/>
                <w:color w:val="auto"/>
              </w:rPr>
              <w:t>Income</w:t>
            </w:r>
          </w:p>
        </w:tc>
        <w:tc>
          <w:tcPr>
            <w:tcW w:w="14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rPr>
              <w:t>$168</w:t>
            </w:r>
          </w:p>
        </w:tc>
        <w:tc>
          <w:tcPr>
            <w:tcW w:w="13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940" w:hanging="317"/>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Included in Interest expense are payments related to the interest rate swap agreements and amortization of swap buyouts (see Note 16).</w:t>
      </w:r>
    </w:p>
    <w:p>
      <w:pPr>
        <w:ind w:left="940" w:right="800" w:hanging="317"/>
        <w:spacing w:after="0" w:line="250" w:lineRule="auto"/>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These accumulated other comprehensive income components are included in Other expense, net (see Note 4). The curtailment adjustment was included in restructuring expenses, net.</w:t>
      </w:r>
    </w:p>
    <w:p>
      <w:pPr>
        <w:spacing w:after="0" w:line="200" w:lineRule="exact"/>
        <w:rPr>
          <w:rFonts w:ascii="Arial" w:cs="Arial" w:eastAsia="Arial" w:hAnsi="Arial"/>
          <w:sz w:val="17"/>
          <w:szCs w:val="17"/>
          <w:color w:val="auto"/>
        </w:rPr>
      </w:pPr>
    </w:p>
    <w:p>
      <w:pPr>
        <w:spacing w:after="0" w:line="301" w:lineRule="exact"/>
        <w:rPr>
          <w:rFonts w:ascii="Arial" w:cs="Arial" w:eastAsia="Arial" w:hAnsi="Arial"/>
          <w:sz w:val="17"/>
          <w:szCs w:val="17"/>
          <w:color w:val="auto"/>
        </w:rPr>
      </w:pPr>
    </w:p>
    <w:p>
      <w:pPr>
        <w:ind w:left="300" w:hanging="297"/>
        <w:spacing w:after="0"/>
        <w:tabs>
          <w:tab w:leader="none" w:pos="30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Accounts Receivable</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829" w:right="239" w:bottom="1440" w:gutter="0" w:footer="0" w:header="0"/>
        </w:sectPr>
      </w:pPr>
    </w:p>
    <w:bookmarkStart w:id="27" w:name="page28"/>
    <w:bookmarkEnd w:id="27"/>
    <w:p>
      <w:pPr>
        <w:ind w:right="100" w:firstLine="620"/>
        <w:spacing w:after="0" w:line="241" w:lineRule="auto"/>
        <w:rPr>
          <w:sz w:val="20"/>
          <w:szCs w:val="20"/>
          <w:color w:val="auto"/>
        </w:rPr>
      </w:pPr>
      <w:r>
        <w:rPr>
          <w:rFonts w:ascii="Arial" w:cs="Arial" w:eastAsia="Arial" w:hAnsi="Arial"/>
          <w:sz w:val="17"/>
          <w:szCs w:val="17"/>
          <w:color w:val="auto"/>
        </w:rPr>
        <w:t>Accounts receivable includes trade receivables and bank promissory notes. As a result of adopting ASC 606, Revenue in excess of progress billings on long-term contracts in the Albany Engineered Composites segment was reclassified to Contract assets in 2018. Including that reclassification, the cumulative effect from the adoption of ASC 606 was an increase to Accounts receivable of $7.7 million as Accounts receivable recorded in the cumulative adjustment exceeded that reclassification.</w:t>
      </w:r>
    </w:p>
    <w:p>
      <w:pPr>
        <w:spacing w:after="0" w:line="157" w:lineRule="exact"/>
        <w:rPr>
          <w:sz w:val="20"/>
          <w:szCs w:val="20"/>
          <w:color w:val="auto"/>
        </w:rPr>
      </w:pPr>
    </w:p>
    <w:p>
      <w:pPr>
        <w:ind w:right="40" w:firstLine="620"/>
        <w:spacing w:after="0" w:line="241" w:lineRule="auto"/>
        <w:rPr>
          <w:sz w:val="20"/>
          <w:szCs w:val="20"/>
          <w:color w:val="auto"/>
        </w:rPr>
      </w:pPr>
      <w:r>
        <w:rPr>
          <w:rFonts w:ascii="Arial" w:cs="Arial" w:eastAsia="Arial" w:hAnsi="Arial"/>
          <w:sz w:val="17"/>
          <w:szCs w:val="17"/>
          <w:color w:val="auto"/>
        </w:rPr>
        <w:t>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2018 and December 31, 2017, Accounts receivable consisted of the following:</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Borders>
              <w:top w:val="single" w:sz="8" w:color="auto"/>
            </w:tcBorders>
          </w:tcPr>
          <w:p>
            <w:pPr>
              <w:spacing w:after="0"/>
              <w:rPr>
                <w:sz w:val="15"/>
                <w:szCs w:val="15"/>
                <w:color w:val="auto"/>
              </w:rPr>
            </w:pPr>
          </w:p>
        </w:tc>
        <w:tc>
          <w:tcPr>
            <w:tcW w:w="4140" w:type="dxa"/>
            <w:vAlign w:val="bottom"/>
            <w:tcBorders>
              <w:top w:val="single" w:sz="8" w:color="auto"/>
            </w:tcBorders>
          </w:tcPr>
          <w:p>
            <w:pPr>
              <w:jc w:val="right"/>
              <w:ind w:right="754"/>
              <w:spacing w:after="0" w:line="184" w:lineRule="exact"/>
              <w:rPr>
                <w:sz w:val="20"/>
                <w:szCs w:val="20"/>
                <w:color w:val="auto"/>
              </w:rPr>
            </w:pPr>
            <w:r>
              <w:rPr>
                <w:rFonts w:ascii="Arial" w:cs="Arial" w:eastAsia="Arial" w:hAnsi="Arial"/>
                <w:sz w:val="17"/>
                <w:szCs w:val="17"/>
                <w:b w:val="1"/>
                <w:bCs w:val="1"/>
                <w:color w:val="auto"/>
              </w:rPr>
              <w:t>June 30,</w:t>
            </w:r>
          </w:p>
        </w:tc>
        <w:tc>
          <w:tcPr>
            <w:tcW w:w="1720" w:type="dxa"/>
            <w:vAlign w:val="bottom"/>
            <w:tcBorders>
              <w:top w:val="single" w:sz="8" w:color="auto"/>
            </w:tcBorders>
          </w:tcPr>
          <w:p>
            <w:pPr>
              <w:jc w:val="right"/>
              <w:ind w:right="314"/>
              <w:spacing w:after="0" w:line="184" w:lineRule="exact"/>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5"/>
                <w:szCs w:val="15"/>
                <w:color w:val="auto"/>
              </w:rPr>
            </w:pP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4140" w:type="dxa"/>
            <w:vAlign w:val="bottom"/>
            <w:tcBorders>
              <w:bottom w:val="single" w:sz="8" w:color="auto"/>
            </w:tcBorders>
          </w:tcPr>
          <w:p>
            <w:pPr>
              <w:jc w:val="right"/>
              <w:ind w:right="874"/>
              <w:spacing w:after="0"/>
              <w:rPr>
                <w:sz w:val="20"/>
                <w:szCs w:val="20"/>
                <w:color w:val="auto"/>
              </w:rPr>
            </w:pPr>
            <w:r>
              <w:rPr>
                <w:rFonts w:ascii="Arial" w:cs="Arial" w:eastAsia="Arial" w:hAnsi="Arial"/>
                <w:sz w:val="17"/>
                <w:szCs w:val="17"/>
                <w:b w:val="1"/>
                <w:bCs w:val="1"/>
                <w:color w:val="auto"/>
              </w:rPr>
              <w:t>2018</w:t>
            </w:r>
          </w:p>
        </w:tc>
        <w:tc>
          <w:tcPr>
            <w:tcW w:w="17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5560" w:type="dxa"/>
            <w:vAlign w:val="bottom"/>
          </w:tcPr>
          <w:p>
            <w:pPr>
              <w:spacing w:after="0" w:line="163" w:lineRule="exact"/>
              <w:rPr>
                <w:sz w:val="20"/>
                <w:szCs w:val="20"/>
                <w:color w:val="auto"/>
              </w:rPr>
            </w:pPr>
            <w:r>
              <w:rPr>
                <w:rFonts w:ascii="Arial" w:cs="Arial" w:eastAsia="Arial" w:hAnsi="Arial"/>
                <w:sz w:val="17"/>
                <w:szCs w:val="17"/>
                <w:color w:val="auto"/>
              </w:rPr>
              <w:t>Trade and other accounts receivable</w:t>
            </w:r>
          </w:p>
        </w:tc>
        <w:tc>
          <w:tcPr>
            <w:tcW w:w="4140" w:type="dxa"/>
            <w:vAlign w:val="bottom"/>
          </w:tcPr>
          <w:p>
            <w:pPr>
              <w:jc w:val="right"/>
              <w:ind w:right="134"/>
              <w:spacing w:after="0" w:line="163" w:lineRule="exact"/>
              <w:rPr>
                <w:sz w:val="20"/>
                <w:szCs w:val="20"/>
                <w:color w:val="auto"/>
              </w:rPr>
            </w:pPr>
            <w:r>
              <w:rPr>
                <w:rFonts w:ascii="Arial" w:cs="Arial" w:eastAsia="Arial" w:hAnsi="Arial"/>
                <w:sz w:val="17"/>
                <w:szCs w:val="17"/>
                <w:b w:val="1"/>
                <w:bCs w:val="1"/>
                <w:color w:val="auto"/>
              </w:rPr>
              <w:t>$238,763</w:t>
            </w:r>
          </w:p>
        </w:tc>
        <w:tc>
          <w:tcPr>
            <w:tcW w:w="1720" w:type="dxa"/>
            <w:vAlign w:val="bottom"/>
          </w:tcPr>
          <w:p>
            <w:pPr>
              <w:jc w:val="right"/>
              <w:spacing w:after="0" w:line="163" w:lineRule="exact"/>
              <w:rPr>
                <w:sz w:val="20"/>
                <w:szCs w:val="20"/>
                <w:color w:val="auto"/>
              </w:rPr>
            </w:pPr>
            <w:r>
              <w:rPr>
                <w:rFonts w:ascii="Arial" w:cs="Arial" w:eastAsia="Arial" w:hAnsi="Arial"/>
                <w:sz w:val="17"/>
                <w:szCs w:val="17"/>
                <w:color w:val="auto"/>
              </w:rPr>
              <w:t>$152,375</w:t>
            </w:r>
          </w:p>
        </w:tc>
        <w:tc>
          <w:tcPr>
            <w:tcW w:w="20" w:type="dxa"/>
            <w:vAlign w:val="bottom"/>
          </w:tcPr>
          <w:p>
            <w:pPr>
              <w:spacing w:after="0"/>
              <w:rPr>
                <w:sz w:val="14"/>
                <w:szCs w:val="14"/>
                <w:color w:val="auto"/>
              </w:rPr>
            </w:pPr>
          </w:p>
        </w:tc>
      </w:tr>
      <w:tr>
        <w:trPr>
          <w:trHeight w:val="194"/>
        </w:trPr>
        <w:tc>
          <w:tcPr>
            <w:tcW w:w="5560" w:type="dxa"/>
            <w:vAlign w:val="bottom"/>
          </w:tcPr>
          <w:p>
            <w:pPr>
              <w:spacing w:after="0" w:line="194" w:lineRule="exact"/>
              <w:rPr>
                <w:sz w:val="20"/>
                <w:szCs w:val="20"/>
                <w:color w:val="auto"/>
              </w:rPr>
            </w:pPr>
            <w:r>
              <w:rPr>
                <w:rFonts w:ascii="Arial" w:cs="Arial" w:eastAsia="Arial" w:hAnsi="Arial"/>
                <w:sz w:val="17"/>
                <w:szCs w:val="17"/>
                <w:color w:val="auto"/>
              </w:rPr>
              <w:t>Bank promissory notes</w:t>
            </w:r>
          </w:p>
        </w:tc>
        <w:tc>
          <w:tcPr>
            <w:tcW w:w="4140" w:type="dxa"/>
            <w:vAlign w:val="bottom"/>
          </w:tcPr>
          <w:p>
            <w:pPr>
              <w:jc w:val="right"/>
              <w:ind w:right="134"/>
              <w:spacing w:after="0" w:line="194" w:lineRule="exact"/>
              <w:rPr>
                <w:sz w:val="20"/>
                <w:szCs w:val="20"/>
                <w:color w:val="auto"/>
              </w:rPr>
            </w:pPr>
            <w:r>
              <w:rPr>
                <w:rFonts w:ascii="Arial" w:cs="Arial" w:eastAsia="Arial" w:hAnsi="Arial"/>
                <w:sz w:val="17"/>
                <w:szCs w:val="17"/>
                <w:b w:val="1"/>
                <w:bCs w:val="1"/>
                <w:color w:val="auto"/>
              </w:rPr>
              <w:t>18,070</w:t>
            </w:r>
          </w:p>
        </w:tc>
        <w:tc>
          <w:tcPr>
            <w:tcW w:w="17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20,255</w:t>
            </w:r>
          </w:p>
        </w:tc>
      </w:tr>
      <w:tr>
        <w:trPr>
          <w:trHeight w:val="194"/>
        </w:trPr>
        <w:tc>
          <w:tcPr>
            <w:tcW w:w="5560" w:type="dxa"/>
            <w:vAlign w:val="bottom"/>
          </w:tcPr>
          <w:p>
            <w:pPr>
              <w:spacing w:after="0" w:line="194" w:lineRule="exact"/>
              <w:rPr>
                <w:sz w:val="20"/>
                <w:szCs w:val="20"/>
                <w:color w:val="auto"/>
              </w:rPr>
            </w:pPr>
            <w:r>
              <w:rPr>
                <w:rFonts w:ascii="Arial" w:cs="Arial" w:eastAsia="Arial" w:hAnsi="Arial"/>
                <w:sz w:val="17"/>
                <w:szCs w:val="17"/>
                <w:color w:val="auto"/>
              </w:rPr>
              <w:t>Revenue in excess of progress billings</w:t>
            </w:r>
          </w:p>
        </w:tc>
        <w:tc>
          <w:tcPr>
            <w:tcW w:w="4140" w:type="dxa"/>
            <w:vAlign w:val="bottom"/>
          </w:tcPr>
          <w:p>
            <w:pPr>
              <w:jc w:val="right"/>
              <w:ind w:right="134"/>
              <w:spacing w:after="0" w:line="194" w:lineRule="exact"/>
              <w:rPr>
                <w:sz w:val="20"/>
                <w:szCs w:val="20"/>
                <w:color w:val="auto"/>
              </w:rPr>
            </w:pPr>
            <w:r>
              <w:rPr>
                <w:rFonts w:ascii="Arial" w:cs="Arial" w:eastAsia="Arial" w:hAnsi="Arial"/>
                <w:sz w:val="17"/>
                <w:szCs w:val="17"/>
                <w:b w:val="1"/>
                <w:bCs w:val="1"/>
                <w:color w:val="auto"/>
              </w:rPr>
              <w:t>-</w:t>
            </w:r>
          </w:p>
        </w:tc>
        <w:tc>
          <w:tcPr>
            <w:tcW w:w="17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37,964</w:t>
            </w: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Allowance for doubtful accounts</w:t>
            </w:r>
          </w:p>
        </w:tc>
        <w:tc>
          <w:tcPr>
            <w:tcW w:w="4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(7,351)</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(7,919)</w:t>
            </w:r>
          </w:p>
        </w:tc>
        <w:tc>
          <w:tcPr>
            <w:tcW w:w="20" w:type="dxa"/>
            <w:vAlign w:val="bottom"/>
            <w:tcBorders>
              <w:bottom w:val="single" w:sz="8" w:color="auto"/>
            </w:tcBorders>
          </w:tcPr>
          <w:p>
            <w:pPr>
              <w:spacing w:after="0"/>
              <w:rPr>
                <w:sz w:val="18"/>
                <w:szCs w:val="18"/>
                <w:color w:val="auto"/>
              </w:rPr>
            </w:pPr>
          </w:p>
        </w:tc>
      </w:tr>
      <w:tr>
        <w:trPr>
          <w:trHeight w:val="186"/>
        </w:trPr>
        <w:tc>
          <w:tcPr>
            <w:tcW w:w="55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accounts receivable</w:t>
            </w:r>
          </w:p>
        </w:tc>
        <w:tc>
          <w:tcPr>
            <w:tcW w:w="414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b w:val="1"/>
                <w:bCs w:val="1"/>
                <w:color w:val="auto"/>
              </w:rPr>
              <w:t>$249,482</w:t>
            </w:r>
          </w:p>
        </w:tc>
        <w:tc>
          <w:tcPr>
            <w:tcW w:w="1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$202,675</w:t>
            </w:r>
          </w:p>
        </w:tc>
        <w:tc>
          <w:tcPr>
            <w:tcW w:w="20" w:type="dxa"/>
            <w:vAlign w:val="bottom"/>
            <w:tcBorders>
              <w:bottom w:val="single" w:sz="8" w:color="auto"/>
            </w:tcBorders>
          </w:tcPr>
          <w:p>
            <w:pPr>
              <w:spacing w:after="0"/>
              <w:rPr>
                <w:sz w:val="16"/>
                <w:szCs w:val="16"/>
                <w:color w:val="auto"/>
              </w:rPr>
            </w:pPr>
          </w:p>
        </w:tc>
      </w:tr>
    </w:tbl>
    <w:p>
      <w:pPr>
        <w:spacing w:after="0" w:line="167" w:lineRule="exact"/>
        <w:rPr>
          <w:sz w:val="20"/>
          <w:szCs w:val="20"/>
          <w:color w:val="auto"/>
        </w:rPr>
      </w:pPr>
    </w:p>
    <w:p>
      <w:pPr>
        <w:jc w:val="both"/>
        <w:ind w:right="20" w:firstLine="620"/>
        <w:spacing w:after="0" w:line="250" w:lineRule="auto"/>
        <w:rPr>
          <w:sz w:val="20"/>
          <w:szCs w:val="20"/>
          <w:color w:val="auto"/>
        </w:rPr>
      </w:pPr>
      <w:r>
        <w:rPr>
          <w:rFonts w:ascii="Arial" w:cs="Arial" w:eastAsia="Arial" w:hAnsi="Arial"/>
          <w:sz w:val="17"/>
          <w:szCs w:val="17"/>
          <w:color w:val="auto"/>
        </w:rPr>
        <w:t>In connection with certain sales in Asia, the Company accepts a bank promissory note as customer payment. The notes may be presented for payment at maturity, which is less than one year.</w:t>
      </w:r>
    </w:p>
    <w:p>
      <w:pPr>
        <w:spacing w:after="0" w:line="161" w:lineRule="exact"/>
        <w:rPr>
          <w:sz w:val="20"/>
          <w:szCs w:val="20"/>
          <w:color w:val="auto"/>
        </w:rPr>
      </w:pPr>
    </w:p>
    <w:p>
      <w:pPr>
        <w:ind w:right="120" w:firstLine="620"/>
        <w:spacing w:after="0" w:line="250" w:lineRule="auto"/>
        <w:rPr>
          <w:sz w:val="20"/>
          <w:szCs w:val="20"/>
          <w:color w:val="auto"/>
        </w:rPr>
      </w:pPr>
      <w:r>
        <w:rPr>
          <w:rFonts w:ascii="Arial" w:cs="Arial" w:eastAsia="Arial" w:hAnsi="Arial"/>
          <w:sz w:val="17"/>
          <w:szCs w:val="17"/>
          <w:color w:val="auto"/>
        </w:rPr>
        <w:t>The Company also has Noncurrent receivables in the AEC segment that represent revenue earned which has extended payment terms. The Noncurrent receivables will be invoiced to the customer, with 2% interest, over a 10-year period starting in 2020.</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2018 and December 31, 2017, Noncurrent receivables consisted of the following:</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b w:val="1"/>
                <w:bCs w:val="1"/>
                <w:color w:val="auto"/>
              </w:rPr>
              <w:t>June 30,</w:t>
            </w:r>
          </w:p>
        </w:tc>
        <w:tc>
          <w:tcPr>
            <w:tcW w:w="8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14"/>
              <w:spacing w:after="0" w:line="184" w:lineRule="exact"/>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5"/>
                <w:szCs w:val="15"/>
                <w:color w:val="auto"/>
              </w:rPr>
            </w:pPr>
          </w:p>
        </w:tc>
      </w:tr>
      <w:tr>
        <w:trPr>
          <w:trHeight w:val="216"/>
        </w:trPr>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2018</w:t>
            </w:r>
          </w:p>
        </w:tc>
        <w:tc>
          <w:tcPr>
            <w:tcW w:w="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86"/>
        </w:trPr>
        <w:tc>
          <w:tcPr>
            <w:tcW w:w="49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Noncurrent receivables</w:t>
            </w:r>
          </w:p>
        </w:tc>
        <w:tc>
          <w:tcPr>
            <w:tcW w:w="38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b w:val="1"/>
                <w:bCs w:val="1"/>
                <w:color w:val="auto"/>
                <w:w w:val="97"/>
              </w:rPr>
              <w:t>$36,981</w:t>
            </w:r>
          </w:p>
        </w:tc>
        <w:tc>
          <w:tcPr>
            <w:tcW w:w="1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$32,811</w:t>
            </w: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12. Contract Assets and Liabilities</w:t>
      </w:r>
    </w:p>
    <w:p>
      <w:pPr>
        <w:spacing w:after="0" w:line="186"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Beginning in 2018, Contract assets includes unbilled amounts typically resulting from sales under contracts when the cost-to-cost method of revenue recognition is utilized, and revenue recognized exceeds the amount billed to the customer. For periods prior to 2018, that asset was included in Accounts receivable. At the date of adoption of ASC 606, we recorded Contract assets of $47.4 million, which included the amount that was in Accounts receivable as of December 31, 2017, and additional transition adjustments that resulted from the retrospective application of ASC 606 to contracts in process at the time of adoption.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28" w:name="page29"/>
    <w:bookmarkEnd w:id="28"/>
    <w:p>
      <w:pPr>
        <w:jc w:val="both"/>
        <w:ind w:right="320" w:firstLine="620"/>
        <w:spacing w:after="0" w:line="243" w:lineRule="auto"/>
        <w:rPr>
          <w:sz w:val="20"/>
          <w:szCs w:val="20"/>
          <w:color w:val="auto"/>
        </w:rPr>
      </w:pPr>
      <w:r>
        <w:rPr>
          <w:rFonts w:ascii="Arial" w:cs="Arial" w:eastAsia="Arial" w:hAnsi="Arial"/>
          <w:sz w:val="17"/>
          <w:szCs w:val="17"/>
          <w:color w:val="auto"/>
        </w:rPr>
        <w:t>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w:t>
      </w:r>
    </w:p>
    <w:p>
      <w:pPr>
        <w:spacing w:after="0" w:line="168" w:lineRule="exact"/>
        <w:rPr>
          <w:sz w:val="20"/>
          <w:szCs w:val="20"/>
          <w:color w:val="auto"/>
        </w:rPr>
      </w:pPr>
    </w:p>
    <w:p>
      <w:pPr>
        <w:ind w:right="220" w:firstLine="620"/>
        <w:spacing w:after="0" w:line="250" w:lineRule="auto"/>
        <w:rPr>
          <w:sz w:val="20"/>
          <w:szCs w:val="20"/>
          <w:color w:val="auto"/>
        </w:rPr>
      </w:pPr>
      <w:r>
        <w:rPr>
          <w:rFonts w:ascii="Arial" w:cs="Arial" w:eastAsia="Arial" w:hAnsi="Arial"/>
          <w:sz w:val="17"/>
          <w:szCs w:val="17"/>
          <w:color w:val="auto"/>
        </w:rPr>
        <w:t>Contract assets and Contract liabilities are reported on the Consolidated Balance Sheets in a net position on a contract-by-contract basis at the end of each reporting period. Contract assets and contract liabilities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Borders>
              <w:top w:val="single" w:sz="8" w:color="auto"/>
            </w:tcBorders>
          </w:tcPr>
          <w:p>
            <w:pPr>
              <w:spacing w:after="0"/>
              <w:rPr>
                <w:sz w:val="15"/>
                <w:szCs w:val="15"/>
                <w:color w:val="auto"/>
              </w:rPr>
            </w:pPr>
          </w:p>
        </w:tc>
        <w:tc>
          <w:tcPr>
            <w:tcW w:w="410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b w:val="1"/>
                <w:bCs w:val="1"/>
                <w:color w:val="auto"/>
              </w:rPr>
              <w:t>June 30,</w:t>
            </w:r>
          </w:p>
        </w:tc>
        <w:tc>
          <w:tcPr>
            <w:tcW w:w="8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14"/>
              <w:spacing w:after="0" w:line="184" w:lineRule="exact"/>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5"/>
                <w:szCs w:val="15"/>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4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2018</w:t>
            </w:r>
          </w:p>
        </w:tc>
        <w:tc>
          <w:tcPr>
            <w:tcW w:w="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86"/>
        </w:trPr>
        <w:tc>
          <w:tcPr>
            <w:tcW w:w="47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Contract assets</w:t>
            </w:r>
          </w:p>
        </w:tc>
        <w:tc>
          <w:tcPr>
            <w:tcW w:w="4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b w:val="1"/>
                <w:bCs w:val="1"/>
                <w:color w:val="auto"/>
                <w:w w:val="97"/>
              </w:rPr>
              <w:t>$59,244</w:t>
            </w:r>
          </w:p>
        </w:tc>
        <w:tc>
          <w:tcPr>
            <w:tcW w:w="1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 -</w:t>
            </w:r>
          </w:p>
        </w:tc>
        <w:tc>
          <w:tcPr>
            <w:tcW w:w="20" w:type="dxa"/>
            <w:vAlign w:val="bottom"/>
            <w:tcBorders>
              <w:bottom w:val="single" w:sz="8" w:color="auto"/>
            </w:tcBorders>
          </w:tcPr>
          <w:p>
            <w:pPr>
              <w:spacing w:after="0"/>
              <w:rPr>
                <w:sz w:val="16"/>
                <w:szCs w:val="16"/>
                <w:color w:val="auto"/>
              </w:rPr>
            </w:pPr>
          </w:p>
        </w:tc>
      </w:tr>
      <w:tr>
        <w:trPr>
          <w:trHeight w:val="186"/>
        </w:trPr>
        <w:tc>
          <w:tcPr>
            <w:tcW w:w="47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Contract liabilities</w:t>
            </w:r>
          </w:p>
        </w:tc>
        <w:tc>
          <w:tcPr>
            <w:tcW w:w="4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b w:val="1"/>
                <w:bCs w:val="1"/>
                <w:color w:val="auto"/>
              </w:rPr>
              <w:t>4,220</w:t>
            </w:r>
          </w:p>
        </w:tc>
        <w:tc>
          <w:tcPr>
            <w:tcW w:w="174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w:t>
            </w:r>
          </w:p>
        </w:tc>
      </w:tr>
    </w:tbl>
    <w:p>
      <w:pPr>
        <w:spacing w:after="0" w:line="167" w:lineRule="exact"/>
        <w:rPr>
          <w:sz w:val="20"/>
          <w:szCs w:val="20"/>
          <w:color w:val="auto"/>
        </w:rPr>
      </w:pPr>
    </w:p>
    <w:p>
      <w:pPr>
        <w:ind w:right="60" w:firstLine="620"/>
        <w:spacing w:after="0" w:line="241" w:lineRule="auto"/>
        <w:rPr>
          <w:sz w:val="20"/>
          <w:szCs w:val="20"/>
          <w:color w:val="auto"/>
        </w:rPr>
      </w:pPr>
      <w:r>
        <w:rPr>
          <w:rFonts w:ascii="Arial" w:cs="Arial" w:eastAsia="Arial" w:hAnsi="Arial"/>
          <w:sz w:val="17"/>
          <w:szCs w:val="17"/>
          <w:color w:val="auto"/>
        </w:rPr>
        <w:t>Contract assets increased $11.8 million during the six month period ended June 30, 2018 as compared to the January 1, 2018 opening balance sheet, as adjusted for the adoption of ASC 606 (see Note 2). The increase was primarily due to an increase in unbilled revenue related to the satisfaction of performance obligations, in excess of the amounts billed to customers. There were no impairment losses related to our Contract assets during the six month period ended June 30, 2018.</w:t>
      </w:r>
    </w:p>
    <w:p>
      <w:pPr>
        <w:spacing w:after="0" w:line="170"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Contract liabilities increased $3.5 million during the six month period ended June 30, 2018, as compared to the January 1, 2018 opening balance sheet, as adjusted for the adoption of ASC 606, primarily due to increased billings in excess of revenue recognized. Revenue recognized for the six month period ended June 30, 2018, that was included in the Contract liability balance at the beginning of the year was less than $1 million, and represented revenue primarily in the ASC reporting unit.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13. Inventories</w:t>
      </w:r>
    </w:p>
    <w:p>
      <w:pPr>
        <w:spacing w:after="0" w:line="199"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 The decrease in Inventories in 2018, compared to the balances as of December 31, 2017, was principally due to the cumulative effect of adopting ASC 606 (see Note 2) which decreased Inventories by $47.1 million.</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2018 and December 31, 2017, inventories consisted of the following:</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4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6"/>
        </w:trPr>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4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June 30, 2018</w:t>
            </w:r>
          </w:p>
        </w:tc>
        <w:tc>
          <w:tcPr>
            <w:tcW w:w="18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December 31, 2017</w:t>
            </w:r>
          </w:p>
        </w:tc>
        <w:tc>
          <w:tcPr>
            <w:tcW w:w="20" w:type="dxa"/>
            <w:vAlign w:val="bottom"/>
          </w:tcPr>
          <w:p>
            <w:pPr>
              <w:spacing w:after="0"/>
              <w:rPr>
                <w:sz w:val="17"/>
                <w:szCs w:val="17"/>
                <w:color w:val="auto"/>
              </w:rPr>
            </w:pPr>
          </w:p>
        </w:tc>
      </w:tr>
      <w:tr>
        <w:trPr>
          <w:trHeight w:val="164"/>
        </w:trPr>
        <w:tc>
          <w:tcPr>
            <w:tcW w:w="4140" w:type="dxa"/>
            <w:vAlign w:val="bottom"/>
          </w:tcPr>
          <w:p>
            <w:pPr>
              <w:spacing w:after="0" w:line="163" w:lineRule="exact"/>
              <w:rPr>
                <w:sz w:val="20"/>
                <w:szCs w:val="20"/>
                <w:color w:val="auto"/>
              </w:rPr>
            </w:pPr>
            <w:r>
              <w:rPr>
                <w:rFonts w:ascii="Arial" w:cs="Arial" w:eastAsia="Arial" w:hAnsi="Arial"/>
                <w:sz w:val="17"/>
                <w:szCs w:val="17"/>
                <w:color w:val="auto"/>
              </w:rPr>
              <w:t>Raw materials</w:t>
            </w:r>
          </w:p>
        </w:tc>
        <w:tc>
          <w:tcPr>
            <w:tcW w:w="4280" w:type="dxa"/>
            <w:vAlign w:val="bottom"/>
          </w:tcPr>
          <w:p>
            <w:pPr>
              <w:jc w:val="right"/>
              <w:ind w:right="14"/>
              <w:spacing w:after="0" w:line="163" w:lineRule="exact"/>
              <w:rPr>
                <w:sz w:val="20"/>
                <w:szCs w:val="20"/>
                <w:color w:val="auto"/>
              </w:rPr>
            </w:pPr>
            <w:r>
              <w:rPr>
                <w:rFonts w:ascii="Arial" w:cs="Arial" w:eastAsia="Arial" w:hAnsi="Arial"/>
                <w:sz w:val="17"/>
                <w:szCs w:val="17"/>
                <w:b w:val="1"/>
                <w:bCs w:val="1"/>
                <w:color w:val="auto"/>
              </w:rPr>
              <w:t>$39,822</w:t>
            </w:r>
          </w:p>
        </w:tc>
        <w:tc>
          <w:tcPr>
            <w:tcW w:w="1860" w:type="dxa"/>
            <w:vAlign w:val="bottom"/>
          </w:tcPr>
          <w:p>
            <w:pPr>
              <w:jc w:val="right"/>
              <w:spacing w:after="0" w:line="163" w:lineRule="exact"/>
              <w:rPr>
                <w:sz w:val="20"/>
                <w:szCs w:val="20"/>
                <w:color w:val="auto"/>
              </w:rPr>
            </w:pPr>
            <w:r>
              <w:rPr>
                <w:rFonts w:ascii="Arial" w:cs="Arial" w:eastAsia="Arial" w:hAnsi="Arial"/>
                <w:sz w:val="17"/>
                <w:szCs w:val="17"/>
                <w:color w:val="auto"/>
              </w:rPr>
              <w:t>$42,215</w:t>
            </w:r>
          </w:p>
        </w:tc>
        <w:tc>
          <w:tcPr>
            <w:tcW w:w="20" w:type="dxa"/>
            <w:vAlign w:val="bottom"/>
          </w:tcPr>
          <w:p>
            <w:pPr>
              <w:spacing w:after="0"/>
              <w:rPr>
                <w:sz w:val="14"/>
                <w:szCs w:val="14"/>
                <w:color w:val="auto"/>
              </w:rPr>
            </w:pPr>
          </w:p>
        </w:tc>
      </w:tr>
      <w:tr>
        <w:trPr>
          <w:trHeight w:val="194"/>
        </w:trPr>
        <w:tc>
          <w:tcPr>
            <w:tcW w:w="4140" w:type="dxa"/>
            <w:vAlign w:val="bottom"/>
          </w:tcPr>
          <w:p>
            <w:pPr>
              <w:spacing w:after="0" w:line="194" w:lineRule="exact"/>
              <w:rPr>
                <w:sz w:val="20"/>
                <w:szCs w:val="20"/>
                <w:color w:val="auto"/>
              </w:rPr>
            </w:pPr>
            <w:r>
              <w:rPr>
                <w:rFonts w:ascii="Arial" w:cs="Arial" w:eastAsia="Arial" w:hAnsi="Arial"/>
                <w:sz w:val="17"/>
                <w:szCs w:val="17"/>
                <w:color w:val="auto"/>
              </w:rPr>
              <w:t>Work in process</w:t>
            </w:r>
          </w:p>
        </w:tc>
        <w:tc>
          <w:tcPr>
            <w:tcW w:w="4280" w:type="dxa"/>
            <w:vAlign w:val="bottom"/>
          </w:tcPr>
          <w:p>
            <w:pPr>
              <w:jc w:val="right"/>
              <w:ind w:right="14"/>
              <w:spacing w:after="0" w:line="194" w:lineRule="exact"/>
              <w:rPr>
                <w:sz w:val="20"/>
                <w:szCs w:val="20"/>
                <w:color w:val="auto"/>
              </w:rPr>
            </w:pPr>
            <w:r>
              <w:rPr>
                <w:rFonts w:ascii="Arial" w:cs="Arial" w:eastAsia="Arial" w:hAnsi="Arial"/>
                <w:sz w:val="17"/>
                <w:szCs w:val="17"/>
                <w:b w:val="1"/>
                <w:bCs w:val="1"/>
                <w:color w:val="auto"/>
              </w:rPr>
              <w:t>44,526</w:t>
            </w:r>
          </w:p>
        </w:tc>
        <w:tc>
          <w:tcPr>
            <w:tcW w:w="18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65,448</w:t>
            </w:r>
          </w:p>
        </w:tc>
      </w:tr>
      <w:tr>
        <w:trPr>
          <w:trHeight w:val="216"/>
        </w:trPr>
        <w:tc>
          <w:tcPr>
            <w:tcW w:w="4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Finished goods</w:t>
            </w:r>
          </w:p>
        </w:tc>
        <w:tc>
          <w:tcPr>
            <w:tcW w:w="4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13,311</w:t>
            </w:r>
          </w:p>
        </w:tc>
        <w:tc>
          <w:tcPr>
            <w:tcW w:w="1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28,856</w:t>
            </w:r>
          </w:p>
        </w:tc>
      </w:tr>
      <w:tr>
        <w:trPr>
          <w:trHeight w:val="186"/>
        </w:trPr>
        <w:tc>
          <w:tcPr>
            <w:tcW w:w="414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inventories</w:t>
            </w:r>
          </w:p>
        </w:tc>
        <w:tc>
          <w:tcPr>
            <w:tcW w:w="428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b w:val="1"/>
                <w:bCs w:val="1"/>
                <w:color w:val="auto"/>
              </w:rPr>
              <w:t>$97,659</w:t>
            </w:r>
          </w:p>
        </w:tc>
        <w:tc>
          <w:tcPr>
            <w:tcW w:w="18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$136,519</w:t>
            </w: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14. Goodwill and Other Intangible Assets</w:t>
      </w:r>
    </w:p>
    <w:p>
      <w:pPr>
        <w:spacing w:after="0" w:line="212" w:lineRule="exact"/>
        <w:rPr>
          <w:sz w:val="20"/>
          <w:szCs w:val="20"/>
          <w:color w:val="auto"/>
        </w:rPr>
      </w:pPr>
    </w:p>
    <w:p>
      <w:pPr>
        <w:jc w:val="both"/>
        <w:ind w:right="680" w:firstLine="620"/>
        <w:spacing w:after="0" w:line="243" w:lineRule="auto"/>
        <w:rPr>
          <w:sz w:val="20"/>
          <w:szCs w:val="20"/>
          <w:color w:val="auto"/>
        </w:rPr>
      </w:pPr>
      <w:r>
        <w:rPr>
          <w:rFonts w:ascii="Arial" w:cs="Arial" w:eastAsia="Arial" w:hAnsi="Arial"/>
          <w:sz w:val="17"/>
          <w:szCs w:val="17"/>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w:t>
      </w:r>
    </w:p>
    <w:p>
      <w:pPr>
        <w:spacing w:after="0" w:line="155" w:lineRule="exact"/>
        <w:rPr>
          <w:sz w:val="20"/>
          <w:szCs w:val="20"/>
          <w:color w:val="auto"/>
        </w:rPr>
      </w:pPr>
    </w:p>
    <w:p>
      <w:pPr>
        <w:ind w:right="240" w:firstLine="620"/>
        <w:spacing w:after="0" w:line="241" w:lineRule="auto"/>
        <w:rPr>
          <w:sz w:val="20"/>
          <w:szCs w:val="20"/>
          <w:color w:val="auto"/>
        </w:rPr>
      </w:pPr>
      <w:r>
        <w:rPr>
          <w:rFonts w:ascii="Arial" w:cs="Arial" w:eastAsia="Arial" w:hAnsi="Arial"/>
          <w:sz w:val="17"/>
          <w:szCs w:val="17"/>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70" w:lineRule="exact"/>
        <w:rPr>
          <w:sz w:val="20"/>
          <w:szCs w:val="20"/>
          <w:color w:val="auto"/>
        </w:rPr>
      </w:pPr>
    </w:p>
    <w:p>
      <w:pPr>
        <w:ind w:right="60" w:firstLine="620"/>
        <w:spacing w:after="0" w:line="241" w:lineRule="auto"/>
        <w:rPr>
          <w:sz w:val="20"/>
          <w:szCs w:val="20"/>
          <w:color w:val="auto"/>
        </w:rPr>
      </w:pPr>
      <w:r>
        <w:rPr>
          <w:rFonts w:ascii="Arial" w:cs="Arial" w:eastAsia="Arial" w:hAnsi="Arial"/>
          <w:sz w:val="17"/>
          <w:szCs w:val="17"/>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57" w:lineRule="exact"/>
        <w:rPr>
          <w:sz w:val="20"/>
          <w:szCs w:val="20"/>
          <w:color w:val="auto"/>
        </w:rPr>
      </w:pPr>
    </w:p>
    <w:p>
      <w:pPr>
        <w:jc w:val="both"/>
        <w:ind w:right="120" w:firstLine="620"/>
        <w:spacing w:after="0" w:line="243" w:lineRule="auto"/>
        <w:rPr>
          <w:sz w:val="20"/>
          <w:szCs w:val="20"/>
          <w:color w:val="auto"/>
        </w:rPr>
      </w:pPr>
      <w:r>
        <w:rPr>
          <w:rFonts w:ascii="Arial" w:cs="Arial" w:eastAsia="Arial" w:hAnsi="Arial"/>
          <w:sz w:val="17"/>
          <w:szCs w:val="17"/>
          <w:color w:val="auto"/>
        </w:rPr>
        <w:t>In the second quarter of 2018, the Company applied the qualitative assessment approach in performing its annual evaluation of goodwill and concluded that no impairment provision was required. There were no amounts at risk due to the large spread between the fair, and carrying value, of each reporting unit.</w:t>
      </w:r>
    </w:p>
    <w:p>
      <w:pPr>
        <w:spacing w:after="0" w:line="155"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We are continuing to amortize certain patents, trade names, customer relationships, customer contracts and technology assets that have finite lives. The gross carrying value, accumulated amortization and net values of intangible assets and goodwill as of June 30, 2018 and December 31, 2017,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829"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440" w:type="dxa"/>
            <w:vAlign w:val="bottom"/>
            <w:tcBorders>
              <w:top w:val="single" w:sz="8" w:color="auto"/>
            </w:tcBorders>
            <w:gridSpan w:val="2"/>
          </w:tcPr>
          <w:p>
            <w:pPr>
              <w:spacing w:after="0" w:line="184" w:lineRule="exact"/>
              <w:rPr>
                <w:sz w:val="20"/>
                <w:szCs w:val="20"/>
                <w:color w:val="auto"/>
              </w:rPr>
            </w:pPr>
            <w:r>
              <w:rPr>
                <w:rFonts w:ascii="Arial" w:cs="Arial" w:eastAsia="Arial" w:hAnsi="Arial"/>
                <w:sz w:val="17"/>
                <w:szCs w:val="17"/>
                <w:b w:val="1"/>
                <w:bCs w:val="1"/>
                <w:color w:val="auto"/>
              </w:rPr>
              <w:t>As of June 30, 2018</w:t>
            </w:r>
          </w:p>
        </w:tc>
        <w:tc>
          <w:tcPr>
            <w:tcW w:w="2820" w:type="dxa"/>
            <w:vAlign w:val="bottom"/>
            <w:tcBorders>
              <w:top w:val="single" w:sz="8" w:color="auto"/>
            </w:tcBorders>
          </w:tcPr>
          <w:p>
            <w:pPr>
              <w:jc w:val="center"/>
              <w:ind w:left="574"/>
              <w:spacing w:after="0" w:line="184" w:lineRule="exact"/>
              <w:rPr>
                <w:sz w:val="20"/>
                <w:szCs w:val="20"/>
                <w:color w:val="auto"/>
              </w:rPr>
            </w:pPr>
            <w:r>
              <w:rPr>
                <w:rFonts w:ascii="Arial" w:cs="Arial" w:eastAsia="Arial" w:hAnsi="Arial"/>
                <w:sz w:val="17"/>
                <w:szCs w:val="17"/>
                <w:b w:val="1"/>
                <w:bCs w:val="1"/>
                <w:color w:val="auto"/>
              </w:rPr>
              <w:t>Weighted average</w:t>
            </w:r>
          </w:p>
        </w:tc>
        <w:tc>
          <w:tcPr>
            <w:tcW w:w="1660" w:type="dxa"/>
            <w:vAlign w:val="bottom"/>
            <w:tcBorders>
              <w:top w:val="single" w:sz="8" w:color="auto"/>
            </w:tcBorders>
          </w:tcPr>
          <w:p>
            <w:pPr>
              <w:jc w:val="right"/>
              <w:ind w:right="234"/>
              <w:spacing w:after="0" w:line="184" w:lineRule="exact"/>
              <w:rPr>
                <w:sz w:val="20"/>
                <w:szCs w:val="20"/>
                <w:color w:val="auto"/>
              </w:rPr>
            </w:pPr>
            <w:r>
              <w:rPr>
                <w:rFonts w:ascii="Arial" w:cs="Arial" w:eastAsia="Arial" w:hAnsi="Arial"/>
                <w:sz w:val="17"/>
                <w:szCs w:val="17"/>
                <w:b w:val="1"/>
                <w:bCs w:val="1"/>
                <w:color w:val="auto"/>
              </w:rPr>
              <w:t>Gross carrying</w:t>
            </w:r>
          </w:p>
        </w:tc>
        <w:tc>
          <w:tcPr>
            <w:tcW w:w="1800" w:type="dxa"/>
            <w:vAlign w:val="bottom"/>
            <w:tcBorders>
              <w:top w:val="single" w:sz="8" w:color="auto"/>
            </w:tcBorders>
          </w:tcPr>
          <w:p>
            <w:pPr>
              <w:jc w:val="right"/>
              <w:ind w:right="394"/>
              <w:spacing w:after="0" w:line="184" w:lineRule="exact"/>
              <w:rPr>
                <w:sz w:val="20"/>
                <w:szCs w:val="20"/>
                <w:color w:val="auto"/>
              </w:rPr>
            </w:pPr>
            <w:r>
              <w:rPr>
                <w:rFonts w:ascii="Arial" w:cs="Arial" w:eastAsia="Arial" w:hAnsi="Arial"/>
                <w:sz w:val="17"/>
                <w:szCs w:val="17"/>
                <w:b w:val="1"/>
                <w:bCs w:val="1"/>
                <w:color w:val="auto"/>
              </w:rPr>
              <w:t>Accumulated</w:t>
            </w:r>
          </w:p>
        </w:tc>
        <w:tc>
          <w:tcPr>
            <w:tcW w:w="1700" w:type="dxa"/>
            <w:vAlign w:val="bottom"/>
            <w:tcBorders>
              <w:top w:val="single" w:sz="8" w:color="auto"/>
            </w:tcBorders>
          </w:tcPr>
          <w:p>
            <w:pPr>
              <w:spacing w:after="0"/>
              <w:rPr>
                <w:sz w:val="15"/>
                <w:szCs w:val="15"/>
                <w:color w:val="auto"/>
              </w:rPr>
            </w:pPr>
          </w:p>
        </w:tc>
      </w:tr>
      <w:tr>
        <w:trPr>
          <w:trHeight w:val="216"/>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2820" w:type="dxa"/>
            <w:vAlign w:val="bottom"/>
            <w:tcBorders>
              <w:bottom w:val="single" w:sz="8" w:color="auto"/>
            </w:tcBorders>
          </w:tcPr>
          <w:p>
            <w:pPr>
              <w:jc w:val="center"/>
              <w:ind w:left="514"/>
              <w:spacing w:after="0"/>
              <w:rPr>
                <w:sz w:val="20"/>
                <w:szCs w:val="20"/>
                <w:color w:val="auto"/>
              </w:rPr>
            </w:pPr>
            <w:r>
              <w:rPr>
                <w:rFonts w:ascii="Arial" w:cs="Arial" w:eastAsia="Arial" w:hAnsi="Arial"/>
                <w:sz w:val="17"/>
                <w:szCs w:val="17"/>
                <w:b w:val="1"/>
                <w:bCs w:val="1"/>
                <w:color w:val="auto"/>
              </w:rPr>
              <w:t>amortization life in years</w:t>
            </w:r>
          </w:p>
        </w:tc>
        <w:tc>
          <w:tcPr>
            <w:tcW w:w="16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amount</w:t>
            </w:r>
          </w:p>
        </w:tc>
        <w:tc>
          <w:tcPr>
            <w:tcW w:w="18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amortization</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Net carrying amount</w:t>
            </w:r>
          </w:p>
        </w:tc>
      </w:tr>
      <w:tr>
        <w:trPr>
          <w:trHeight w:val="379"/>
        </w:trPr>
        <w:tc>
          <w:tcPr>
            <w:tcW w:w="3440" w:type="dxa"/>
            <w:vAlign w:val="bottom"/>
            <w:gridSpan w:val="2"/>
          </w:tcPr>
          <w:p>
            <w:pPr>
              <w:spacing w:after="0"/>
              <w:rPr>
                <w:sz w:val="20"/>
                <w:szCs w:val="20"/>
                <w:color w:val="auto"/>
              </w:rPr>
            </w:pPr>
            <w:r>
              <w:rPr>
                <w:rFonts w:ascii="Arial" w:cs="Arial" w:eastAsia="Arial" w:hAnsi="Arial"/>
                <w:sz w:val="17"/>
                <w:szCs w:val="17"/>
                <w:color w:val="auto"/>
              </w:rPr>
              <w:t>Amortized intangible assets:</w:t>
            </w:r>
          </w:p>
        </w:tc>
        <w:tc>
          <w:tcPr>
            <w:tcW w:w="2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420" w:type="dxa"/>
            <w:vAlign w:val="bottom"/>
          </w:tcPr>
          <w:p>
            <w:pPr>
              <w:ind w:left="220"/>
              <w:spacing w:after="0" w:line="194" w:lineRule="exact"/>
              <w:rPr>
                <w:sz w:val="20"/>
                <w:szCs w:val="20"/>
                <w:color w:val="auto"/>
              </w:rPr>
            </w:pPr>
            <w:r>
              <w:rPr>
                <w:rFonts w:ascii="Arial" w:cs="Arial" w:eastAsia="Arial" w:hAnsi="Arial"/>
                <w:sz w:val="17"/>
                <w:szCs w:val="17"/>
                <w:color w:val="auto"/>
              </w:rPr>
              <w:t>AEC trade names</w:t>
            </w:r>
          </w:p>
        </w:tc>
        <w:tc>
          <w:tcPr>
            <w:tcW w:w="2820" w:type="dxa"/>
            <w:vAlign w:val="bottom"/>
          </w:tcPr>
          <w:p>
            <w:pPr>
              <w:jc w:val="center"/>
              <w:ind w:left="514"/>
              <w:spacing w:after="0" w:line="194" w:lineRule="exact"/>
              <w:rPr>
                <w:sz w:val="20"/>
                <w:szCs w:val="20"/>
                <w:color w:val="auto"/>
              </w:rPr>
            </w:pPr>
            <w:r>
              <w:rPr>
                <w:rFonts w:ascii="Arial" w:cs="Arial" w:eastAsia="Arial" w:hAnsi="Arial"/>
                <w:sz w:val="17"/>
                <w:szCs w:val="17"/>
                <w:color w:val="auto"/>
                <w:w w:val="94"/>
              </w:rPr>
              <w:t>15</w:t>
            </w:r>
          </w:p>
        </w:tc>
        <w:tc>
          <w:tcPr>
            <w:tcW w:w="166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$140</w:t>
            </w:r>
          </w:p>
        </w:tc>
        <w:tc>
          <w:tcPr>
            <w:tcW w:w="1800" w:type="dxa"/>
            <w:vAlign w:val="bottom"/>
          </w:tcPr>
          <w:p>
            <w:pPr>
              <w:jc w:val="right"/>
              <w:spacing w:after="0" w:line="194" w:lineRule="exact"/>
              <w:rPr>
                <w:sz w:val="20"/>
                <w:szCs w:val="20"/>
                <w:color w:val="auto"/>
              </w:rPr>
            </w:pPr>
            <w:r>
              <w:rPr>
                <w:rFonts w:ascii="Arial" w:cs="Arial" w:eastAsia="Arial" w:hAnsi="Arial"/>
                <w:sz w:val="17"/>
                <w:szCs w:val="17"/>
                <w:color w:val="auto"/>
              </w:rPr>
              <w:t>($127)</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$13</w:t>
            </w:r>
          </w:p>
        </w:tc>
      </w:tr>
      <w:tr>
        <w:trPr>
          <w:trHeight w:val="194"/>
        </w:trPr>
        <w:tc>
          <w:tcPr>
            <w:tcW w:w="20" w:type="dxa"/>
            <w:vAlign w:val="bottom"/>
          </w:tcPr>
          <w:p>
            <w:pPr>
              <w:spacing w:after="0"/>
              <w:rPr>
                <w:sz w:val="16"/>
                <w:szCs w:val="16"/>
                <w:color w:val="auto"/>
              </w:rPr>
            </w:pPr>
          </w:p>
        </w:tc>
        <w:tc>
          <w:tcPr>
            <w:tcW w:w="3420" w:type="dxa"/>
            <w:vAlign w:val="bottom"/>
          </w:tcPr>
          <w:p>
            <w:pPr>
              <w:ind w:left="220"/>
              <w:spacing w:after="0" w:line="194" w:lineRule="exact"/>
              <w:rPr>
                <w:sz w:val="20"/>
                <w:szCs w:val="20"/>
                <w:color w:val="auto"/>
              </w:rPr>
            </w:pPr>
            <w:r>
              <w:rPr>
                <w:rFonts w:ascii="Arial" w:cs="Arial" w:eastAsia="Arial" w:hAnsi="Arial"/>
                <w:sz w:val="17"/>
                <w:szCs w:val="17"/>
                <w:color w:val="auto"/>
              </w:rPr>
              <w:t>AEC technology</w:t>
            </w:r>
          </w:p>
        </w:tc>
        <w:tc>
          <w:tcPr>
            <w:tcW w:w="2820" w:type="dxa"/>
            <w:vAlign w:val="bottom"/>
          </w:tcPr>
          <w:p>
            <w:pPr>
              <w:jc w:val="center"/>
              <w:ind w:left="514"/>
              <w:spacing w:after="0" w:line="194" w:lineRule="exact"/>
              <w:rPr>
                <w:sz w:val="20"/>
                <w:szCs w:val="20"/>
                <w:color w:val="auto"/>
              </w:rPr>
            </w:pPr>
            <w:r>
              <w:rPr>
                <w:rFonts w:ascii="Arial" w:cs="Arial" w:eastAsia="Arial" w:hAnsi="Arial"/>
                <w:sz w:val="17"/>
                <w:szCs w:val="17"/>
                <w:color w:val="auto"/>
                <w:w w:val="94"/>
              </w:rPr>
              <w:t>15</w:t>
            </w:r>
          </w:p>
        </w:tc>
        <w:tc>
          <w:tcPr>
            <w:tcW w:w="166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370</w:t>
            </w:r>
          </w:p>
        </w:tc>
        <w:tc>
          <w:tcPr>
            <w:tcW w:w="1800" w:type="dxa"/>
            <w:vAlign w:val="bottom"/>
          </w:tcPr>
          <w:p>
            <w:pPr>
              <w:jc w:val="right"/>
              <w:spacing w:after="0" w:line="194" w:lineRule="exact"/>
              <w:rPr>
                <w:sz w:val="20"/>
                <w:szCs w:val="20"/>
                <w:color w:val="auto"/>
              </w:rPr>
            </w:pPr>
            <w:r>
              <w:rPr>
                <w:rFonts w:ascii="Arial" w:cs="Arial" w:eastAsia="Arial" w:hAnsi="Arial"/>
                <w:sz w:val="17"/>
                <w:szCs w:val="17"/>
                <w:color w:val="auto"/>
              </w:rPr>
              <w:t>(302)</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68</w:t>
            </w:r>
          </w:p>
        </w:tc>
      </w:tr>
      <w:tr>
        <w:trPr>
          <w:trHeight w:val="194"/>
        </w:trPr>
        <w:tc>
          <w:tcPr>
            <w:tcW w:w="20" w:type="dxa"/>
            <w:vAlign w:val="bottom"/>
          </w:tcPr>
          <w:p>
            <w:pPr>
              <w:spacing w:after="0"/>
              <w:rPr>
                <w:sz w:val="16"/>
                <w:szCs w:val="16"/>
                <w:color w:val="auto"/>
              </w:rPr>
            </w:pPr>
          </w:p>
        </w:tc>
        <w:tc>
          <w:tcPr>
            <w:tcW w:w="3420" w:type="dxa"/>
            <w:vAlign w:val="bottom"/>
          </w:tcPr>
          <w:p>
            <w:pPr>
              <w:ind w:left="220"/>
              <w:spacing w:after="0" w:line="194" w:lineRule="exact"/>
              <w:rPr>
                <w:sz w:val="20"/>
                <w:szCs w:val="20"/>
                <w:color w:val="auto"/>
              </w:rPr>
            </w:pPr>
            <w:r>
              <w:rPr>
                <w:rFonts w:ascii="Arial" w:cs="Arial" w:eastAsia="Arial" w:hAnsi="Arial"/>
                <w:sz w:val="17"/>
                <w:szCs w:val="17"/>
                <w:color w:val="auto"/>
              </w:rPr>
              <w:t>Customer relationships</w:t>
            </w:r>
          </w:p>
        </w:tc>
        <w:tc>
          <w:tcPr>
            <w:tcW w:w="2820" w:type="dxa"/>
            <w:vAlign w:val="bottom"/>
          </w:tcPr>
          <w:p>
            <w:pPr>
              <w:jc w:val="center"/>
              <w:ind w:left="514"/>
              <w:spacing w:after="0" w:line="194" w:lineRule="exact"/>
              <w:rPr>
                <w:sz w:val="20"/>
                <w:szCs w:val="20"/>
                <w:color w:val="auto"/>
              </w:rPr>
            </w:pPr>
            <w:r>
              <w:rPr>
                <w:rFonts w:ascii="Arial" w:cs="Arial" w:eastAsia="Arial" w:hAnsi="Arial"/>
                <w:sz w:val="17"/>
                <w:szCs w:val="17"/>
                <w:color w:val="auto"/>
                <w:w w:val="94"/>
              </w:rPr>
              <w:t>15</w:t>
            </w:r>
          </w:p>
        </w:tc>
        <w:tc>
          <w:tcPr>
            <w:tcW w:w="166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48,421</w:t>
            </w:r>
          </w:p>
        </w:tc>
        <w:tc>
          <w:tcPr>
            <w:tcW w:w="1800" w:type="dxa"/>
            <w:vAlign w:val="bottom"/>
          </w:tcPr>
          <w:p>
            <w:pPr>
              <w:jc w:val="right"/>
              <w:spacing w:after="0" w:line="194" w:lineRule="exact"/>
              <w:rPr>
                <w:sz w:val="20"/>
                <w:szCs w:val="20"/>
                <w:color w:val="auto"/>
              </w:rPr>
            </w:pPr>
            <w:r>
              <w:rPr>
                <w:rFonts w:ascii="Arial" w:cs="Arial" w:eastAsia="Arial" w:hAnsi="Arial"/>
                <w:sz w:val="17"/>
                <w:szCs w:val="17"/>
                <w:color w:val="auto"/>
              </w:rPr>
              <w:t>(7,269)</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41,152</w:t>
            </w:r>
          </w:p>
        </w:tc>
      </w:tr>
      <w:tr>
        <w:trPr>
          <w:trHeight w:val="194"/>
        </w:trPr>
        <w:tc>
          <w:tcPr>
            <w:tcW w:w="20" w:type="dxa"/>
            <w:vAlign w:val="bottom"/>
          </w:tcPr>
          <w:p>
            <w:pPr>
              <w:spacing w:after="0"/>
              <w:rPr>
                <w:sz w:val="16"/>
                <w:szCs w:val="16"/>
                <w:color w:val="auto"/>
              </w:rPr>
            </w:pPr>
          </w:p>
        </w:tc>
        <w:tc>
          <w:tcPr>
            <w:tcW w:w="3420" w:type="dxa"/>
            <w:vAlign w:val="bottom"/>
          </w:tcPr>
          <w:p>
            <w:pPr>
              <w:ind w:left="220"/>
              <w:spacing w:after="0" w:line="194" w:lineRule="exact"/>
              <w:rPr>
                <w:sz w:val="20"/>
                <w:szCs w:val="20"/>
                <w:color w:val="auto"/>
              </w:rPr>
            </w:pPr>
            <w:r>
              <w:rPr>
                <w:rFonts w:ascii="Arial" w:cs="Arial" w:eastAsia="Arial" w:hAnsi="Arial"/>
                <w:sz w:val="17"/>
                <w:szCs w:val="17"/>
                <w:color w:val="auto"/>
              </w:rPr>
              <w:t>Customer contracts</w:t>
            </w:r>
          </w:p>
        </w:tc>
        <w:tc>
          <w:tcPr>
            <w:tcW w:w="2820" w:type="dxa"/>
            <w:vAlign w:val="bottom"/>
          </w:tcPr>
          <w:p>
            <w:pPr>
              <w:jc w:val="center"/>
              <w:ind w:left="514"/>
              <w:spacing w:after="0" w:line="194" w:lineRule="exact"/>
              <w:rPr>
                <w:sz w:val="20"/>
                <w:szCs w:val="20"/>
                <w:color w:val="auto"/>
              </w:rPr>
            </w:pPr>
            <w:r>
              <w:rPr>
                <w:rFonts w:ascii="Arial" w:cs="Arial" w:eastAsia="Arial" w:hAnsi="Arial"/>
                <w:sz w:val="17"/>
                <w:szCs w:val="17"/>
                <w:color w:val="auto"/>
              </w:rPr>
              <w:t>6</w:t>
            </w:r>
          </w:p>
        </w:tc>
        <w:tc>
          <w:tcPr>
            <w:tcW w:w="166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17,471</w:t>
            </w:r>
          </w:p>
        </w:tc>
        <w:tc>
          <w:tcPr>
            <w:tcW w:w="1800" w:type="dxa"/>
            <w:vAlign w:val="bottom"/>
          </w:tcPr>
          <w:p>
            <w:pPr>
              <w:jc w:val="right"/>
              <w:spacing w:after="0" w:line="194" w:lineRule="exact"/>
              <w:rPr>
                <w:sz w:val="20"/>
                <w:szCs w:val="20"/>
                <w:color w:val="auto"/>
              </w:rPr>
            </w:pPr>
            <w:r>
              <w:rPr>
                <w:rFonts w:ascii="Arial" w:cs="Arial" w:eastAsia="Arial" w:hAnsi="Arial"/>
                <w:sz w:val="17"/>
                <w:szCs w:val="17"/>
                <w:color w:val="auto"/>
              </w:rPr>
              <w:t>(6,559)</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10,912</w:t>
            </w:r>
          </w:p>
        </w:tc>
      </w:tr>
      <w:tr>
        <w:trPr>
          <w:trHeight w:val="194"/>
        </w:trPr>
        <w:tc>
          <w:tcPr>
            <w:tcW w:w="20" w:type="dxa"/>
            <w:vAlign w:val="bottom"/>
          </w:tcPr>
          <w:p>
            <w:pPr>
              <w:spacing w:after="0"/>
              <w:rPr>
                <w:sz w:val="16"/>
                <w:szCs w:val="16"/>
                <w:color w:val="auto"/>
              </w:rPr>
            </w:pPr>
          </w:p>
        </w:tc>
        <w:tc>
          <w:tcPr>
            <w:tcW w:w="3420" w:type="dxa"/>
            <w:vAlign w:val="bottom"/>
            <w:tcBorders>
              <w:bottom w:val="single" w:sz="8" w:color="auto"/>
            </w:tcBorders>
          </w:tcPr>
          <w:p>
            <w:pPr>
              <w:ind w:left="220"/>
              <w:spacing w:after="0" w:line="194" w:lineRule="exact"/>
              <w:rPr>
                <w:sz w:val="20"/>
                <w:szCs w:val="20"/>
                <w:color w:val="auto"/>
              </w:rPr>
            </w:pPr>
            <w:r>
              <w:rPr>
                <w:rFonts w:ascii="Arial" w:cs="Arial" w:eastAsia="Arial" w:hAnsi="Arial"/>
                <w:sz w:val="17"/>
                <w:szCs w:val="17"/>
                <w:color w:val="auto"/>
              </w:rPr>
              <w:t>Other intangibles</w:t>
            </w:r>
          </w:p>
        </w:tc>
        <w:tc>
          <w:tcPr>
            <w:tcW w:w="2820" w:type="dxa"/>
            <w:vAlign w:val="bottom"/>
            <w:tcBorders>
              <w:bottom w:val="single" w:sz="8" w:color="auto"/>
            </w:tcBorders>
          </w:tcPr>
          <w:p>
            <w:pPr>
              <w:jc w:val="center"/>
              <w:ind w:left="514"/>
              <w:spacing w:after="0" w:line="194" w:lineRule="exact"/>
              <w:rPr>
                <w:sz w:val="20"/>
                <w:szCs w:val="20"/>
                <w:color w:val="auto"/>
              </w:rPr>
            </w:pPr>
            <w:r>
              <w:rPr>
                <w:rFonts w:ascii="Arial" w:cs="Arial" w:eastAsia="Arial" w:hAnsi="Arial"/>
                <w:sz w:val="17"/>
                <w:szCs w:val="17"/>
                <w:color w:val="auto"/>
              </w:rPr>
              <w:t>5</w:t>
            </w:r>
          </w:p>
        </w:tc>
        <w:tc>
          <w:tcPr>
            <w:tcW w:w="1660" w:type="dxa"/>
            <w:vAlign w:val="bottom"/>
            <w:tcBorders>
              <w:bottom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322</w:t>
            </w:r>
          </w:p>
        </w:tc>
        <w:tc>
          <w:tcPr>
            <w:tcW w:w="1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(145)</w:t>
            </w:r>
          </w:p>
        </w:tc>
        <w:tc>
          <w:tcPr>
            <w:tcW w:w="1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177</w:t>
            </w:r>
          </w:p>
        </w:tc>
      </w:tr>
      <w:tr>
        <w:trPr>
          <w:trHeight w:val="186"/>
        </w:trPr>
        <w:tc>
          <w:tcPr>
            <w:tcW w:w="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Net amortized intangible assets</w:t>
            </w:r>
          </w:p>
        </w:tc>
        <w:tc>
          <w:tcPr>
            <w:tcW w:w="2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4"/>
              <w:spacing w:after="0" w:line="186" w:lineRule="exact"/>
              <w:rPr>
                <w:sz w:val="20"/>
                <w:szCs w:val="20"/>
                <w:color w:val="auto"/>
              </w:rPr>
            </w:pPr>
            <w:r>
              <w:rPr>
                <w:rFonts w:ascii="Arial" w:cs="Arial" w:eastAsia="Arial" w:hAnsi="Arial"/>
                <w:sz w:val="17"/>
                <w:szCs w:val="17"/>
                <w:color w:val="auto"/>
              </w:rPr>
              <w:t>$66,724</w:t>
            </w:r>
          </w:p>
        </w:tc>
        <w:tc>
          <w:tcPr>
            <w:tcW w:w="18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($14,402)</w:t>
            </w:r>
          </w:p>
        </w:tc>
        <w:tc>
          <w:tcPr>
            <w:tcW w:w="17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$52,322</w:t>
            </w:r>
          </w:p>
        </w:tc>
      </w:tr>
      <w:tr>
        <w:trPr>
          <w:trHeight w:val="379"/>
        </w:trPr>
        <w:tc>
          <w:tcPr>
            <w:tcW w:w="3440" w:type="dxa"/>
            <w:vAlign w:val="bottom"/>
            <w:gridSpan w:val="2"/>
          </w:tcPr>
          <w:p>
            <w:pPr>
              <w:spacing w:after="0"/>
              <w:rPr>
                <w:sz w:val="20"/>
                <w:szCs w:val="20"/>
                <w:color w:val="auto"/>
              </w:rPr>
            </w:pPr>
            <w:r>
              <w:rPr>
                <w:rFonts w:ascii="Arial" w:cs="Arial" w:eastAsia="Arial" w:hAnsi="Arial"/>
                <w:sz w:val="17"/>
                <w:szCs w:val="17"/>
                <w:color w:val="auto"/>
              </w:rPr>
              <w:t>Unamortized intangible assets:</w:t>
            </w:r>
          </w:p>
        </w:tc>
        <w:tc>
          <w:tcPr>
            <w:tcW w:w="2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420" w:type="dxa"/>
            <w:vAlign w:val="bottom"/>
          </w:tcPr>
          <w:p>
            <w:pPr>
              <w:ind w:left="220"/>
              <w:spacing w:after="0" w:line="194" w:lineRule="exact"/>
              <w:rPr>
                <w:sz w:val="20"/>
                <w:szCs w:val="20"/>
                <w:color w:val="auto"/>
              </w:rPr>
            </w:pPr>
            <w:r>
              <w:rPr>
                <w:rFonts w:ascii="Arial" w:cs="Arial" w:eastAsia="Arial" w:hAnsi="Arial"/>
                <w:sz w:val="17"/>
                <w:szCs w:val="17"/>
                <w:color w:val="auto"/>
              </w:rPr>
              <w:t>MC Goodwill</w:t>
            </w:r>
          </w:p>
        </w:tc>
        <w:tc>
          <w:tcPr>
            <w:tcW w:w="2820" w:type="dxa"/>
            <w:vAlign w:val="bottom"/>
          </w:tcPr>
          <w:p>
            <w:pPr>
              <w:spacing w:after="0"/>
              <w:rPr>
                <w:sz w:val="16"/>
                <w:szCs w:val="16"/>
                <w:color w:val="auto"/>
              </w:rPr>
            </w:pPr>
          </w:p>
        </w:tc>
        <w:tc>
          <w:tcPr>
            <w:tcW w:w="166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$69,744</w:t>
            </w:r>
          </w:p>
        </w:tc>
        <w:tc>
          <w:tcPr>
            <w:tcW w:w="1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$69,744</w:t>
            </w:r>
          </w:p>
        </w:tc>
      </w:tr>
      <w:tr>
        <w:trPr>
          <w:trHeight w:val="194"/>
        </w:trPr>
        <w:tc>
          <w:tcPr>
            <w:tcW w:w="20" w:type="dxa"/>
            <w:vAlign w:val="bottom"/>
          </w:tcPr>
          <w:p>
            <w:pPr>
              <w:spacing w:after="0"/>
              <w:rPr>
                <w:sz w:val="16"/>
                <w:szCs w:val="16"/>
                <w:color w:val="auto"/>
              </w:rPr>
            </w:pPr>
          </w:p>
        </w:tc>
        <w:tc>
          <w:tcPr>
            <w:tcW w:w="3420" w:type="dxa"/>
            <w:vAlign w:val="bottom"/>
            <w:tcBorders>
              <w:bottom w:val="single" w:sz="8" w:color="auto"/>
            </w:tcBorders>
          </w:tcPr>
          <w:p>
            <w:pPr>
              <w:ind w:left="220"/>
              <w:spacing w:after="0" w:line="194" w:lineRule="exact"/>
              <w:rPr>
                <w:sz w:val="20"/>
                <w:szCs w:val="20"/>
                <w:color w:val="auto"/>
              </w:rPr>
            </w:pPr>
            <w:r>
              <w:rPr>
                <w:rFonts w:ascii="Arial" w:cs="Arial" w:eastAsia="Arial" w:hAnsi="Arial"/>
                <w:sz w:val="17"/>
                <w:szCs w:val="17"/>
                <w:color w:val="auto"/>
              </w:rPr>
              <w:t>AEC Goodwill</w:t>
            </w:r>
          </w:p>
        </w:tc>
        <w:tc>
          <w:tcPr>
            <w:tcW w:w="2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95,730</w:t>
            </w:r>
          </w:p>
        </w:tc>
        <w:tc>
          <w:tcPr>
            <w:tcW w:w="1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95,730</w:t>
            </w:r>
          </w:p>
        </w:tc>
      </w:tr>
      <w:tr>
        <w:trPr>
          <w:trHeight w:val="186"/>
        </w:trPr>
        <w:tc>
          <w:tcPr>
            <w:tcW w:w="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unamortized intangible assets:</w:t>
            </w:r>
          </w:p>
        </w:tc>
        <w:tc>
          <w:tcPr>
            <w:tcW w:w="2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4"/>
              <w:spacing w:after="0" w:line="186" w:lineRule="exact"/>
              <w:rPr>
                <w:sz w:val="20"/>
                <w:szCs w:val="20"/>
                <w:color w:val="auto"/>
              </w:rPr>
            </w:pPr>
            <w:r>
              <w:rPr>
                <w:rFonts w:ascii="Arial" w:cs="Arial" w:eastAsia="Arial" w:hAnsi="Arial"/>
                <w:sz w:val="17"/>
                <w:szCs w:val="17"/>
                <w:color w:val="auto"/>
              </w:rPr>
              <w:t>$165,474</w:t>
            </w:r>
          </w:p>
        </w:tc>
        <w:tc>
          <w:tcPr>
            <w:tcW w:w="18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$165,474</w:t>
            </w:r>
          </w:p>
        </w:tc>
      </w:tr>
    </w:tbl>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Borders>
              <w:top w:val="single" w:sz="8" w:color="auto"/>
            </w:tcBorders>
            <w:gridSpan w:val="2"/>
          </w:tcPr>
          <w:p>
            <w:pPr>
              <w:spacing w:after="0" w:line="184" w:lineRule="exact"/>
              <w:rPr>
                <w:sz w:val="20"/>
                <w:szCs w:val="20"/>
                <w:color w:val="auto"/>
              </w:rPr>
            </w:pPr>
            <w:r>
              <w:rPr>
                <w:rFonts w:ascii="Arial" w:cs="Arial" w:eastAsia="Arial" w:hAnsi="Arial"/>
                <w:sz w:val="17"/>
                <w:szCs w:val="17"/>
                <w:b w:val="1"/>
                <w:bCs w:val="1"/>
                <w:color w:val="auto"/>
              </w:rPr>
              <w:t>As of December 31, 2017</w:t>
            </w:r>
          </w:p>
        </w:tc>
        <w:tc>
          <w:tcPr>
            <w:tcW w:w="2480" w:type="dxa"/>
            <w:vAlign w:val="bottom"/>
            <w:tcBorders>
              <w:top w:val="single" w:sz="8" w:color="auto"/>
            </w:tcBorders>
          </w:tcPr>
          <w:p>
            <w:pPr>
              <w:jc w:val="center"/>
              <w:ind w:left="354"/>
              <w:spacing w:after="0" w:line="184" w:lineRule="exact"/>
              <w:rPr>
                <w:sz w:val="20"/>
                <w:szCs w:val="20"/>
                <w:color w:val="auto"/>
              </w:rPr>
            </w:pPr>
            <w:r>
              <w:rPr>
                <w:rFonts w:ascii="Arial" w:cs="Arial" w:eastAsia="Arial" w:hAnsi="Arial"/>
                <w:sz w:val="17"/>
                <w:szCs w:val="17"/>
                <w:b w:val="1"/>
                <w:bCs w:val="1"/>
                <w:color w:val="auto"/>
              </w:rPr>
              <w:t>Weighted average</w:t>
            </w:r>
          </w:p>
        </w:tc>
        <w:tc>
          <w:tcPr>
            <w:tcW w:w="1420" w:type="dxa"/>
            <w:vAlign w:val="bottom"/>
            <w:tcBorders>
              <w:top w:val="single" w:sz="8" w:color="auto"/>
            </w:tcBorders>
          </w:tcPr>
          <w:p>
            <w:pPr>
              <w:jc w:val="right"/>
              <w:ind w:right="94"/>
              <w:spacing w:after="0" w:line="184" w:lineRule="exact"/>
              <w:rPr>
                <w:sz w:val="20"/>
                <w:szCs w:val="20"/>
                <w:color w:val="auto"/>
              </w:rPr>
            </w:pPr>
            <w:r>
              <w:rPr>
                <w:rFonts w:ascii="Arial" w:cs="Arial" w:eastAsia="Arial" w:hAnsi="Arial"/>
                <w:sz w:val="17"/>
                <w:szCs w:val="17"/>
                <w:b w:val="1"/>
                <w:bCs w:val="1"/>
                <w:color w:val="auto"/>
              </w:rPr>
              <w:t>Gross carrying</w:t>
            </w:r>
          </w:p>
        </w:tc>
        <w:tc>
          <w:tcPr>
            <w:tcW w:w="1800" w:type="dxa"/>
            <w:vAlign w:val="bottom"/>
            <w:tcBorders>
              <w:top w:val="single" w:sz="8" w:color="auto"/>
            </w:tcBorders>
          </w:tcPr>
          <w:p>
            <w:pPr>
              <w:jc w:val="right"/>
              <w:ind w:right="434"/>
              <w:spacing w:after="0" w:line="184" w:lineRule="exact"/>
              <w:rPr>
                <w:sz w:val="20"/>
                <w:szCs w:val="20"/>
                <w:color w:val="auto"/>
              </w:rPr>
            </w:pPr>
            <w:r>
              <w:rPr>
                <w:rFonts w:ascii="Arial" w:cs="Arial" w:eastAsia="Arial" w:hAnsi="Arial"/>
                <w:sz w:val="17"/>
                <w:szCs w:val="17"/>
                <w:b w:val="1"/>
                <w:bCs w:val="1"/>
                <w:color w:val="auto"/>
              </w:rPr>
              <w:t>Accumulated</w:t>
            </w:r>
          </w:p>
        </w:tc>
        <w:tc>
          <w:tcPr>
            <w:tcW w:w="1400" w:type="dxa"/>
            <w:vAlign w:val="bottom"/>
            <w:tcBorders>
              <w:top w:val="single" w:sz="8" w:color="auto"/>
            </w:tcBorders>
          </w:tcPr>
          <w:p>
            <w:pPr>
              <w:jc w:val="center"/>
              <w:ind w:right="54"/>
              <w:spacing w:after="0" w:line="184" w:lineRule="exact"/>
              <w:rPr>
                <w:sz w:val="20"/>
                <w:szCs w:val="20"/>
                <w:color w:val="auto"/>
              </w:rPr>
            </w:pPr>
            <w:r>
              <w:rPr>
                <w:rFonts w:ascii="Arial" w:cs="Arial" w:eastAsia="Arial" w:hAnsi="Arial"/>
                <w:sz w:val="17"/>
                <w:szCs w:val="17"/>
                <w:b w:val="1"/>
                <w:bCs w:val="1"/>
                <w:color w:val="auto"/>
              </w:rPr>
              <w:t>Net carrying</w:t>
            </w:r>
          </w:p>
        </w:tc>
        <w:tc>
          <w:tcPr>
            <w:tcW w:w="20" w:type="dxa"/>
            <w:vAlign w:val="bottom"/>
          </w:tcPr>
          <w:p>
            <w:pPr>
              <w:spacing w:after="0"/>
              <w:rPr>
                <w:sz w:val="15"/>
                <w:szCs w:val="15"/>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80" w:type="dxa"/>
            <w:vAlign w:val="bottom"/>
          </w:tcPr>
          <w:p>
            <w:pPr>
              <w:jc w:val="center"/>
              <w:ind w:left="334"/>
              <w:spacing w:after="0"/>
              <w:rPr>
                <w:sz w:val="20"/>
                <w:szCs w:val="20"/>
                <w:color w:val="auto"/>
              </w:rPr>
            </w:pPr>
            <w:r>
              <w:rPr>
                <w:rFonts w:ascii="Arial" w:cs="Arial" w:eastAsia="Arial" w:hAnsi="Arial"/>
                <w:sz w:val="17"/>
                <w:szCs w:val="17"/>
                <w:b w:val="1"/>
                <w:bCs w:val="1"/>
                <w:color w:val="auto"/>
              </w:rPr>
              <w:t>amortization life in years</w:t>
            </w:r>
          </w:p>
        </w:tc>
        <w:tc>
          <w:tcPr>
            <w:tcW w:w="1420" w:type="dxa"/>
            <w:vAlign w:val="bottom"/>
          </w:tcPr>
          <w:p>
            <w:pPr>
              <w:jc w:val="right"/>
              <w:ind w:right="394"/>
              <w:spacing w:after="0"/>
              <w:rPr>
                <w:sz w:val="20"/>
                <w:szCs w:val="20"/>
                <w:color w:val="auto"/>
              </w:rPr>
            </w:pPr>
            <w:r>
              <w:rPr>
                <w:rFonts w:ascii="Arial" w:cs="Arial" w:eastAsia="Arial" w:hAnsi="Arial"/>
                <w:sz w:val="17"/>
                <w:szCs w:val="17"/>
                <w:b w:val="1"/>
                <w:bCs w:val="1"/>
                <w:color w:val="auto"/>
              </w:rPr>
              <w:t>amount</w:t>
            </w:r>
          </w:p>
        </w:tc>
        <w:tc>
          <w:tcPr>
            <w:tcW w:w="1800" w:type="dxa"/>
            <w:vAlign w:val="bottom"/>
          </w:tcPr>
          <w:p>
            <w:pPr>
              <w:jc w:val="right"/>
              <w:ind w:right="474"/>
              <w:spacing w:after="0"/>
              <w:rPr>
                <w:sz w:val="20"/>
                <w:szCs w:val="20"/>
                <w:color w:val="auto"/>
              </w:rPr>
            </w:pPr>
            <w:r>
              <w:rPr>
                <w:rFonts w:ascii="Arial" w:cs="Arial" w:eastAsia="Arial" w:hAnsi="Arial"/>
                <w:sz w:val="17"/>
                <w:szCs w:val="17"/>
                <w:b w:val="1"/>
                <w:bCs w:val="1"/>
                <w:color w:val="auto"/>
              </w:rPr>
              <w:t>amortization</w:t>
            </w:r>
          </w:p>
        </w:tc>
        <w:tc>
          <w:tcPr>
            <w:tcW w:w="14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amount</w:t>
            </w:r>
          </w:p>
        </w:tc>
      </w:tr>
      <w:tr>
        <w:trPr>
          <w:trHeight w:val="379"/>
        </w:trPr>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Amortized intangible assets:</w:t>
            </w:r>
          </w:p>
        </w:tc>
        <w:tc>
          <w:tcPr>
            <w:tcW w:w="24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160" w:type="dxa"/>
            <w:vAlign w:val="bottom"/>
          </w:tcPr>
          <w:p>
            <w:pPr>
              <w:ind w:left="220"/>
              <w:spacing w:after="0" w:line="194" w:lineRule="exact"/>
              <w:rPr>
                <w:sz w:val="20"/>
                <w:szCs w:val="20"/>
                <w:color w:val="auto"/>
              </w:rPr>
            </w:pPr>
            <w:r>
              <w:rPr>
                <w:rFonts w:ascii="Arial" w:cs="Arial" w:eastAsia="Arial" w:hAnsi="Arial"/>
                <w:sz w:val="17"/>
                <w:szCs w:val="17"/>
                <w:color w:val="auto"/>
              </w:rPr>
              <w:t>AEC trade names</w:t>
            </w:r>
          </w:p>
        </w:tc>
        <w:tc>
          <w:tcPr>
            <w:tcW w:w="2480" w:type="dxa"/>
            <w:vAlign w:val="bottom"/>
          </w:tcPr>
          <w:p>
            <w:pPr>
              <w:jc w:val="center"/>
              <w:ind w:left="354"/>
              <w:spacing w:after="0" w:line="194" w:lineRule="exact"/>
              <w:rPr>
                <w:sz w:val="20"/>
                <w:szCs w:val="20"/>
                <w:color w:val="auto"/>
              </w:rPr>
            </w:pPr>
            <w:r>
              <w:rPr>
                <w:rFonts w:ascii="Arial" w:cs="Arial" w:eastAsia="Arial" w:hAnsi="Arial"/>
                <w:sz w:val="17"/>
                <w:szCs w:val="17"/>
                <w:color w:val="auto"/>
              </w:rPr>
              <w:t>15</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$140</w:t>
            </w:r>
          </w:p>
        </w:tc>
        <w:tc>
          <w:tcPr>
            <w:tcW w:w="1800" w:type="dxa"/>
            <w:vAlign w:val="bottom"/>
          </w:tcPr>
          <w:p>
            <w:pPr>
              <w:jc w:val="right"/>
              <w:ind w:right="54"/>
              <w:spacing w:after="0" w:line="194" w:lineRule="exact"/>
              <w:rPr>
                <w:sz w:val="20"/>
                <w:szCs w:val="20"/>
                <w:color w:val="auto"/>
              </w:rPr>
            </w:pPr>
            <w:r>
              <w:rPr>
                <w:rFonts w:ascii="Arial" w:cs="Arial" w:eastAsia="Arial" w:hAnsi="Arial"/>
                <w:sz w:val="17"/>
                <w:szCs w:val="17"/>
                <w:color w:val="auto"/>
              </w:rPr>
              <w:t>($125)</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160" w:type="dxa"/>
            <w:vAlign w:val="bottom"/>
          </w:tcPr>
          <w:p>
            <w:pPr>
              <w:ind w:left="220"/>
              <w:spacing w:after="0" w:line="194" w:lineRule="exact"/>
              <w:rPr>
                <w:sz w:val="20"/>
                <w:szCs w:val="20"/>
                <w:color w:val="auto"/>
              </w:rPr>
            </w:pPr>
            <w:r>
              <w:rPr>
                <w:rFonts w:ascii="Arial" w:cs="Arial" w:eastAsia="Arial" w:hAnsi="Arial"/>
                <w:sz w:val="17"/>
                <w:szCs w:val="17"/>
                <w:color w:val="auto"/>
              </w:rPr>
              <w:t>AEC technology</w:t>
            </w:r>
          </w:p>
        </w:tc>
        <w:tc>
          <w:tcPr>
            <w:tcW w:w="2480" w:type="dxa"/>
            <w:vAlign w:val="bottom"/>
          </w:tcPr>
          <w:p>
            <w:pPr>
              <w:jc w:val="center"/>
              <w:ind w:left="354"/>
              <w:spacing w:after="0" w:line="194" w:lineRule="exact"/>
              <w:rPr>
                <w:sz w:val="20"/>
                <w:szCs w:val="20"/>
                <w:color w:val="auto"/>
              </w:rPr>
            </w:pPr>
            <w:r>
              <w:rPr>
                <w:rFonts w:ascii="Arial" w:cs="Arial" w:eastAsia="Arial" w:hAnsi="Arial"/>
                <w:sz w:val="17"/>
                <w:szCs w:val="17"/>
                <w:color w:val="auto"/>
              </w:rPr>
              <w:t>15</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370</w:t>
            </w:r>
          </w:p>
        </w:tc>
        <w:tc>
          <w:tcPr>
            <w:tcW w:w="1800" w:type="dxa"/>
            <w:vAlign w:val="bottom"/>
          </w:tcPr>
          <w:p>
            <w:pPr>
              <w:jc w:val="right"/>
              <w:ind w:right="54"/>
              <w:spacing w:after="0" w:line="194" w:lineRule="exact"/>
              <w:rPr>
                <w:sz w:val="20"/>
                <w:szCs w:val="20"/>
                <w:color w:val="auto"/>
              </w:rPr>
            </w:pPr>
            <w:r>
              <w:rPr>
                <w:rFonts w:ascii="Arial" w:cs="Arial" w:eastAsia="Arial" w:hAnsi="Arial"/>
                <w:sz w:val="17"/>
                <w:szCs w:val="17"/>
                <w:color w:val="auto"/>
              </w:rPr>
              <w:t>(290)</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80</w:t>
            </w: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160" w:type="dxa"/>
            <w:vAlign w:val="bottom"/>
          </w:tcPr>
          <w:p>
            <w:pPr>
              <w:ind w:left="220"/>
              <w:spacing w:after="0" w:line="194" w:lineRule="exact"/>
              <w:rPr>
                <w:sz w:val="20"/>
                <w:szCs w:val="20"/>
                <w:color w:val="auto"/>
              </w:rPr>
            </w:pPr>
            <w:r>
              <w:rPr>
                <w:rFonts w:ascii="Arial" w:cs="Arial" w:eastAsia="Arial" w:hAnsi="Arial"/>
                <w:sz w:val="17"/>
                <w:szCs w:val="17"/>
                <w:color w:val="auto"/>
              </w:rPr>
              <w:t>Customer relationships</w:t>
            </w:r>
          </w:p>
        </w:tc>
        <w:tc>
          <w:tcPr>
            <w:tcW w:w="2480" w:type="dxa"/>
            <w:vAlign w:val="bottom"/>
          </w:tcPr>
          <w:p>
            <w:pPr>
              <w:jc w:val="center"/>
              <w:ind w:left="354"/>
              <w:spacing w:after="0" w:line="194" w:lineRule="exact"/>
              <w:rPr>
                <w:sz w:val="20"/>
                <w:szCs w:val="20"/>
                <w:color w:val="auto"/>
              </w:rPr>
            </w:pPr>
            <w:r>
              <w:rPr>
                <w:rFonts w:ascii="Arial" w:cs="Arial" w:eastAsia="Arial" w:hAnsi="Arial"/>
                <w:sz w:val="17"/>
                <w:szCs w:val="17"/>
                <w:color w:val="auto"/>
              </w:rPr>
              <w:t>15</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48,421</w:t>
            </w:r>
          </w:p>
        </w:tc>
        <w:tc>
          <w:tcPr>
            <w:tcW w:w="1800" w:type="dxa"/>
            <w:vAlign w:val="bottom"/>
          </w:tcPr>
          <w:p>
            <w:pPr>
              <w:jc w:val="right"/>
              <w:ind w:right="54"/>
              <w:spacing w:after="0" w:line="194" w:lineRule="exact"/>
              <w:rPr>
                <w:sz w:val="20"/>
                <w:szCs w:val="20"/>
                <w:color w:val="auto"/>
              </w:rPr>
            </w:pPr>
            <w:r>
              <w:rPr>
                <w:rFonts w:ascii="Arial" w:cs="Arial" w:eastAsia="Arial" w:hAnsi="Arial"/>
                <w:sz w:val="17"/>
                <w:szCs w:val="17"/>
                <w:color w:val="auto"/>
              </w:rPr>
              <w:t>(5,654)</w:t>
            </w:r>
          </w:p>
        </w:tc>
        <w:tc>
          <w:tcPr>
            <w:tcW w:w="14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42,767</w:t>
            </w:r>
          </w:p>
        </w:tc>
      </w:tr>
      <w:tr>
        <w:trPr>
          <w:trHeight w:val="194"/>
        </w:trPr>
        <w:tc>
          <w:tcPr>
            <w:tcW w:w="20" w:type="dxa"/>
            <w:vAlign w:val="bottom"/>
          </w:tcPr>
          <w:p>
            <w:pPr>
              <w:spacing w:after="0"/>
              <w:rPr>
                <w:sz w:val="16"/>
                <w:szCs w:val="16"/>
                <w:color w:val="auto"/>
              </w:rPr>
            </w:pPr>
          </w:p>
        </w:tc>
        <w:tc>
          <w:tcPr>
            <w:tcW w:w="3160" w:type="dxa"/>
            <w:vAlign w:val="bottom"/>
          </w:tcPr>
          <w:p>
            <w:pPr>
              <w:ind w:left="220"/>
              <w:spacing w:after="0" w:line="194" w:lineRule="exact"/>
              <w:rPr>
                <w:sz w:val="20"/>
                <w:szCs w:val="20"/>
                <w:color w:val="auto"/>
              </w:rPr>
            </w:pPr>
            <w:r>
              <w:rPr>
                <w:rFonts w:ascii="Arial" w:cs="Arial" w:eastAsia="Arial" w:hAnsi="Arial"/>
                <w:sz w:val="17"/>
                <w:szCs w:val="17"/>
                <w:color w:val="auto"/>
              </w:rPr>
              <w:t>Customer contracts</w:t>
            </w:r>
          </w:p>
        </w:tc>
        <w:tc>
          <w:tcPr>
            <w:tcW w:w="2480" w:type="dxa"/>
            <w:vAlign w:val="bottom"/>
          </w:tcPr>
          <w:p>
            <w:pPr>
              <w:jc w:val="center"/>
              <w:ind w:left="334"/>
              <w:spacing w:after="0" w:line="194" w:lineRule="exact"/>
              <w:rPr>
                <w:sz w:val="20"/>
                <w:szCs w:val="20"/>
                <w:color w:val="auto"/>
              </w:rPr>
            </w:pPr>
            <w:r>
              <w:rPr>
                <w:rFonts w:ascii="Arial" w:cs="Arial" w:eastAsia="Arial" w:hAnsi="Arial"/>
                <w:sz w:val="17"/>
                <w:szCs w:val="17"/>
                <w:color w:val="auto"/>
              </w:rPr>
              <w:t>6</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17,471</w:t>
            </w:r>
          </w:p>
        </w:tc>
        <w:tc>
          <w:tcPr>
            <w:tcW w:w="1800" w:type="dxa"/>
            <w:vAlign w:val="bottom"/>
          </w:tcPr>
          <w:p>
            <w:pPr>
              <w:jc w:val="right"/>
              <w:ind w:right="54"/>
              <w:spacing w:after="0" w:line="194" w:lineRule="exact"/>
              <w:rPr>
                <w:sz w:val="20"/>
                <w:szCs w:val="20"/>
                <w:color w:val="auto"/>
              </w:rPr>
            </w:pPr>
            <w:r>
              <w:rPr>
                <w:rFonts w:ascii="Arial" w:cs="Arial" w:eastAsia="Arial" w:hAnsi="Arial"/>
                <w:sz w:val="17"/>
                <w:szCs w:val="17"/>
                <w:color w:val="auto"/>
              </w:rPr>
              <w:t>(5,102)</w:t>
            </w:r>
          </w:p>
        </w:tc>
        <w:tc>
          <w:tcPr>
            <w:tcW w:w="14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12,369</w:t>
            </w:r>
          </w:p>
        </w:tc>
      </w:tr>
      <w:tr>
        <w:trPr>
          <w:trHeight w:val="194"/>
        </w:trPr>
        <w:tc>
          <w:tcPr>
            <w:tcW w:w="20" w:type="dxa"/>
            <w:vAlign w:val="bottom"/>
          </w:tcPr>
          <w:p>
            <w:pPr>
              <w:spacing w:after="0"/>
              <w:rPr>
                <w:sz w:val="16"/>
                <w:szCs w:val="16"/>
                <w:color w:val="auto"/>
              </w:rPr>
            </w:pPr>
          </w:p>
        </w:tc>
        <w:tc>
          <w:tcPr>
            <w:tcW w:w="3160" w:type="dxa"/>
            <w:vAlign w:val="bottom"/>
            <w:tcBorders>
              <w:bottom w:val="single" w:sz="8" w:color="auto"/>
            </w:tcBorders>
          </w:tcPr>
          <w:p>
            <w:pPr>
              <w:ind w:left="220"/>
              <w:spacing w:after="0" w:line="194" w:lineRule="exact"/>
              <w:rPr>
                <w:sz w:val="20"/>
                <w:szCs w:val="20"/>
                <w:color w:val="auto"/>
              </w:rPr>
            </w:pPr>
            <w:r>
              <w:rPr>
                <w:rFonts w:ascii="Arial" w:cs="Arial" w:eastAsia="Arial" w:hAnsi="Arial"/>
                <w:sz w:val="17"/>
                <w:szCs w:val="17"/>
                <w:color w:val="auto"/>
              </w:rPr>
              <w:t>Other intangibles</w:t>
            </w:r>
          </w:p>
        </w:tc>
        <w:tc>
          <w:tcPr>
            <w:tcW w:w="2480" w:type="dxa"/>
            <w:vAlign w:val="bottom"/>
            <w:tcBorders>
              <w:bottom w:val="single" w:sz="8" w:color="auto"/>
            </w:tcBorders>
          </w:tcPr>
          <w:p>
            <w:pPr>
              <w:jc w:val="center"/>
              <w:ind w:left="334"/>
              <w:spacing w:after="0" w:line="194" w:lineRule="exact"/>
              <w:rPr>
                <w:sz w:val="20"/>
                <w:szCs w:val="20"/>
                <w:color w:val="auto"/>
              </w:rPr>
            </w:pPr>
            <w:r>
              <w:rPr>
                <w:rFonts w:ascii="Arial" w:cs="Arial" w:eastAsia="Arial" w:hAnsi="Arial"/>
                <w:sz w:val="17"/>
                <w:szCs w:val="17"/>
                <w:color w:val="auto"/>
              </w:rPr>
              <w:t>5</w:t>
            </w:r>
          </w:p>
        </w:tc>
        <w:tc>
          <w:tcPr>
            <w:tcW w:w="1420" w:type="dxa"/>
            <w:vAlign w:val="bottom"/>
            <w:tcBorders>
              <w:bottom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rPr>
              <w:t>322</w:t>
            </w:r>
          </w:p>
        </w:tc>
        <w:tc>
          <w:tcPr>
            <w:tcW w:w="1800" w:type="dxa"/>
            <w:vAlign w:val="bottom"/>
            <w:tcBorders>
              <w:bottom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(112)</w:t>
            </w:r>
          </w:p>
        </w:tc>
        <w:tc>
          <w:tcPr>
            <w:tcW w:w="14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210</w:t>
            </w:r>
          </w:p>
        </w:tc>
        <w:tc>
          <w:tcPr>
            <w:tcW w:w="20" w:type="dxa"/>
            <w:vAlign w:val="bottom"/>
            <w:tcBorders>
              <w:bottom w:val="single" w:sz="8" w:color="auto"/>
            </w:tcBorders>
          </w:tcPr>
          <w:p>
            <w:pPr>
              <w:spacing w:after="0"/>
              <w:rPr>
                <w:sz w:val="16"/>
                <w:szCs w:val="16"/>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Net amortized intangible assets</w:t>
            </w:r>
          </w:p>
        </w:tc>
        <w:tc>
          <w:tcPr>
            <w:tcW w:w="2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line="186" w:lineRule="exact"/>
              <w:rPr>
                <w:sz w:val="20"/>
                <w:szCs w:val="20"/>
                <w:color w:val="auto"/>
              </w:rPr>
            </w:pPr>
            <w:r>
              <w:rPr>
                <w:rFonts w:ascii="Arial" w:cs="Arial" w:eastAsia="Arial" w:hAnsi="Arial"/>
                <w:sz w:val="17"/>
                <w:szCs w:val="17"/>
                <w:color w:val="auto"/>
              </w:rPr>
              <w:t>$66,724</w:t>
            </w:r>
          </w:p>
        </w:tc>
        <w:tc>
          <w:tcPr>
            <w:tcW w:w="180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7"/>
                <w:szCs w:val="17"/>
                <w:color w:val="auto"/>
              </w:rPr>
              <w:t>($11,283)</w:t>
            </w:r>
          </w:p>
        </w:tc>
        <w:tc>
          <w:tcPr>
            <w:tcW w:w="14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$55,441</w:t>
            </w:r>
          </w:p>
        </w:tc>
        <w:tc>
          <w:tcPr>
            <w:tcW w:w="20" w:type="dxa"/>
            <w:vAlign w:val="bottom"/>
          </w:tcPr>
          <w:p>
            <w:pPr>
              <w:spacing w:after="0"/>
              <w:rPr>
                <w:sz w:val="16"/>
                <w:szCs w:val="16"/>
                <w:color w:val="auto"/>
              </w:rPr>
            </w:pPr>
          </w:p>
        </w:tc>
      </w:tr>
      <w:tr>
        <w:trPr>
          <w:trHeight w:val="379"/>
        </w:trPr>
        <w:tc>
          <w:tcPr>
            <w:tcW w:w="3180" w:type="dxa"/>
            <w:vAlign w:val="bottom"/>
            <w:gridSpan w:val="2"/>
          </w:tcPr>
          <w:p>
            <w:pPr>
              <w:spacing w:after="0"/>
              <w:rPr>
                <w:sz w:val="20"/>
                <w:szCs w:val="20"/>
                <w:color w:val="auto"/>
              </w:rPr>
            </w:pPr>
            <w:r>
              <w:rPr>
                <w:rFonts w:ascii="Arial" w:cs="Arial" w:eastAsia="Arial" w:hAnsi="Arial"/>
                <w:sz w:val="17"/>
                <w:szCs w:val="17"/>
                <w:color w:val="auto"/>
              </w:rPr>
              <w:t>Unamortized intangible assets:</w:t>
            </w:r>
          </w:p>
        </w:tc>
        <w:tc>
          <w:tcPr>
            <w:tcW w:w="2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160" w:type="dxa"/>
            <w:vAlign w:val="bottom"/>
          </w:tcPr>
          <w:p>
            <w:pPr>
              <w:ind w:left="220"/>
              <w:spacing w:after="0" w:line="194" w:lineRule="exact"/>
              <w:rPr>
                <w:sz w:val="20"/>
                <w:szCs w:val="20"/>
                <w:color w:val="auto"/>
              </w:rPr>
            </w:pPr>
            <w:r>
              <w:rPr>
                <w:rFonts w:ascii="Arial" w:cs="Arial" w:eastAsia="Arial" w:hAnsi="Arial"/>
                <w:sz w:val="17"/>
                <w:szCs w:val="17"/>
                <w:color w:val="auto"/>
              </w:rPr>
              <w:t>MC Goodwill</w:t>
            </w:r>
          </w:p>
        </w:tc>
        <w:tc>
          <w:tcPr>
            <w:tcW w:w="2480" w:type="dxa"/>
            <w:vAlign w:val="bottom"/>
          </w:tcPr>
          <w:p>
            <w:pPr>
              <w:spacing w:after="0"/>
              <w:rPr>
                <w:sz w:val="16"/>
                <w:szCs w:val="16"/>
                <w:color w:val="auto"/>
              </w:rPr>
            </w:pP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$71,066</w:t>
            </w:r>
          </w:p>
        </w:tc>
        <w:tc>
          <w:tcPr>
            <w:tcW w:w="180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$71,066</w:t>
            </w: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160" w:type="dxa"/>
            <w:vAlign w:val="bottom"/>
            <w:tcBorders>
              <w:bottom w:val="single" w:sz="8" w:color="auto"/>
            </w:tcBorders>
          </w:tcPr>
          <w:p>
            <w:pPr>
              <w:ind w:left="220"/>
              <w:spacing w:after="0" w:line="194" w:lineRule="exact"/>
              <w:rPr>
                <w:sz w:val="20"/>
                <w:szCs w:val="20"/>
                <w:color w:val="auto"/>
              </w:rPr>
            </w:pPr>
            <w:r>
              <w:rPr>
                <w:rFonts w:ascii="Arial" w:cs="Arial" w:eastAsia="Arial" w:hAnsi="Arial"/>
                <w:sz w:val="17"/>
                <w:szCs w:val="17"/>
                <w:color w:val="auto"/>
              </w:rPr>
              <w:t>AEC Goodwill</w:t>
            </w:r>
          </w:p>
        </w:tc>
        <w:tc>
          <w:tcPr>
            <w:tcW w:w="2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rPr>
              <w:t>95,730</w:t>
            </w:r>
          </w:p>
        </w:tc>
        <w:tc>
          <w:tcPr>
            <w:tcW w:w="1800" w:type="dxa"/>
            <w:vAlign w:val="bottom"/>
            <w:tcBorders>
              <w:bottom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95,730</w:t>
            </w:r>
          </w:p>
        </w:tc>
      </w:tr>
      <w:tr>
        <w:trPr>
          <w:trHeight w:val="186"/>
        </w:trPr>
        <w:tc>
          <w:tcPr>
            <w:tcW w:w="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unamortized intangible assets:</w:t>
            </w:r>
          </w:p>
        </w:tc>
        <w:tc>
          <w:tcPr>
            <w:tcW w:w="2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line="186" w:lineRule="exact"/>
              <w:rPr>
                <w:sz w:val="20"/>
                <w:szCs w:val="20"/>
                <w:color w:val="auto"/>
              </w:rPr>
            </w:pPr>
            <w:r>
              <w:rPr>
                <w:rFonts w:ascii="Arial" w:cs="Arial" w:eastAsia="Arial" w:hAnsi="Arial"/>
                <w:sz w:val="17"/>
                <w:szCs w:val="17"/>
                <w:color w:val="auto"/>
              </w:rPr>
              <w:t>$166,796</w:t>
            </w:r>
          </w:p>
        </w:tc>
        <w:tc>
          <w:tcPr>
            <w:tcW w:w="180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$166,796</w:t>
            </w:r>
          </w:p>
        </w:tc>
        <w:tc>
          <w:tcPr>
            <w:tcW w:w="20" w:type="dxa"/>
            <w:vAlign w:val="bottom"/>
            <w:tcBorders>
              <w:bottom w:val="single" w:sz="8" w:color="auto"/>
            </w:tcBorders>
          </w:tcPr>
          <w:p>
            <w:pPr>
              <w:spacing w:after="0"/>
              <w:rPr>
                <w:sz w:val="16"/>
                <w:szCs w:val="16"/>
                <w:color w:val="auto"/>
              </w:rPr>
            </w:pPr>
          </w:p>
        </w:tc>
      </w:tr>
    </w:tbl>
    <w:p>
      <w:pPr>
        <w:spacing w:after="0" w:line="3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intangible assets, net and goodwill from December 31, 2017 to June 30, 2018, were as follows: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44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jc w:val="right"/>
              <w:ind w:right="534"/>
              <w:spacing w:after="0" w:line="184" w:lineRule="exact"/>
              <w:rPr>
                <w:sz w:val="20"/>
                <w:szCs w:val="20"/>
                <w:color w:val="auto"/>
              </w:rPr>
            </w:pPr>
            <w:r>
              <w:rPr>
                <w:rFonts w:ascii="Arial" w:cs="Arial" w:eastAsia="Arial" w:hAnsi="Arial"/>
                <w:sz w:val="17"/>
                <w:szCs w:val="17"/>
                <w:b w:val="1"/>
                <w:bCs w:val="1"/>
                <w:color w:val="auto"/>
              </w:rPr>
              <w:t>December</w:t>
            </w:r>
          </w:p>
        </w:tc>
        <w:tc>
          <w:tcPr>
            <w:tcW w:w="17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394"/>
              <w:spacing w:after="0" w:line="184" w:lineRule="exact"/>
              <w:rPr>
                <w:sz w:val="20"/>
                <w:szCs w:val="20"/>
                <w:color w:val="auto"/>
              </w:rPr>
            </w:pPr>
            <w:r>
              <w:rPr>
                <w:rFonts w:ascii="Arial" w:cs="Arial" w:eastAsia="Arial" w:hAnsi="Arial"/>
                <w:sz w:val="17"/>
                <w:szCs w:val="17"/>
                <w:b w:val="1"/>
                <w:bCs w:val="1"/>
                <w:color w:val="auto"/>
              </w:rPr>
              <w:t>Currency</w:t>
            </w: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31, 2017</w:t>
            </w:r>
          </w:p>
        </w:tc>
        <w:tc>
          <w:tcPr>
            <w:tcW w:w="17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Amortization</w:t>
            </w: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Translation</w:t>
            </w: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June 30, 2018</w:t>
            </w:r>
          </w:p>
        </w:tc>
        <w:tc>
          <w:tcPr>
            <w:tcW w:w="0" w:type="dxa"/>
            <w:vAlign w:val="bottom"/>
          </w:tcPr>
          <w:p>
            <w:pPr>
              <w:spacing w:after="0"/>
              <w:rPr>
                <w:sz w:val="1"/>
                <w:szCs w:val="1"/>
                <w:color w:val="auto"/>
              </w:rPr>
            </w:pPr>
          </w:p>
        </w:tc>
      </w:tr>
      <w:tr>
        <w:trPr>
          <w:trHeight w:val="379"/>
        </w:trPr>
        <w:tc>
          <w:tcPr>
            <w:tcW w:w="3460" w:type="dxa"/>
            <w:vAlign w:val="bottom"/>
            <w:gridSpan w:val="2"/>
          </w:tcPr>
          <w:p>
            <w:pPr>
              <w:spacing w:after="0"/>
              <w:rPr>
                <w:sz w:val="20"/>
                <w:szCs w:val="20"/>
                <w:color w:val="auto"/>
              </w:rPr>
            </w:pPr>
            <w:r>
              <w:rPr>
                <w:rFonts w:ascii="Arial" w:cs="Arial" w:eastAsia="Arial" w:hAnsi="Arial"/>
                <w:sz w:val="17"/>
                <w:szCs w:val="17"/>
                <w:color w:val="auto"/>
              </w:rPr>
              <w:t>Amortized intangible assets:</w:t>
            </w:r>
          </w:p>
        </w:tc>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220"/>
              <w:spacing w:after="0" w:line="172" w:lineRule="exact"/>
              <w:rPr>
                <w:sz w:val="20"/>
                <w:szCs w:val="20"/>
                <w:color w:val="auto"/>
              </w:rPr>
            </w:pPr>
            <w:r>
              <w:rPr>
                <w:rFonts w:ascii="Arial" w:cs="Arial" w:eastAsia="Arial" w:hAnsi="Arial"/>
                <w:sz w:val="17"/>
                <w:szCs w:val="17"/>
                <w:color w:val="auto"/>
              </w:rPr>
              <w:t>AEC trade names</w:t>
            </w:r>
          </w:p>
        </w:tc>
        <w:tc>
          <w:tcPr>
            <w:tcW w:w="2180" w:type="dxa"/>
            <w:vAlign w:val="bottom"/>
          </w:tcPr>
          <w:p>
            <w:pPr>
              <w:jc w:val="right"/>
              <w:ind w:right="94"/>
              <w:spacing w:after="0" w:line="172" w:lineRule="exact"/>
              <w:rPr>
                <w:sz w:val="20"/>
                <w:szCs w:val="20"/>
                <w:color w:val="auto"/>
              </w:rPr>
            </w:pPr>
            <w:r>
              <w:rPr>
                <w:rFonts w:ascii="Arial" w:cs="Arial" w:eastAsia="Arial" w:hAnsi="Arial"/>
                <w:sz w:val="17"/>
                <w:szCs w:val="17"/>
                <w:color w:val="auto"/>
              </w:rPr>
              <w:t>$15</w:t>
            </w:r>
          </w:p>
        </w:tc>
        <w:tc>
          <w:tcPr>
            <w:tcW w:w="1720" w:type="dxa"/>
            <w:vAlign w:val="bottom"/>
          </w:tcPr>
          <w:p>
            <w:pPr>
              <w:jc w:val="right"/>
              <w:ind w:right="74"/>
              <w:spacing w:after="0" w:line="172" w:lineRule="exact"/>
              <w:rPr>
                <w:sz w:val="20"/>
                <w:szCs w:val="20"/>
                <w:color w:val="auto"/>
              </w:rPr>
            </w:pPr>
            <w:r>
              <w:rPr>
                <w:rFonts w:ascii="Arial" w:cs="Arial" w:eastAsia="Arial" w:hAnsi="Arial"/>
                <w:sz w:val="17"/>
                <w:szCs w:val="17"/>
                <w:color w:val="auto"/>
              </w:rPr>
              <w:t>$(2)</w:t>
            </w:r>
          </w:p>
        </w:tc>
        <w:tc>
          <w:tcPr>
            <w:tcW w:w="1480" w:type="dxa"/>
            <w:vAlign w:val="bottom"/>
          </w:tcPr>
          <w:p>
            <w:pPr>
              <w:jc w:val="right"/>
              <w:ind w:right="14"/>
              <w:spacing w:after="0" w:line="172" w:lineRule="exact"/>
              <w:rPr>
                <w:sz w:val="20"/>
                <w:szCs w:val="20"/>
                <w:color w:val="auto"/>
              </w:rPr>
            </w:pPr>
            <w:r>
              <w:rPr>
                <w:rFonts w:ascii="Arial" w:cs="Arial" w:eastAsia="Arial" w:hAnsi="Arial"/>
                <w:sz w:val="17"/>
                <w:szCs w:val="17"/>
                <w:color w:val="auto"/>
              </w:rPr>
              <w:t>$-</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tcPr>
          <w:p>
            <w:pPr>
              <w:ind w:left="220"/>
              <w:spacing w:after="0" w:line="194" w:lineRule="exact"/>
              <w:rPr>
                <w:sz w:val="20"/>
                <w:szCs w:val="20"/>
                <w:color w:val="auto"/>
              </w:rPr>
            </w:pPr>
            <w:r>
              <w:rPr>
                <w:rFonts w:ascii="Arial" w:cs="Arial" w:eastAsia="Arial" w:hAnsi="Arial"/>
                <w:sz w:val="17"/>
                <w:szCs w:val="17"/>
                <w:color w:val="auto"/>
              </w:rPr>
              <w:t>AEC technology</w:t>
            </w:r>
          </w:p>
        </w:tc>
        <w:tc>
          <w:tcPr>
            <w:tcW w:w="2180" w:type="dxa"/>
            <w:vAlign w:val="bottom"/>
          </w:tcPr>
          <w:p>
            <w:pPr>
              <w:jc w:val="right"/>
              <w:ind w:right="94"/>
              <w:spacing w:after="0" w:line="194" w:lineRule="exact"/>
              <w:rPr>
                <w:sz w:val="20"/>
                <w:szCs w:val="20"/>
                <w:color w:val="auto"/>
              </w:rPr>
            </w:pPr>
            <w:r>
              <w:rPr>
                <w:rFonts w:ascii="Arial" w:cs="Arial" w:eastAsia="Arial" w:hAnsi="Arial"/>
                <w:sz w:val="17"/>
                <w:szCs w:val="17"/>
                <w:color w:val="auto"/>
              </w:rPr>
              <w:t>80</w:t>
            </w:r>
          </w:p>
        </w:tc>
        <w:tc>
          <w:tcPr>
            <w:tcW w:w="1720" w:type="dxa"/>
            <w:vAlign w:val="bottom"/>
          </w:tcPr>
          <w:p>
            <w:pPr>
              <w:jc w:val="right"/>
              <w:ind w:right="74"/>
              <w:spacing w:after="0" w:line="194" w:lineRule="exact"/>
              <w:rPr>
                <w:sz w:val="20"/>
                <w:szCs w:val="20"/>
                <w:color w:val="auto"/>
              </w:rPr>
            </w:pPr>
            <w:r>
              <w:rPr>
                <w:rFonts w:ascii="Arial" w:cs="Arial" w:eastAsia="Arial" w:hAnsi="Arial"/>
                <w:sz w:val="17"/>
                <w:szCs w:val="17"/>
                <w:color w:val="auto"/>
              </w:rPr>
              <w:t>(12)</w:t>
            </w: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tcPr>
          <w:p>
            <w:pPr>
              <w:ind w:left="220"/>
              <w:spacing w:after="0" w:line="194" w:lineRule="exact"/>
              <w:rPr>
                <w:sz w:val="20"/>
                <w:szCs w:val="20"/>
                <w:color w:val="auto"/>
              </w:rPr>
            </w:pPr>
            <w:r>
              <w:rPr>
                <w:rFonts w:ascii="Arial" w:cs="Arial" w:eastAsia="Arial" w:hAnsi="Arial"/>
                <w:sz w:val="17"/>
                <w:szCs w:val="17"/>
                <w:color w:val="auto"/>
              </w:rPr>
              <w:t>Customer relationships</w:t>
            </w:r>
          </w:p>
        </w:tc>
        <w:tc>
          <w:tcPr>
            <w:tcW w:w="2180" w:type="dxa"/>
            <w:vAlign w:val="bottom"/>
          </w:tcPr>
          <w:p>
            <w:pPr>
              <w:jc w:val="right"/>
              <w:ind w:right="94"/>
              <w:spacing w:after="0" w:line="194" w:lineRule="exact"/>
              <w:rPr>
                <w:sz w:val="20"/>
                <w:szCs w:val="20"/>
                <w:color w:val="auto"/>
              </w:rPr>
            </w:pPr>
            <w:r>
              <w:rPr>
                <w:rFonts w:ascii="Arial" w:cs="Arial" w:eastAsia="Arial" w:hAnsi="Arial"/>
                <w:sz w:val="17"/>
                <w:szCs w:val="17"/>
                <w:color w:val="auto"/>
              </w:rPr>
              <w:t>42,767</w:t>
            </w:r>
          </w:p>
        </w:tc>
        <w:tc>
          <w:tcPr>
            <w:tcW w:w="1720" w:type="dxa"/>
            <w:vAlign w:val="bottom"/>
          </w:tcPr>
          <w:p>
            <w:pPr>
              <w:jc w:val="right"/>
              <w:ind w:right="74"/>
              <w:spacing w:after="0" w:line="194" w:lineRule="exact"/>
              <w:rPr>
                <w:sz w:val="20"/>
                <w:szCs w:val="20"/>
                <w:color w:val="auto"/>
              </w:rPr>
            </w:pPr>
            <w:r>
              <w:rPr>
                <w:rFonts w:ascii="Arial" w:cs="Arial" w:eastAsia="Arial" w:hAnsi="Arial"/>
                <w:sz w:val="17"/>
                <w:szCs w:val="17"/>
                <w:color w:val="auto"/>
              </w:rPr>
              <w:t>(1,615)</w:t>
            </w: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41,152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tcPr>
          <w:p>
            <w:pPr>
              <w:ind w:left="220"/>
              <w:spacing w:after="0" w:line="194" w:lineRule="exact"/>
              <w:rPr>
                <w:sz w:val="20"/>
                <w:szCs w:val="20"/>
                <w:color w:val="auto"/>
              </w:rPr>
            </w:pPr>
            <w:r>
              <w:rPr>
                <w:rFonts w:ascii="Arial" w:cs="Arial" w:eastAsia="Arial" w:hAnsi="Arial"/>
                <w:sz w:val="17"/>
                <w:szCs w:val="17"/>
                <w:color w:val="auto"/>
              </w:rPr>
              <w:t>Customer contracts</w:t>
            </w:r>
          </w:p>
        </w:tc>
        <w:tc>
          <w:tcPr>
            <w:tcW w:w="218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12,369</w:t>
            </w:r>
          </w:p>
        </w:tc>
        <w:tc>
          <w:tcPr>
            <w:tcW w:w="1720" w:type="dxa"/>
            <w:vAlign w:val="bottom"/>
          </w:tcPr>
          <w:p>
            <w:pPr>
              <w:jc w:val="right"/>
              <w:ind w:right="74"/>
              <w:spacing w:after="0" w:line="194" w:lineRule="exact"/>
              <w:rPr>
                <w:sz w:val="20"/>
                <w:szCs w:val="20"/>
                <w:color w:val="auto"/>
              </w:rPr>
            </w:pPr>
            <w:r>
              <w:rPr>
                <w:rFonts w:ascii="Arial" w:cs="Arial" w:eastAsia="Arial" w:hAnsi="Arial"/>
                <w:sz w:val="17"/>
                <w:szCs w:val="17"/>
                <w:color w:val="auto"/>
              </w:rPr>
              <w:t>(1,457)</w:t>
            </w:r>
          </w:p>
        </w:tc>
        <w:tc>
          <w:tcPr>
            <w:tcW w:w="148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intangibles</w:t>
            </w:r>
          </w:p>
        </w:tc>
        <w:tc>
          <w:tcPr>
            <w:tcW w:w="21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210</w:t>
            </w:r>
          </w:p>
        </w:tc>
        <w:tc>
          <w:tcPr>
            <w:tcW w:w="17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(33)</w:t>
            </w: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Net amortized intangible assets</w:t>
            </w:r>
          </w:p>
        </w:tc>
        <w:tc>
          <w:tcPr>
            <w:tcW w:w="2180" w:type="dxa"/>
            <w:vAlign w:val="bottom"/>
            <w:tcBorders>
              <w:bottom w:val="single" w:sz="8" w:color="auto"/>
            </w:tcBorders>
          </w:tcPr>
          <w:p>
            <w:pPr>
              <w:jc w:val="right"/>
              <w:ind w:right="94"/>
              <w:spacing w:after="0" w:line="186" w:lineRule="exact"/>
              <w:rPr>
                <w:sz w:val="20"/>
                <w:szCs w:val="20"/>
                <w:color w:val="auto"/>
              </w:rPr>
            </w:pPr>
            <w:r>
              <w:rPr>
                <w:rFonts w:ascii="Arial" w:cs="Arial" w:eastAsia="Arial" w:hAnsi="Arial"/>
                <w:sz w:val="17"/>
                <w:szCs w:val="17"/>
                <w:color w:val="auto"/>
              </w:rPr>
              <w:t>$55,441</w:t>
            </w:r>
          </w:p>
        </w:tc>
        <w:tc>
          <w:tcPr>
            <w:tcW w:w="1720" w:type="dxa"/>
            <w:vAlign w:val="bottom"/>
            <w:tcBorders>
              <w:bottom w:val="single" w:sz="8" w:color="auto"/>
            </w:tcBorders>
          </w:tcPr>
          <w:p>
            <w:pPr>
              <w:jc w:val="right"/>
              <w:ind w:right="74"/>
              <w:spacing w:after="0" w:line="186" w:lineRule="exact"/>
              <w:rPr>
                <w:sz w:val="20"/>
                <w:szCs w:val="20"/>
                <w:color w:val="auto"/>
              </w:rPr>
            </w:pPr>
            <w:r>
              <w:rPr>
                <w:rFonts w:ascii="Arial" w:cs="Arial" w:eastAsia="Arial" w:hAnsi="Arial"/>
                <w:sz w:val="17"/>
                <w:szCs w:val="17"/>
                <w:color w:val="auto"/>
              </w:rPr>
              <w:t>($3,119)</w:t>
            </w:r>
          </w:p>
        </w:tc>
        <w:tc>
          <w:tcPr>
            <w:tcW w:w="148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$52,322</w:t>
            </w:r>
          </w:p>
        </w:tc>
        <w:tc>
          <w:tcPr>
            <w:tcW w:w="0" w:type="dxa"/>
            <w:vAlign w:val="bottom"/>
          </w:tcPr>
          <w:p>
            <w:pPr>
              <w:spacing w:after="0"/>
              <w:rPr>
                <w:sz w:val="1"/>
                <w:szCs w:val="1"/>
                <w:color w:val="auto"/>
              </w:rPr>
            </w:pPr>
          </w:p>
        </w:tc>
      </w:tr>
      <w:tr>
        <w:trPr>
          <w:trHeight w:val="379"/>
        </w:trPr>
        <w:tc>
          <w:tcPr>
            <w:tcW w:w="3460" w:type="dxa"/>
            <w:vAlign w:val="bottom"/>
            <w:gridSpan w:val="2"/>
          </w:tcPr>
          <w:p>
            <w:pPr>
              <w:spacing w:after="0"/>
              <w:rPr>
                <w:sz w:val="20"/>
                <w:szCs w:val="20"/>
                <w:color w:val="auto"/>
              </w:rPr>
            </w:pPr>
            <w:r>
              <w:rPr>
                <w:rFonts w:ascii="Arial" w:cs="Arial" w:eastAsia="Arial" w:hAnsi="Arial"/>
                <w:sz w:val="17"/>
                <w:szCs w:val="17"/>
                <w:color w:val="auto"/>
              </w:rPr>
              <w:t>Unamortized intangible assets:</w:t>
            </w:r>
          </w:p>
        </w:tc>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$69,744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220"/>
              <w:spacing w:after="0" w:line="172" w:lineRule="exact"/>
              <w:rPr>
                <w:sz w:val="20"/>
                <w:szCs w:val="20"/>
                <w:color w:val="auto"/>
              </w:rPr>
            </w:pPr>
            <w:r>
              <w:rPr>
                <w:rFonts w:ascii="Arial" w:cs="Arial" w:eastAsia="Arial" w:hAnsi="Arial"/>
                <w:sz w:val="17"/>
                <w:szCs w:val="17"/>
                <w:color w:val="auto"/>
              </w:rPr>
              <w:t>MC Goodwill</w:t>
            </w:r>
          </w:p>
        </w:tc>
        <w:tc>
          <w:tcPr>
            <w:tcW w:w="2180" w:type="dxa"/>
            <w:vAlign w:val="bottom"/>
          </w:tcPr>
          <w:p>
            <w:pPr>
              <w:jc w:val="right"/>
              <w:ind w:right="94"/>
              <w:spacing w:after="0" w:line="172" w:lineRule="exact"/>
              <w:rPr>
                <w:sz w:val="20"/>
                <w:szCs w:val="20"/>
                <w:color w:val="auto"/>
              </w:rPr>
            </w:pPr>
            <w:r>
              <w:rPr>
                <w:rFonts w:ascii="Arial" w:cs="Arial" w:eastAsia="Arial" w:hAnsi="Arial"/>
                <w:sz w:val="17"/>
                <w:szCs w:val="17"/>
                <w:color w:val="auto"/>
              </w:rPr>
              <w:t>$71,066</w:t>
            </w:r>
          </w:p>
        </w:tc>
        <w:tc>
          <w:tcPr>
            <w:tcW w:w="1720" w:type="dxa"/>
            <w:vAlign w:val="bottom"/>
          </w:tcPr>
          <w:p>
            <w:pPr>
              <w:jc w:val="right"/>
              <w:ind w:right="74"/>
              <w:spacing w:after="0" w:line="172"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14"/>
              <w:spacing w:after="0" w:line="172" w:lineRule="exact"/>
              <w:rPr>
                <w:sz w:val="20"/>
                <w:szCs w:val="20"/>
                <w:color w:val="auto"/>
              </w:rPr>
            </w:pPr>
            <w:r>
              <w:rPr>
                <w:rFonts w:ascii="Arial" w:cs="Arial" w:eastAsia="Arial" w:hAnsi="Arial"/>
                <w:sz w:val="17"/>
                <w:szCs w:val="17"/>
                <w:color w:val="auto"/>
              </w:rPr>
              <w:t>$(1,322)</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AEC Goodwill</w:t>
            </w:r>
          </w:p>
        </w:tc>
        <w:tc>
          <w:tcPr>
            <w:tcW w:w="21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95,730</w:t>
            </w:r>
          </w:p>
        </w:tc>
        <w:tc>
          <w:tcPr>
            <w:tcW w:w="17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95,730</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 unamortized intangible assets:</w:t>
            </w:r>
          </w:p>
        </w:tc>
        <w:tc>
          <w:tcPr>
            <w:tcW w:w="2180" w:type="dxa"/>
            <w:vAlign w:val="bottom"/>
            <w:tcBorders>
              <w:bottom w:val="single" w:sz="8" w:color="auto"/>
            </w:tcBorders>
          </w:tcPr>
          <w:p>
            <w:pPr>
              <w:jc w:val="right"/>
              <w:ind w:right="94"/>
              <w:spacing w:after="0" w:line="186" w:lineRule="exact"/>
              <w:rPr>
                <w:sz w:val="20"/>
                <w:szCs w:val="20"/>
                <w:color w:val="auto"/>
              </w:rPr>
            </w:pPr>
            <w:r>
              <w:rPr>
                <w:rFonts w:ascii="Arial" w:cs="Arial" w:eastAsia="Arial" w:hAnsi="Arial"/>
                <w:sz w:val="17"/>
                <w:szCs w:val="17"/>
                <w:color w:val="auto"/>
              </w:rPr>
              <w:t>$166,796</w:t>
            </w:r>
          </w:p>
        </w:tc>
        <w:tc>
          <w:tcPr>
            <w:tcW w:w="1720" w:type="dxa"/>
            <w:vAlign w:val="bottom"/>
            <w:tcBorders>
              <w:bottom w:val="single" w:sz="8" w:color="auto"/>
            </w:tcBorders>
          </w:tcPr>
          <w:p>
            <w:pPr>
              <w:jc w:val="right"/>
              <w:ind w:right="74"/>
              <w:spacing w:after="0" w:line="186"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$(1,322)</w:t>
            </w:r>
          </w:p>
        </w:tc>
        <w:tc>
          <w:tcPr>
            <w:tcW w:w="14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$165,474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Estimated amortization expense of intangibles for the years ending December 31, 2018 through 2022, is as follows:</w:t>
      </w:r>
    </w:p>
    <w:p>
      <w:pPr>
        <w:spacing w:after="0" w:line="353"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206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b w:val="1"/>
                <w:bCs w:val="1"/>
                <w:color w:val="auto"/>
              </w:rPr>
              <w:t>Annual amortization</w:t>
            </w:r>
          </w:p>
        </w:tc>
        <w:tc>
          <w:tcPr>
            <w:tcW w:w="20" w:type="dxa"/>
            <w:vAlign w:val="bottom"/>
          </w:tcPr>
          <w:p>
            <w:pPr>
              <w:spacing w:after="0"/>
              <w:rPr>
                <w:sz w:val="15"/>
                <w:szCs w:val="15"/>
                <w:color w:val="auto"/>
              </w:rPr>
            </w:pPr>
          </w:p>
        </w:tc>
      </w:tr>
      <w:tr>
        <w:trPr>
          <w:trHeight w:val="216"/>
        </w:trPr>
        <w:tc>
          <w:tcPr>
            <w:tcW w:w="2060" w:type="dxa"/>
            <w:vAlign w:val="bottom"/>
          </w:tcPr>
          <w:p>
            <w:pPr>
              <w:ind w:left="820"/>
              <w:spacing w:after="0"/>
              <w:rPr>
                <w:sz w:val="20"/>
                <w:szCs w:val="20"/>
                <w:color w:val="auto"/>
              </w:rPr>
            </w:pPr>
            <w:r>
              <w:rPr>
                <w:rFonts w:ascii="Arial" w:cs="Arial" w:eastAsia="Arial" w:hAnsi="Arial"/>
                <w:sz w:val="17"/>
                <w:szCs w:val="17"/>
                <w:b w:val="1"/>
                <w:bCs w:val="1"/>
                <w:color w:val="auto"/>
              </w:rPr>
              <w:t>Year</w:t>
            </w:r>
          </w:p>
        </w:tc>
        <w:tc>
          <w:tcPr>
            <w:tcW w:w="25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(in thousands)</w:t>
            </w:r>
          </w:p>
        </w:tc>
      </w:tr>
      <w:tr>
        <w:trPr>
          <w:trHeight w:val="186"/>
        </w:trPr>
        <w:tc>
          <w:tcPr>
            <w:tcW w:w="2060" w:type="dxa"/>
            <w:vAlign w:val="bottom"/>
            <w:tcBorders>
              <w:top w:val="single" w:sz="8" w:color="auto"/>
            </w:tcBorders>
          </w:tcPr>
          <w:p>
            <w:pPr>
              <w:ind w:left="820"/>
              <w:spacing w:after="0" w:line="185" w:lineRule="exact"/>
              <w:rPr>
                <w:sz w:val="20"/>
                <w:szCs w:val="20"/>
                <w:color w:val="auto"/>
              </w:rPr>
            </w:pPr>
            <w:r>
              <w:rPr>
                <w:rFonts w:ascii="Arial" w:cs="Arial" w:eastAsia="Arial" w:hAnsi="Arial"/>
                <w:sz w:val="17"/>
                <w:szCs w:val="17"/>
                <w:color w:val="auto"/>
              </w:rPr>
              <w:t>2018</w:t>
            </w:r>
          </w:p>
        </w:tc>
        <w:tc>
          <w:tcPr>
            <w:tcW w:w="252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$6,234</w:t>
            </w:r>
          </w:p>
        </w:tc>
        <w:tc>
          <w:tcPr>
            <w:tcW w:w="20" w:type="dxa"/>
            <w:vAlign w:val="bottom"/>
          </w:tcPr>
          <w:p>
            <w:pPr>
              <w:spacing w:after="0"/>
              <w:rPr>
                <w:sz w:val="16"/>
                <w:szCs w:val="16"/>
                <w:color w:val="auto"/>
              </w:rPr>
            </w:pPr>
          </w:p>
        </w:tc>
      </w:tr>
      <w:tr>
        <w:trPr>
          <w:trHeight w:val="194"/>
        </w:trPr>
        <w:tc>
          <w:tcPr>
            <w:tcW w:w="2060" w:type="dxa"/>
            <w:vAlign w:val="bottom"/>
          </w:tcPr>
          <w:p>
            <w:pPr>
              <w:ind w:left="820"/>
              <w:spacing w:after="0" w:line="194" w:lineRule="exact"/>
              <w:rPr>
                <w:sz w:val="20"/>
                <w:szCs w:val="20"/>
                <w:color w:val="auto"/>
              </w:rPr>
            </w:pPr>
            <w:r>
              <w:rPr>
                <w:rFonts w:ascii="Arial" w:cs="Arial" w:eastAsia="Arial" w:hAnsi="Arial"/>
                <w:sz w:val="17"/>
                <w:szCs w:val="17"/>
                <w:color w:val="auto"/>
              </w:rPr>
              <w:t>2019</w:t>
            </w:r>
          </w:p>
        </w:tc>
        <w:tc>
          <w:tcPr>
            <w:tcW w:w="2520" w:type="dxa"/>
            <w:vAlign w:val="bottom"/>
          </w:tcPr>
          <w:p>
            <w:pPr>
              <w:jc w:val="right"/>
              <w:spacing w:after="0" w:line="194" w:lineRule="exact"/>
              <w:rPr>
                <w:sz w:val="20"/>
                <w:szCs w:val="20"/>
                <w:color w:val="auto"/>
              </w:rPr>
            </w:pPr>
            <w:r>
              <w:rPr>
                <w:rFonts w:ascii="Arial" w:cs="Arial" w:eastAsia="Arial" w:hAnsi="Arial"/>
                <w:sz w:val="17"/>
                <w:szCs w:val="17"/>
                <w:color w:val="auto"/>
              </w:rPr>
              <w:t>6,234</w:t>
            </w:r>
          </w:p>
        </w:tc>
        <w:tc>
          <w:tcPr>
            <w:tcW w:w="20" w:type="dxa"/>
            <w:vAlign w:val="bottom"/>
          </w:tcPr>
          <w:p>
            <w:pPr>
              <w:spacing w:after="0"/>
              <w:rPr>
                <w:sz w:val="16"/>
                <w:szCs w:val="16"/>
                <w:color w:val="auto"/>
              </w:rPr>
            </w:pPr>
          </w:p>
        </w:tc>
      </w:tr>
      <w:tr>
        <w:trPr>
          <w:trHeight w:val="194"/>
        </w:trPr>
        <w:tc>
          <w:tcPr>
            <w:tcW w:w="2060" w:type="dxa"/>
            <w:vAlign w:val="bottom"/>
          </w:tcPr>
          <w:p>
            <w:pPr>
              <w:ind w:left="820"/>
              <w:spacing w:after="0" w:line="194" w:lineRule="exact"/>
              <w:rPr>
                <w:sz w:val="20"/>
                <w:szCs w:val="20"/>
                <w:color w:val="auto"/>
              </w:rPr>
            </w:pPr>
            <w:r>
              <w:rPr>
                <w:rFonts w:ascii="Arial" w:cs="Arial" w:eastAsia="Arial" w:hAnsi="Arial"/>
                <w:sz w:val="17"/>
                <w:szCs w:val="17"/>
                <w:color w:val="auto"/>
              </w:rPr>
              <w:t>2020</w:t>
            </w:r>
          </w:p>
        </w:tc>
        <w:tc>
          <w:tcPr>
            <w:tcW w:w="2520" w:type="dxa"/>
            <w:vAlign w:val="bottom"/>
          </w:tcPr>
          <w:p>
            <w:pPr>
              <w:jc w:val="right"/>
              <w:spacing w:after="0" w:line="194" w:lineRule="exact"/>
              <w:rPr>
                <w:sz w:val="20"/>
                <w:szCs w:val="20"/>
                <w:color w:val="auto"/>
              </w:rPr>
            </w:pPr>
            <w:r>
              <w:rPr>
                <w:rFonts w:ascii="Arial" w:cs="Arial" w:eastAsia="Arial" w:hAnsi="Arial"/>
                <w:sz w:val="17"/>
                <w:szCs w:val="17"/>
                <w:color w:val="auto"/>
              </w:rPr>
              <w:t>6,234</w:t>
            </w:r>
          </w:p>
        </w:tc>
        <w:tc>
          <w:tcPr>
            <w:tcW w:w="20" w:type="dxa"/>
            <w:vAlign w:val="bottom"/>
          </w:tcPr>
          <w:p>
            <w:pPr>
              <w:spacing w:after="0"/>
              <w:rPr>
                <w:sz w:val="16"/>
                <w:szCs w:val="16"/>
                <w:color w:val="auto"/>
              </w:rPr>
            </w:pPr>
          </w:p>
        </w:tc>
      </w:tr>
      <w:tr>
        <w:trPr>
          <w:trHeight w:val="194"/>
        </w:trPr>
        <w:tc>
          <w:tcPr>
            <w:tcW w:w="2060" w:type="dxa"/>
            <w:vAlign w:val="bottom"/>
          </w:tcPr>
          <w:p>
            <w:pPr>
              <w:ind w:left="820"/>
              <w:spacing w:after="0" w:line="194" w:lineRule="exact"/>
              <w:rPr>
                <w:sz w:val="20"/>
                <w:szCs w:val="20"/>
                <w:color w:val="auto"/>
              </w:rPr>
            </w:pPr>
            <w:r>
              <w:rPr>
                <w:rFonts w:ascii="Arial" w:cs="Arial" w:eastAsia="Arial" w:hAnsi="Arial"/>
                <w:sz w:val="17"/>
                <w:szCs w:val="17"/>
                <w:color w:val="auto"/>
              </w:rPr>
              <w:t>2021</w:t>
            </w:r>
          </w:p>
        </w:tc>
        <w:tc>
          <w:tcPr>
            <w:tcW w:w="2520" w:type="dxa"/>
            <w:vAlign w:val="bottom"/>
          </w:tcPr>
          <w:p>
            <w:pPr>
              <w:jc w:val="right"/>
              <w:spacing w:after="0" w:line="194" w:lineRule="exact"/>
              <w:rPr>
                <w:sz w:val="20"/>
                <w:szCs w:val="20"/>
                <w:color w:val="auto"/>
              </w:rPr>
            </w:pPr>
            <w:r>
              <w:rPr>
                <w:rFonts w:ascii="Arial" w:cs="Arial" w:eastAsia="Arial" w:hAnsi="Arial"/>
                <w:sz w:val="17"/>
                <w:szCs w:val="17"/>
                <w:color w:val="auto"/>
              </w:rPr>
              <w:t>6,163</w:t>
            </w:r>
          </w:p>
        </w:tc>
        <w:tc>
          <w:tcPr>
            <w:tcW w:w="20" w:type="dxa"/>
            <w:vAlign w:val="bottom"/>
          </w:tcPr>
          <w:p>
            <w:pPr>
              <w:spacing w:after="0"/>
              <w:rPr>
                <w:sz w:val="16"/>
                <w:szCs w:val="16"/>
                <w:color w:val="auto"/>
              </w:rPr>
            </w:pPr>
          </w:p>
        </w:tc>
      </w:tr>
      <w:tr>
        <w:trPr>
          <w:trHeight w:val="194"/>
        </w:trPr>
        <w:tc>
          <w:tcPr>
            <w:tcW w:w="2060" w:type="dxa"/>
            <w:vAlign w:val="bottom"/>
            <w:tcBorders>
              <w:bottom w:val="single" w:sz="8" w:color="auto"/>
            </w:tcBorders>
          </w:tcPr>
          <w:p>
            <w:pPr>
              <w:ind w:left="820"/>
              <w:spacing w:after="0" w:line="194" w:lineRule="exact"/>
              <w:rPr>
                <w:sz w:val="20"/>
                <w:szCs w:val="20"/>
                <w:color w:val="auto"/>
              </w:rPr>
            </w:pPr>
            <w:r>
              <w:rPr>
                <w:rFonts w:ascii="Arial" w:cs="Arial" w:eastAsia="Arial" w:hAnsi="Arial"/>
                <w:sz w:val="17"/>
                <w:szCs w:val="17"/>
                <w:color w:val="auto"/>
              </w:rPr>
              <w:t>2022</w:t>
            </w:r>
          </w:p>
        </w:tc>
        <w:tc>
          <w:tcPr>
            <w:tcW w:w="25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3,949</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15. Financial Instruments</w:t>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Long-term debt, principally to banks and bondholders, consists of:</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0280"/>
          </w:cols>
          <w:pgMar w:left="240" w:top="816" w:right="1379" w:bottom="1440" w:gutter="0" w:footer="0" w:header="0"/>
        </w:sectPr>
      </w:pPr>
    </w:p>
    <w:bookmarkStart w:id="32" w:name="page33"/>
    <w:bookmarkEnd w:id="32"/>
    <w:tbl>
      <w:tblPr>
        <w:tblLayout w:type="fixed"/>
        <w:tblInd w:w="620" w:type="dxa"/>
        <w:tblCellMar>
          <w:top w:w="0" w:type="dxa"/>
          <w:left w:w="0" w:type="dxa"/>
          <w:bottom w:w="0" w:type="dxa"/>
          <w:right w:w="0" w:type="dxa"/>
        </w:tblCellMar>
      </w:tblPr>
      <w:tr>
        <w:trPr>
          <w:trHeight w:val="206"/>
        </w:trPr>
        <w:tc>
          <w:tcPr>
            <w:tcW w:w="7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interest rates)</w:t>
            </w:r>
          </w:p>
        </w:tc>
        <w:tc>
          <w:tcPr>
            <w:tcW w:w="13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June 30, 2018</w:t>
            </w:r>
          </w:p>
        </w:tc>
        <w:tc>
          <w:tcPr>
            <w:tcW w:w="19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December 31, 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7000" w:type="dxa"/>
            <w:vAlign w:val="bottom"/>
          </w:tcPr>
          <w:p>
            <w:pPr>
              <w:spacing w:after="0"/>
              <w:rPr>
                <w:sz w:val="20"/>
                <w:szCs w:val="20"/>
                <w:color w:val="auto"/>
              </w:rPr>
            </w:pPr>
            <w:r>
              <w:rPr>
                <w:rFonts w:ascii="Arial" w:cs="Arial" w:eastAsia="Arial" w:hAnsi="Arial"/>
                <w:sz w:val="17"/>
                <w:szCs w:val="17"/>
                <w:color w:val="auto"/>
              </w:rPr>
              <w:t>Revolving credit agreement with borrowings outstanding at an end of period interest rate of</w:t>
            </w:r>
          </w:p>
        </w:tc>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00" w:type="dxa"/>
            <w:vAlign w:val="bottom"/>
          </w:tcPr>
          <w:p>
            <w:pPr>
              <w:spacing w:after="0" w:line="194" w:lineRule="exact"/>
              <w:rPr>
                <w:sz w:val="20"/>
                <w:szCs w:val="20"/>
                <w:color w:val="auto"/>
              </w:rPr>
            </w:pPr>
            <w:r>
              <w:rPr>
                <w:rFonts w:ascii="Arial" w:cs="Arial" w:eastAsia="Arial" w:hAnsi="Arial"/>
                <w:sz w:val="17"/>
                <w:szCs w:val="17"/>
                <w:color w:val="auto"/>
              </w:rPr>
              <w:t>3.58% in 2018 and 3.40% in 2017 (including the effect of interest rate hedging transactions,</w:t>
            </w:r>
          </w:p>
        </w:tc>
        <w:tc>
          <w:tcPr>
            <w:tcW w:w="136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$511,000</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20"/>
                <w:szCs w:val="20"/>
                <w:color w:val="auto"/>
              </w:rPr>
            </w:pPr>
            <w:r>
              <w:rPr>
                <w:rFonts w:ascii="Arial" w:cs="Arial" w:eastAsia="Arial" w:hAnsi="Arial"/>
                <w:sz w:val="17"/>
                <w:szCs w:val="17"/>
                <w:color w:val="auto"/>
              </w:rPr>
              <w:t>as described below), due in 2022</w:t>
            </w:r>
          </w:p>
        </w:tc>
        <w:tc>
          <w:tcPr>
            <w:tcW w:w="1360" w:type="dxa"/>
            <w:vAlign w:val="bottom"/>
            <w:vMerge w:val="continue"/>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7"/>
                <w:szCs w:val="17"/>
                <w:color w:val="auto"/>
              </w:rPr>
              <w:t>$501,000</w:t>
            </w:r>
          </w:p>
        </w:tc>
        <w:tc>
          <w:tcPr>
            <w:tcW w:w="0" w:type="dxa"/>
            <w:vAlign w:val="bottom"/>
          </w:tcPr>
          <w:p>
            <w:pPr>
              <w:spacing w:after="0"/>
              <w:rPr>
                <w:sz w:val="1"/>
                <w:szCs w:val="1"/>
                <w:color w:val="auto"/>
              </w:rPr>
            </w:pPr>
          </w:p>
        </w:tc>
      </w:tr>
      <w:tr>
        <w:trPr>
          <w:trHeight w:val="376"/>
        </w:trPr>
        <w:tc>
          <w:tcPr>
            <w:tcW w:w="7000" w:type="dxa"/>
            <w:vAlign w:val="bottom"/>
          </w:tcPr>
          <w:p>
            <w:pPr>
              <w:spacing w:after="0"/>
              <w:rPr>
                <w:sz w:val="20"/>
                <w:szCs w:val="20"/>
                <w:color w:val="auto"/>
              </w:rPr>
            </w:pPr>
            <w:r>
              <w:rPr>
                <w:rFonts w:ascii="Arial" w:cs="Arial" w:eastAsia="Arial" w:hAnsi="Arial"/>
                <w:sz w:val="17"/>
                <w:szCs w:val="17"/>
                <w:color w:val="auto"/>
              </w:rPr>
              <w:t>Obligation under capital lease, matures 2022</w:t>
            </w:r>
          </w:p>
        </w:tc>
        <w:tc>
          <w:tcPr>
            <w:tcW w:w="1360" w:type="dxa"/>
            <w:vAlign w:val="bottom"/>
          </w:tcPr>
          <w:p>
            <w:pPr>
              <w:jc w:val="right"/>
              <w:ind w:right="34"/>
              <w:spacing w:after="0"/>
              <w:rPr>
                <w:sz w:val="20"/>
                <w:szCs w:val="20"/>
                <w:color w:val="auto"/>
              </w:rPr>
            </w:pPr>
            <w:r>
              <w:rPr>
                <w:rFonts w:ascii="Arial" w:cs="Arial" w:eastAsia="Arial" w:hAnsi="Arial"/>
                <w:sz w:val="17"/>
                <w:szCs w:val="17"/>
                <w:b w:val="1"/>
                <w:bCs w:val="1"/>
                <w:color w:val="auto"/>
              </w:rPr>
              <w:t>14,030</w:t>
            </w:r>
          </w:p>
        </w:tc>
        <w:tc>
          <w:tcPr>
            <w:tcW w:w="1940" w:type="dxa"/>
            <w:vAlign w:val="bottom"/>
            <w:gridSpan w:val="2"/>
          </w:tcPr>
          <w:p>
            <w:pPr>
              <w:jc w:val="right"/>
              <w:ind w:right="20"/>
              <w:spacing w:after="0"/>
              <w:rPr>
                <w:sz w:val="20"/>
                <w:szCs w:val="20"/>
                <w:color w:val="auto"/>
              </w:rPr>
            </w:pPr>
            <w:r>
              <w:rPr>
                <w:rFonts w:ascii="Arial" w:cs="Arial" w:eastAsia="Arial" w:hAnsi="Arial"/>
                <w:sz w:val="17"/>
                <w:szCs w:val="17"/>
                <w:color w:val="auto"/>
              </w:rPr>
              <w:t>14,919</w:t>
            </w:r>
          </w:p>
        </w:tc>
        <w:tc>
          <w:tcPr>
            <w:tcW w:w="0" w:type="dxa"/>
            <w:vAlign w:val="bottom"/>
          </w:tcPr>
          <w:p>
            <w:pPr>
              <w:spacing w:after="0"/>
              <w:rPr>
                <w:sz w:val="1"/>
                <w:szCs w:val="1"/>
                <w:color w:val="auto"/>
              </w:rPr>
            </w:pPr>
          </w:p>
        </w:tc>
      </w:tr>
      <w:tr>
        <w:trPr>
          <w:trHeight w:val="391"/>
        </w:trPr>
        <w:tc>
          <w:tcPr>
            <w:tcW w:w="70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Long-term debt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525,030</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515,919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current portion</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(1,844)</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(1,799)</w:t>
            </w:r>
          </w:p>
        </w:tc>
        <w:tc>
          <w:tcPr>
            <w:tcW w:w="0" w:type="dxa"/>
            <w:vAlign w:val="bottom"/>
          </w:tcPr>
          <w:p>
            <w:pPr>
              <w:spacing w:after="0"/>
              <w:rPr>
                <w:sz w:val="1"/>
                <w:szCs w:val="1"/>
                <w:color w:val="auto"/>
              </w:rPr>
            </w:pPr>
          </w:p>
        </w:tc>
      </w:tr>
      <w:tr>
        <w:trPr>
          <w:trHeight w:val="380"/>
        </w:trPr>
        <w:tc>
          <w:tcPr>
            <w:tcW w:w="7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Long-term debt, net of current portion</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$523,186</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$514,120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November 7, 2017, we entered into a $685 million unsecured Five-Year Revolving Credit Facility Agreement (the “Credit Agreement”)</w:t>
      </w:r>
    </w:p>
    <w:p>
      <w:pPr>
        <w:spacing w:after="0" w:line="237" w:lineRule="auto"/>
        <w:rPr>
          <w:sz w:val="20"/>
          <w:szCs w:val="20"/>
          <w:color w:val="auto"/>
        </w:rPr>
      </w:pPr>
      <w:r>
        <w:rPr>
          <w:rFonts w:ascii="Arial" w:cs="Arial" w:eastAsia="Arial" w:hAnsi="Arial"/>
          <w:sz w:val="17"/>
          <w:szCs w:val="17"/>
          <w:color w:val="auto"/>
        </w:rPr>
        <w:t>which amended and restated the prior $550 million Agreement, entered into on April 8, 2016 (the “Prior Agreement”). Under the Credit Agreement,</w:t>
      </w:r>
    </w:p>
    <w:p>
      <w:pPr>
        <w:spacing w:after="0" w:line="238" w:lineRule="auto"/>
        <w:rPr>
          <w:sz w:val="20"/>
          <w:szCs w:val="20"/>
          <w:color w:val="auto"/>
        </w:rPr>
      </w:pPr>
      <w:r>
        <w:rPr>
          <w:rFonts w:ascii="Arial" w:cs="Arial" w:eastAsia="Arial" w:hAnsi="Arial"/>
          <w:sz w:val="17"/>
          <w:szCs w:val="17"/>
          <w:color w:val="auto"/>
        </w:rPr>
        <w:t>$511 million of borrowings were outstanding as of June 30, 2018. The applicable interest rate for borrowings was LIBOR plus a spread, based on our</w:t>
      </w:r>
    </w:p>
    <w:p>
      <w:pPr>
        <w:spacing w:after="0" w:line="238" w:lineRule="auto"/>
        <w:rPr>
          <w:sz w:val="20"/>
          <w:szCs w:val="20"/>
          <w:color w:val="auto"/>
        </w:rPr>
      </w:pPr>
      <w:r>
        <w:rPr>
          <w:rFonts w:ascii="Arial" w:cs="Arial" w:eastAsia="Arial" w:hAnsi="Arial"/>
          <w:sz w:val="17"/>
          <w:szCs w:val="17"/>
          <w:color w:val="auto"/>
        </w:rPr>
        <w:t>leverage ratio at the time of borrowing. At the time of the last borrowing on June 18, 2018, the spread was 1.500%. The spread was based on a</w:t>
      </w:r>
    </w:p>
    <w:p>
      <w:pPr>
        <w:spacing w:after="0" w:line="237" w:lineRule="auto"/>
        <w:rPr>
          <w:sz w:val="20"/>
          <w:szCs w:val="20"/>
          <w:color w:val="auto"/>
        </w:rPr>
      </w:pPr>
      <w:r>
        <w:rPr>
          <w:rFonts w:ascii="Arial" w:cs="Arial" w:eastAsia="Arial" w:hAnsi="Arial"/>
          <w:sz w:val="17"/>
          <w:szCs w:val="17"/>
          <w:color w:val="auto"/>
        </w:rPr>
        <w:t>pricing grid, which ranged from 1.250% to 1.750%, based on our leverage ratio. Based on our maximum leverage ratio and our Consolidated EBITDA,</w:t>
      </w:r>
    </w:p>
    <w:p>
      <w:pPr>
        <w:spacing w:after="0" w:line="238" w:lineRule="auto"/>
        <w:rPr>
          <w:sz w:val="20"/>
          <w:szCs w:val="20"/>
          <w:color w:val="auto"/>
        </w:rPr>
      </w:pPr>
      <w:r>
        <w:rPr>
          <w:rFonts w:ascii="Arial" w:cs="Arial" w:eastAsia="Arial" w:hAnsi="Arial"/>
          <w:sz w:val="17"/>
          <w:szCs w:val="17"/>
          <w:color w:val="auto"/>
        </w:rPr>
        <w:t>and without modification to any other credit agreements, as of June 30, 2018, we would have been able to borrow an additional $174 million under the</w:t>
      </w:r>
    </w:p>
    <w:p>
      <w:pPr>
        <w:spacing w:after="0"/>
        <w:rPr>
          <w:sz w:val="20"/>
          <w:szCs w:val="20"/>
          <w:color w:val="auto"/>
        </w:rPr>
      </w:pPr>
      <w:r>
        <w:rPr>
          <w:rFonts w:ascii="Arial" w:cs="Arial" w:eastAsia="Arial" w:hAnsi="Arial"/>
          <w:sz w:val="17"/>
          <w:szCs w:val="17"/>
          <w:color w:val="auto"/>
        </w:rPr>
        <w:t>Agreement.</w:t>
      </w:r>
    </w:p>
    <w:p>
      <w:pPr>
        <w:spacing w:after="0" w:line="179" w:lineRule="exact"/>
        <w:rPr>
          <w:sz w:val="20"/>
          <w:szCs w:val="20"/>
          <w:color w:val="auto"/>
        </w:rPr>
      </w:pPr>
    </w:p>
    <w:p>
      <w:pPr>
        <w:ind w:right="200" w:firstLine="620"/>
        <w:spacing w:after="0" w:line="250" w:lineRule="auto"/>
        <w:rPr>
          <w:sz w:val="20"/>
          <w:szCs w:val="20"/>
          <w:color w:val="auto"/>
        </w:rPr>
      </w:pPr>
      <w:r>
        <w:rPr>
          <w:rFonts w:ascii="Arial" w:cs="Arial" w:eastAsia="Arial" w:hAnsi="Arial"/>
          <w:sz w:val="17"/>
          <w:szCs w:val="17"/>
          <w:color w:val="auto"/>
        </w:rPr>
        <w:t>The Credit Agreement contains customary terms, as well as affirmative covenants, negative covenants and events of default comparable to those in the Prior Agreement. The Borrowings are guaranteed by certain of the Company's subsidiaries.</w:t>
      </w:r>
    </w:p>
    <w:p>
      <w:pPr>
        <w:spacing w:after="0" w:line="148" w:lineRule="exact"/>
        <w:rPr>
          <w:sz w:val="20"/>
          <w:szCs w:val="20"/>
          <w:color w:val="auto"/>
        </w:rPr>
      </w:pPr>
    </w:p>
    <w:p>
      <w:pPr>
        <w:ind w:right="120" w:firstLine="620"/>
        <w:spacing w:after="0" w:line="250" w:lineRule="auto"/>
        <w:rPr>
          <w:sz w:val="20"/>
          <w:szCs w:val="20"/>
          <w:color w:val="auto"/>
        </w:rPr>
      </w:pPr>
      <w:r>
        <w:rPr>
          <w:rFonts w:ascii="Arial" w:cs="Arial" w:eastAsia="Arial" w:hAnsi="Arial"/>
          <w:sz w:val="17"/>
          <w:szCs w:val="17"/>
          <w:color w:val="auto"/>
        </w:rPr>
        <w:t>Our ability to borrow additional amounts under the Credit Agreement is conditional upon the absence of any defaults, as well as the absence of any material adverse change (as defined in the Credit Agreement).</w:t>
      </w:r>
    </w:p>
    <w:p>
      <w:pPr>
        <w:spacing w:after="0" w:line="148" w:lineRule="exact"/>
        <w:rPr>
          <w:sz w:val="20"/>
          <w:szCs w:val="20"/>
          <w:color w:val="auto"/>
        </w:rPr>
      </w:pPr>
    </w:p>
    <w:p>
      <w:pPr>
        <w:ind w:right="80" w:firstLine="620"/>
        <w:spacing w:after="0" w:line="250" w:lineRule="auto"/>
        <w:rPr>
          <w:sz w:val="20"/>
          <w:szCs w:val="20"/>
          <w:color w:val="auto"/>
        </w:rPr>
      </w:pPr>
      <w:r>
        <w:rPr>
          <w:rFonts w:ascii="Arial" w:cs="Arial" w:eastAsia="Arial" w:hAnsi="Arial"/>
          <w:sz w:val="17"/>
          <w:szCs w:val="17"/>
          <w:color w:val="auto"/>
        </w:rPr>
        <w:t>The Company has a long-term capital lease obligation for real property in Salt Lake City, Utah. The lease has an implied interest rate of 5.0% and matures in 2022.</w:t>
      </w:r>
    </w:p>
    <w:p>
      <w:pPr>
        <w:spacing w:after="0" w:line="161" w:lineRule="exact"/>
        <w:rPr>
          <w:sz w:val="20"/>
          <w:szCs w:val="20"/>
          <w:color w:val="auto"/>
        </w:rPr>
      </w:pPr>
    </w:p>
    <w:p>
      <w:pPr>
        <w:ind w:right="520" w:firstLine="620"/>
        <w:spacing w:after="0" w:line="250" w:lineRule="auto"/>
        <w:rPr>
          <w:sz w:val="20"/>
          <w:szCs w:val="20"/>
          <w:color w:val="auto"/>
        </w:rPr>
      </w:pPr>
      <w:r>
        <w:rPr>
          <w:rFonts w:ascii="Arial" w:cs="Arial" w:eastAsia="Arial" w:hAnsi="Arial"/>
          <w:sz w:val="17"/>
          <w:szCs w:val="17"/>
          <w:color w:val="auto"/>
        </w:rPr>
        <w:t>The following schedule presents future minimum annual lease payments under the capital lease obligation and the present value of the minimum lease payments, as of June 30, 2018.</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00"/>
          </w:cols>
          <w:pgMar w:left="240" w:top="855" w:right="259" w:bottom="1440" w:gutter="0" w:footer="0" w:header="0"/>
        </w:sectPr>
      </w:pPr>
    </w:p>
    <w:bookmarkStart w:id="33" w:name="page34"/>
    <w:bookmarkEnd w:id="33"/>
    <w:tbl>
      <w:tblPr>
        <w:tblLayout w:type="fixed"/>
        <w:tblInd w:w="620" w:type="dxa"/>
        <w:tblCellMar>
          <w:top w:w="0" w:type="dxa"/>
          <w:left w:w="0" w:type="dxa"/>
          <w:bottom w:w="0" w:type="dxa"/>
          <w:right w:w="0" w:type="dxa"/>
        </w:tblCellMar>
      </w:tblPr>
      <w:tr>
        <w:trPr>
          <w:trHeight w:val="206"/>
        </w:trPr>
        <w:tc>
          <w:tcPr>
            <w:tcW w:w="4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Years ending December 31,</w:t>
            </w:r>
          </w:p>
        </w:tc>
        <w:tc>
          <w:tcPr>
            <w:tcW w:w="2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 thousands)</w:t>
            </w:r>
          </w:p>
        </w:tc>
      </w:tr>
      <w:tr>
        <w:trPr>
          <w:trHeight w:val="164"/>
        </w:trPr>
        <w:tc>
          <w:tcPr>
            <w:tcW w:w="4740" w:type="dxa"/>
            <w:vAlign w:val="bottom"/>
          </w:tcPr>
          <w:p>
            <w:pPr>
              <w:spacing w:after="0" w:line="163" w:lineRule="exact"/>
              <w:rPr>
                <w:sz w:val="20"/>
                <w:szCs w:val="20"/>
                <w:color w:val="auto"/>
              </w:rPr>
            </w:pPr>
            <w:r>
              <w:rPr>
                <w:rFonts w:ascii="Arial" w:cs="Arial" w:eastAsia="Arial" w:hAnsi="Arial"/>
                <w:sz w:val="17"/>
                <w:szCs w:val="17"/>
                <w:color w:val="auto"/>
              </w:rPr>
              <w:t>2018</w:t>
            </w:r>
          </w:p>
        </w:tc>
        <w:tc>
          <w:tcPr>
            <w:tcW w:w="2680" w:type="dxa"/>
            <w:vAlign w:val="bottom"/>
          </w:tcPr>
          <w:p>
            <w:pPr>
              <w:jc w:val="right"/>
              <w:spacing w:after="0" w:line="163" w:lineRule="exact"/>
              <w:rPr>
                <w:sz w:val="20"/>
                <w:szCs w:val="20"/>
                <w:color w:val="auto"/>
              </w:rPr>
            </w:pPr>
            <w:r>
              <w:rPr>
                <w:rFonts w:ascii="Arial" w:cs="Arial" w:eastAsia="Arial" w:hAnsi="Arial"/>
                <w:sz w:val="17"/>
                <w:szCs w:val="17"/>
                <w:b w:val="1"/>
                <w:bCs w:val="1"/>
                <w:color w:val="auto"/>
              </w:rPr>
              <w:t>$1,236</w:t>
            </w:r>
          </w:p>
        </w:tc>
      </w:tr>
      <w:tr>
        <w:trPr>
          <w:trHeight w:val="194"/>
        </w:trPr>
        <w:tc>
          <w:tcPr>
            <w:tcW w:w="4740" w:type="dxa"/>
            <w:vAlign w:val="bottom"/>
          </w:tcPr>
          <w:p>
            <w:pPr>
              <w:spacing w:after="0" w:line="194" w:lineRule="exact"/>
              <w:rPr>
                <w:sz w:val="20"/>
                <w:szCs w:val="20"/>
                <w:color w:val="auto"/>
              </w:rPr>
            </w:pPr>
            <w:r>
              <w:rPr>
                <w:rFonts w:ascii="Arial" w:cs="Arial" w:eastAsia="Arial" w:hAnsi="Arial"/>
                <w:sz w:val="17"/>
                <w:szCs w:val="17"/>
                <w:color w:val="auto"/>
              </w:rPr>
              <w:t>2019</w:t>
            </w:r>
          </w:p>
        </w:tc>
        <w:tc>
          <w:tcPr>
            <w:tcW w:w="2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2,473</w:t>
            </w:r>
          </w:p>
        </w:tc>
      </w:tr>
      <w:tr>
        <w:trPr>
          <w:trHeight w:val="194"/>
        </w:trPr>
        <w:tc>
          <w:tcPr>
            <w:tcW w:w="4740" w:type="dxa"/>
            <w:vAlign w:val="bottom"/>
          </w:tcPr>
          <w:p>
            <w:pPr>
              <w:spacing w:after="0" w:line="194" w:lineRule="exact"/>
              <w:rPr>
                <w:sz w:val="20"/>
                <w:szCs w:val="20"/>
                <w:color w:val="auto"/>
              </w:rPr>
            </w:pPr>
            <w:r>
              <w:rPr>
                <w:rFonts w:ascii="Arial" w:cs="Arial" w:eastAsia="Arial" w:hAnsi="Arial"/>
                <w:sz w:val="17"/>
                <w:szCs w:val="17"/>
                <w:color w:val="auto"/>
              </w:rPr>
              <w:t>2020</w:t>
            </w:r>
          </w:p>
        </w:tc>
        <w:tc>
          <w:tcPr>
            <w:tcW w:w="2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2,520</w:t>
            </w:r>
          </w:p>
        </w:tc>
      </w:tr>
      <w:tr>
        <w:trPr>
          <w:trHeight w:val="194"/>
        </w:trPr>
        <w:tc>
          <w:tcPr>
            <w:tcW w:w="4740" w:type="dxa"/>
            <w:vAlign w:val="bottom"/>
          </w:tcPr>
          <w:p>
            <w:pPr>
              <w:spacing w:after="0" w:line="194" w:lineRule="exact"/>
              <w:rPr>
                <w:sz w:val="20"/>
                <w:szCs w:val="20"/>
                <w:color w:val="auto"/>
              </w:rPr>
            </w:pPr>
            <w:r>
              <w:rPr>
                <w:rFonts w:ascii="Arial" w:cs="Arial" w:eastAsia="Arial" w:hAnsi="Arial"/>
                <w:sz w:val="17"/>
                <w:szCs w:val="17"/>
                <w:color w:val="auto"/>
              </w:rPr>
              <w:t>2021</w:t>
            </w:r>
          </w:p>
        </w:tc>
        <w:tc>
          <w:tcPr>
            <w:tcW w:w="2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2,520</w:t>
            </w:r>
          </w:p>
        </w:tc>
      </w:tr>
      <w:tr>
        <w:trPr>
          <w:trHeight w:val="216"/>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2022</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7,373</w:t>
            </w:r>
          </w:p>
        </w:tc>
      </w:tr>
      <w:tr>
        <w:trPr>
          <w:trHeight w:val="164"/>
        </w:trPr>
        <w:tc>
          <w:tcPr>
            <w:tcW w:w="4740" w:type="dxa"/>
            <w:vAlign w:val="bottom"/>
          </w:tcPr>
          <w:p>
            <w:pPr>
              <w:spacing w:after="0" w:line="163" w:lineRule="exact"/>
              <w:rPr>
                <w:sz w:val="20"/>
                <w:szCs w:val="20"/>
                <w:color w:val="auto"/>
              </w:rPr>
            </w:pPr>
            <w:r>
              <w:rPr>
                <w:rFonts w:ascii="Arial" w:cs="Arial" w:eastAsia="Arial" w:hAnsi="Arial"/>
                <w:sz w:val="17"/>
                <w:szCs w:val="17"/>
                <w:color w:val="auto"/>
              </w:rPr>
              <w:t>Total minimum lease payments</w:t>
            </w:r>
          </w:p>
        </w:tc>
        <w:tc>
          <w:tcPr>
            <w:tcW w:w="2680" w:type="dxa"/>
            <w:vAlign w:val="bottom"/>
          </w:tcPr>
          <w:p>
            <w:pPr>
              <w:jc w:val="right"/>
              <w:spacing w:after="0" w:line="163" w:lineRule="exact"/>
              <w:rPr>
                <w:sz w:val="20"/>
                <w:szCs w:val="20"/>
                <w:color w:val="auto"/>
              </w:rPr>
            </w:pPr>
            <w:r>
              <w:rPr>
                <w:rFonts w:ascii="Arial" w:cs="Arial" w:eastAsia="Arial" w:hAnsi="Arial"/>
                <w:sz w:val="17"/>
                <w:szCs w:val="17"/>
                <w:b w:val="1"/>
                <w:bCs w:val="1"/>
                <w:color w:val="auto"/>
              </w:rPr>
              <w:t>16,122</w:t>
            </w:r>
          </w:p>
        </w:tc>
      </w:tr>
      <w:tr>
        <w:trPr>
          <w:trHeight w:val="216"/>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Amount representing interest</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(2,092)</w:t>
            </w:r>
          </w:p>
        </w:tc>
      </w:tr>
      <w:tr>
        <w:trPr>
          <w:trHeight w:val="386"/>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Present value of minimum lease payments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$14,030</w:t>
            </w:r>
          </w:p>
        </w:tc>
      </w:tr>
    </w:tbl>
    <w:p>
      <w:pPr>
        <w:spacing w:after="0" w:line="180"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cash of $6.3 million when the swap agreements were terminated and that payment will be amortized into interest expense through March 2021.</w:t>
      </w:r>
    </w:p>
    <w:p>
      <w:pPr>
        <w:spacing w:after="0" w:line="157"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55"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June 18, 2018 was 2.09%, during the swap period. On June 18, 2018, the all-in-rate on the $350 million of debt was 3.61%.</w:t>
      </w:r>
    </w:p>
    <w:p>
      <w:pPr>
        <w:spacing w:after="0" w:line="171" w:lineRule="exact"/>
        <w:rPr>
          <w:sz w:val="20"/>
          <w:szCs w:val="20"/>
          <w:color w:val="auto"/>
        </w:rPr>
      </w:pPr>
    </w:p>
    <w:p>
      <w:pPr>
        <w:ind w:right="200" w:firstLine="620"/>
        <w:spacing w:after="0" w:line="250" w:lineRule="auto"/>
        <w:rPr>
          <w:sz w:val="20"/>
          <w:szCs w:val="20"/>
          <w:color w:val="auto"/>
        </w:rPr>
      </w:pPr>
      <w:r>
        <w:rPr>
          <w:rFonts w:ascii="Arial" w:cs="Arial" w:eastAsia="Arial" w:hAnsi="Arial"/>
          <w:sz w:val="17"/>
          <w:szCs w:val="17"/>
          <w:color w:val="auto"/>
        </w:rPr>
        <w:t>These interest rate swaps are accounted for as a hedge of future cash flows, as further described in Note 16 of the Notes to Consolidated Financial Statements. No cash collateral was received or pledged in relation to the swap agreements.</w:t>
      </w:r>
    </w:p>
    <w:p>
      <w:pPr>
        <w:spacing w:after="0" w:line="148" w:lineRule="exact"/>
        <w:rPr>
          <w:sz w:val="20"/>
          <w:szCs w:val="20"/>
          <w:color w:val="auto"/>
        </w:rPr>
      </w:pPr>
    </w:p>
    <w:p>
      <w:pPr>
        <w:ind w:right="60" w:firstLine="620"/>
        <w:spacing w:after="0" w:line="243" w:lineRule="auto"/>
        <w:rPr>
          <w:sz w:val="20"/>
          <w:szCs w:val="20"/>
          <w:color w:val="auto"/>
        </w:rPr>
      </w:pPr>
      <w:r>
        <w:rPr>
          <w:rFonts w:ascii="Arial" w:cs="Arial" w:eastAsia="Arial" w:hAnsi="Arial"/>
          <w:sz w:val="17"/>
          <w:szCs w:val="17"/>
          <w:color w:val="auto"/>
        </w:rPr>
        <w:t>Under the Credit Agreement, we are currently required to maintain a leverage ratio (as defined in the agreement) of not greater than 3.75 to 1.00 for each fiscal quarter ending prior to (but not including) September 30, 2019, and 3.50 to 1.00 for each fiscal quarter ending on or after September 30, 2019, and minimum interest coverage (as defined) of 3.00 to 1.00.</w:t>
      </w:r>
    </w:p>
    <w:p>
      <w:pPr>
        <w:spacing w:after="0" w:line="155" w:lineRule="exact"/>
        <w:rPr>
          <w:sz w:val="20"/>
          <w:szCs w:val="20"/>
          <w:color w:val="auto"/>
        </w:rPr>
      </w:pPr>
    </w:p>
    <w:p>
      <w:pPr>
        <w:jc w:val="both"/>
        <w:ind w:right="20" w:firstLine="620"/>
        <w:spacing w:after="0" w:line="243" w:lineRule="auto"/>
        <w:rPr>
          <w:sz w:val="20"/>
          <w:szCs w:val="20"/>
          <w:color w:val="auto"/>
        </w:rPr>
      </w:pPr>
      <w:r>
        <w:rPr>
          <w:rFonts w:ascii="Arial" w:cs="Arial" w:eastAsia="Arial" w:hAnsi="Arial"/>
          <w:sz w:val="17"/>
          <w:szCs w:val="17"/>
          <w:color w:val="auto"/>
        </w:rPr>
        <w:t>As of June 30, 2018, our leverage ratio was 2.23 to 1.00 and our interest coverage ratio was 10.73 to 1.00. We may purchase our Common Stock or pay dividends to the extent our leverage ratio remains at or below 3.50 to 1.00, and may make acquisitions with cash provided our leverage ratio does not exceed the limits noted above.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Indebtedness under the Credit Agreement is ranked equally in right of payment to all unsecured senior debt.</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were in compliance with all debt covenants as of June 30, 2018.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280"/>
          </w:cols>
          <w:pgMar w:left="240" w:top="816" w:right="37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16. Fair-Value Measurements</w:t>
      </w:r>
    </w:p>
    <w:p>
      <w:pPr>
        <w:spacing w:after="0" w:line="225"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2017 or June 30, 2018.</w:t>
      </w:r>
    </w:p>
    <w:p>
      <w:pPr>
        <w:spacing w:after="0" w:line="195" w:lineRule="exact"/>
        <w:rPr>
          <w:sz w:val="20"/>
          <w:szCs w:val="20"/>
          <w:color w:val="auto"/>
        </w:rPr>
      </w:pPr>
    </w:p>
    <w:p>
      <w:pPr>
        <w:ind w:right="320" w:firstLine="620"/>
        <w:spacing w:after="0" w:line="250" w:lineRule="auto"/>
        <w:rPr>
          <w:sz w:val="20"/>
          <w:szCs w:val="20"/>
          <w:color w:val="auto"/>
        </w:rPr>
      </w:pPr>
      <w:r>
        <w:rPr>
          <w:rFonts w:ascii="Arial" w:cs="Arial" w:eastAsia="Arial" w:hAnsi="Arial"/>
          <w:sz w:val="17"/>
          <w:szCs w:val="17"/>
          <w:color w:val="auto"/>
        </w:rPr>
        <w:t>The following table presents the fair-value hierarchy for our Level 1 and Level 2 financial and non-financial assets and liabilities, which are measured at fair value on a recurring basis: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2"/>
          </w:tcPr>
          <w:p>
            <w:pPr>
              <w:jc w:val="right"/>
              <w:ind w:right="774"/>
              <w:spacing w:after="0"/>
              <w:rPr>
                <w:sz w:val="20"/>
                <w:szCs w:val="20"/>
                <w:color w:val="auto"/>
              </w:rPr>
            </w:pPr>
            <w:r>
              <w:rPr>
                <w:rFonts w:ascii="Arial" w:cs="Arial" w:eastAsia="Arial" w:hAnsi="Arial"/>
                <w:sz w:val="17"/>
                <w:szCs w:val="17"/>
                <w:b w:val="1"/>
                <w:bCs w:val="1"/>
                <w:color w:val="auto"/>
              </w:rPr>
              <w:t>June 30, 2018</w:t>
            </w:r>
          </w:p>
        </w:tc>
        <w:tc>
          <w:tcPr>
            <w:tcW w:w="2720" w:type="dxa"/>
            <w:vAlign w:val="bottom"/>
            <w:tcBorders>
              <w:top w:val="single" w:sz="8" w:color="auto"/>
            </w:tcBorders>
            <w:gridSpan w:val="2"/>
          </w:tcPr>
          <w:p>
            <w:pPr>
              <w:jc w:val="right"/>
              <w:ind w:right="496"/>
              <w:spacing w:after="0"/>
              <w:rPr>
                <w:sz w:val="20"/>
                <w:szCs w:val="20"/>
                <w:color w:val="auto"/>
              </w:rPr>
            </w:pPr>
            <w:r>
              <w:rPr>
                <w:rFonts w:ascii="Arial" w:cs="Arial" w:eastAsia="Arial" w:hAnsi="Arial"/>
                <w:sz w:val="17"/>
                <w:szCs w:val="17"/>
                <w:b w:val="1"/>
                <w:bCs w:val="1"/>
                <w:color w:val="auto"/>
              </w:rPr>
              <w:t>December 31, 2017</w:t>
            </w:r>
          </w:p>
        </w:tc>
        <w:tc>
          <w:tcPr>
            <w:tcW w:w="0" w:type="dxa"/>
            <w:vAlign w:val="bottom"/>
          </w:tcPr>
          <w:p>
            <w:pPr>
              <w:spacing w:after="0"/>
              <w:rPr>
                <w:sz w:val="1"/>
                <w:szCs w:val="1"/>
                <w:color w:val="auto"/>
              </w:rPr>
            </w:pPr>
          </w:p>
        </w:tc>
      </w:tr>
      <w:tr>
        <w:trPr>
          <w:trHeight w:val="330"/>
        </w:trPr>
        <w:tc>
          <w:tcPr>
            <w:tcW w:w="5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jc w:val="center"/>
              <w:ind w:right="94"/>
              <w:spacing w:after="0"/>
              <w:rPr>
                <w:sz w:val="20"/>
                <w:szCs w:val="20"/>
                <w:color w:val="auto"/>
              </w:rPr>
            </w:pPr>
            <w:r>
              <w:rPr>
                <w:rFonts w:ascii="Arial" w:cs="Arial" w:eastAsia="Arial" w:hAnsi="Arial"/>
                <w:sz w:val="17"/>
                <w:szCs w:val="17"/>
                <w:b w:val="1"/>
                <w:bCs w:val="1"/>
                <w:color w:val="auto"/>
              </w:rPr>
              <w:t>Significant</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980" w:type="dxa"/>
            <w:vAlign w:val="bottom"/>
          </w:tcPr>
          <w:p>
            <w:pPr>
              <w:jc w:val="center"/>
              <w:ind w:left="274"/>
              <w:spacing w:after="0" w:line="194" w:lineRule="exact"/>
              <w:rPr>
                <w:sz w:val="20"/>
                <w:szCs w:val="20"/>
                <w:color w:val="auto"/>
              </w:rPr>
            </w:pPr>
            <w:r>
              <w:rPr>
                <w:rFonts w:ascii="Arial" w:cs="Arial" w:eastAsia="Arial" w:hAnsi="Arial"/>
                <w:sz w:val="17"/>
                <w:szCs w:val="17"/>
                <w:b w:val="1"/>
                <w:bCs w:val="1"/>
                <w:color w:val="auto"/>
                <w:w w:val="99"/>
              </w:rPr>
              <w:t>Quoted prices</w:t>
            </w:r>
          </w:p>
        </w:tc>
        <w:tc>
          <w:tcPr>
            <w:tcW w:w="1420" w:type="dxa"/>
            <w:vAlign w:val="bottom"/>
          </w:tcPr>
          <w:p>
            <w:pPr>
              <w:jc w:val="center"/>
              <w:ind w:right="74"/>
              <w:spacing w:after="0" w:line="194" w:lineRule="exact"/>
              <w:rPr>
                <w:sz w:val="20"/>
                <w:szCs w:val="20"/>
                <w:color w:val="auto"/>
              </w:rPr>
            </w:pPr>
            <w:r>
              <w:rPr>
                <w:rFonts w:ascii="Arial" w:cs="Arial" w:eastAsia="Arial" w:hAnsi="Arial"/>
                <w:sz w:val="17"/>
                <w:szCs w:val="17"/>
                <w:b w:val="1"/>
                <w:bCs w:val="1"/>
                <w:color w:val="auto"/>
                <w:w w:val="98"/>
              </w:rPr>
              <w:t>other</w:t>
            </w:r>
          </w:p>
        </w:tc>
        <w:tc>
          <w:tcPr>
            <w:tcW w:w="1200" w:type="dxa"/>
            <w:vAlign w:val="bottom"/>
          </w:tcPr>
          <w:p>
            <w:pPr>
              <w:jc w:val="center"/>
              <w:spacing w:after="0" w:line="194" w:lineRule="exact"/>
              <w:rPr>
                <w:sz w:val="20"/>
                <w:szCs w:val="20"/>
                <w:color w:val="auto"/>
              </w:rPr>
            </w:pPr>
            <w:r>
              <w:rPr>
                <w:rFonts w:ascii="Arial" w:cs="Arial" w:eastAsia="Arial" w:hAnsi="Arial"/>
                <w:sz w:val="17"/>
                <w:szCs w:val="17"/>
                <w:color w:val="auto"/>
              </w:rPr>
              <w:t>Quoted prices</w:t>
            </w:r>
          </w:p>
        </w:tc>
        <w:tc>
          <w:tcPr>
            <w:tcW w:w="1520" w:type="dxa"/>
            <w:vAlign w:val="bottom"/>
          </w:tcPr>
          <w:p>
            <w:pPr>
              <w:jc w:val="center"/>
              <w:ind w:right="76"/>
              <w:spacing w:after="0" w:line="194" w:lineRule="exact"/>
              <w:rPr>
                <w:sz w:val="20"/>
                <w:szCs w:val="20"/>
                <w:color w:val="auto"/>
              </w:rPr>
            </w:pPr>
            <w:r>
              <w:rPr>
                <w:rFonts w:ascii="Arial" w:cs="Arial" w:eastAsia="Arial" w:hAnsi="Arial"/>
                <w:sz w:val="17"/>
                <w:szCs w:val="17"/>
                <w:color w:val="auto"/>
              </w:rPr>
              <w:t>Significant other</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980" w:type="dxa"/>
            <w:vAlign w:val="bottom"/>
          </w:tcPr>
          <w:p>
            <w:pPr>
              <w:jc w:val="center"/>
              <w:ind w:left="274"/>
              <w:spacing w:after="0" w:line="194" w:lineRule="exact"/>
              <w:rPr>
                <w:sz w:val="20"/>
                <w:szCs w:val="20"/>
                <w:color w:val="auto"/>
              </w:rPr>
            </w:pPr>
            <w:r>
              <w:rPr>
                <w:rFonts w:ascii="Arial" w:cs="Arial" w:eastAsia="Arial" w:hAnsi="Arial"/>
                <w:sz w:val="17"/>
                <w:szCs w:val="17"/>
                <w:b w:val="1"/>
                <w:bCs w:val="1"/>
                <w:color w:val="auto"/>
              </w:rPr>
              <w:t>in active</w:t>
            </w:r>
          </w:p>
        </w:tc>
        <w:tc>
          <w:tcPr>
            <w:tcW w:w="1420" w:type="dxa"/>
            <w:vAlign w:val="bottom"/>
          </w:tcPr>
          <w:p>
            <w:pPr>
              <w:jc w:val="center"/>
              <w:ind w:right="74"/>
              <w:spacing w:after="0" w:line="194" w:lineRule="exact"/>
              <w:rPr>
                <w:sz w:val="20"/>
                <w:szCs w:val="20"/>
                <w:color w:val="auto"/>
              </w:rPr>
            </w:pPr>
            <w:r>
              <w:rPr>
                <w:rFonts w:ascii="Arial" w:cs="Arial" w:eastAsia="Arial" w:hAnsi="Arial"/>
                <w:sz w:val="17"/>
                <w:szCs w:val="17"/>
                <w:b w:val="1"/>
                <w:bCs w:val="1"/>
                <w:color w:val="auto"/>
              </w:rPr>
              <w:t>observable</w:t>
            </w:r>
          </w:p>
        </w:tc>
        <w:tc>
          <w:tcPr>
            <w:tcW w:w="1200" w:type="dxa"/>
            <w:vAlign w:val="bottom"/>
          </w:tcPr>
          <w:p>
            <w:pPr>
              <w:jc w:val="center"/>
              <w:spacing w:after="0" w:line="194" w:lineRule="exact"/>
              <w:rPr>
                <w:sz w:val="20"/>
                <w:szCs w:val="20"/>
                <w:color w:val="auto"/>
              </w:rPr>
            </w:pPr>
            <w:r>
              <w:rPr>
                <w:rFonts w:ascii="Arial" w:cs="Arial" w:eastAsia="Arial" w:hAnsi="Arial"/>
                <w:sz w:val="17"/>
                <w:szCs w:val="17"/>
                <w:color w:val="auto"/>
              </w:rPr>
              <w:t>in active</w:t>
            </w:r>
          </w:p>
        </w:tc>
        <w:tc>
          <w:tcPr>
            <w:tcW w:w="1520" w:type="dxa"/>
            <w:vAlign w:val="bottom"/>
          </w:tcPr>
          <w:p>
            <w:pPr>
              <w:jc w:val="center"/>
              <w:ind w:right="76"/>
              <w:spacing w:after="0" w:line="194" w:lineRule="exact"/>
              <w:rPr>
                <w:sz w:val="20"/>
                <w:szCs w:val="20"/>
                <w:color w:val="auto"/>
              </w:rPr>
            </w:pPr>
            <w:r>
              <w:rPr>
                <w:rFonts w:ascii="Arial" w:cs="Arial" w:eastAsia="Arial" w:hAnsi="Arial"/>
                <w:sz w:val="17"/>
                <w:szCs w:val="17"/>
                <w:color w:val="auto"/>
              </w:rPr>
              <w:t>observable</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980" w:type="dxa"/>
            <w:vAlign w:val="bottom"/>
          </w:tcPr>
          <w:p>
            <w:pPr>
              <w:jc w:val="center"/>
              <w:ind w:left="274"/>
              <w:spacing w:after="0" w:line="194" w:lineRule="exact"/>
              <w:rPr>
                <w:sz w:val="20"/>
                <w:szCs w:val="20"/>
                <w:color w:val="auto"/>
              </w:rPr>
            </w:pPr>
            <w:r>
              <w:rPr>
                <w:rFonts w:ascii="Arial" w:cs="Arial" w:eastAsia="Arial" w:hAnsi="Arial"/>
                <w:sz w:val="17"/>
                <w:szCs w:val="17"/>
                <w:b w:val="1"/>
                <w:bCs w:val="1"/>
                <w:color w:val="auto"/>
              </w:rPr>
              <w:t>markets</w:t>
            </w:r>
          </w:p>
        </w:tc>
        <w:tc>
          <w:tcPr>
            <w:tcW w:w="1420" w:type="dxa"/>
            <w:vAlign w:val="bottom"/>
          </w:tcPr>
          <w:p>
            <w:pPr>
              <w:jc w:val="center"/>
              <w:ind w:right="74"/>
              <w:spacing w:after="0" w:line="194" w:lineRule="exact"/>
              <w:rPr>
                <w:sz w:val="20"/>
                <w:szCs w:val="20"/>
                <w:color w:val="auto"/>
              </w:rPr>
            </w:pPr>
            <w:r>
              <w:rPr>
                <w:rFonts w:ascii="Arial" w:cs="Arial" w:eastAsia="Arial" w:hAnsi="Arial"/>
                <w:sz w:val="17"/>
                <w:szCs w:val="17"/>
                <w:b w:val="1"/>
                <w:bCs w:val="1"/>
                <w:color w:val="auto"/>
                <w:w w:val="97"/>
              </w:rPr>
              <w:t>inputs</w:t>
            </w:r>
          </w:p>
        </w:tc>
        <w:tc>
          <w:tcPr>
            <w:tcW w:w="1200" w:type="dxa"/>
            <w:vAlign w:val="bottom"/>
          </w:tcPr>
          <w:p>
            <w:pPr>
              <w:jc w:val="center"/>
              <w:spacing w:after="0" w:line="194" w:lineRule="exact"/>
              <w:rPr>
                <w:sz w:val="20"/>
                <w:szCs w:val="20"/>
                <w:color w:val="auto"/>
              </w:rPr>
            </w:pPr>
            <w:r>
              <w:rPr>
                <w:rFonts w:ascii="Arial" w:cs="Arial" w:eastAsia="Arial" w:hAnsi="Arial"/>
                <w:sz w:val="17"/>
                <w:szCs w:val="17"/>
                <w:color w:val="auto"/>
                <w:w w:val="99"/>
              </w:rPr>
              <w:t>markets</w:t>
            </w:r>
          </w:p>
        </w:tc>
        <w:tc>
          <w:tcPr>
            <w:tcW w:w="1520" w:type="dxa"/>
            <w:vAlign w:val="bottom"/>
          </w:tcPr>
          <w:p>
            <w:pPr>
              <w:jc w:val="center"/>
              <w:ind w:right="76"/>
              <w:spacing w:after="0" w:line="194" w:lineRule="exact"/>
              <w:rPr>
                <w:sz w:val="20"/>
                <w:szCs w:val="20"/>
                <w:color w:val="auto"/>
              </w:rPr>
            </w:pPr>
            <w:r>
              <w:rPr>
                <w:rFonts w:ascii="Arial" w:cs="Arial" w:eastAsia="Arial" w:hAnsi="Arial"/>
                <w:sz w:val="17"/>
                <w:szCs w:val="17"/>
                <w:color w:val="auto"/>
                <w:w w:val="96"/>
              </w:rPr>
              <w:t>inputs</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980" w:type="dxa"/>
            <w:vAlign w:val="bottom"/>
            <w:tcBorders>
              <w:bottom w:val="single" w:sz="8" w:color="auto"/>
            </w:tcBorders>
          </w:tcPr>
          <w:p>
            <w:pPr>
              <w:jc w:val="center"/>
              <w:ind w:left="274"/>
              <w:spacing w:after="0"/>
              <w:rPr>
                <w:sz w:val="20"/>
                <w:szCs w:val="20"/>
                <w:color w:val="auto"/>
              </w:rPr>
            </w:pPr>
            <w:r>
              <w:rPr>
                <w:rFonts w:ascii="Arial" w:cs="Arial" w:eastAsia="Arial" w:hAnsi="Arial"/>
                <w:sz w:val="17"/>
                <w:szCs w:val="17"/>
                <w:b w:val="1"/>
                <w:bCs w:val="1"/>
                <w:color w:val="auto"/>
              </w:rPr>
              <w:t>(Level 1)</w:t>
            </w: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rPr>
              <w:t>(Level 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(Level 1)</w:t>
            </w:r>
          </w:p>
        </w:tc>
        <w:tc>
          <w:tcPr>
            <w:tcW w:w="152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color w:val="auto"/>
              </w:rPr>
              <w:t>(Level 2)</w:t>
            </w:r>
          </w:p>
        </w:tc>
        <w:tc>
          <w:tcPr>
            <w:tcW w:w="0" w:type="dxa"/>
            <w:vAlign w:val="bottom"/>
          </w:tcPr>
          <w:p>
            <w:pPr>
              <w:spacing w:after="0"/>
              <w:rPr>
                <w:sz w:val="1"/>
                <w:szCs w:val="1"/>
                <w:color w:val="auto"/>
              </w:rPr>
            </w:pPr>
          </w:p>
        </w:tc>
      </w:tr>
      <w:tr>
        <w:trPr>
          <w:trHeight w:val="168"/>
        </w:trPr>
        <w:tc>
          <w:tcPr>
            <w:tcW w:w="5300" w:type="dxa"/>
            <w:vAlign w:val="bottom"/>
          </w:tcPr>
          <w:p>
            <w:pPr>
              <w:spacing w:after="0" w:line="167" w:lineRule="exact"/>
              <w:rPr>
                <w:sz w:val="20"/>
                <w:szCs w:val="20"/>
                <w:color w:val="auto"/>
              </w:rPr>
            </w:pPr>
            <w:r>
              <w:rPr>
                <w:rFonts w:ascii="Arial" w:cs="Arial" w:eastAsia="Arial" w:hAnsi="Arial"/>
                <w:sz w:val="17"/>
                <w:szCs w:val="17"/>
                <w:b w:val="1"/>
                <w:bCs w:val="1"/>
                <w:color w:val="auto"/>
              </w:rPr>
              <w:t>Fair Value</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20"/>
                <w:szCs w:val="20"/>
                <w:color w:val="auto"/>
              </w:rPr>
            </w:pPr>
            <w:r>
              <w:rPr>
                <w:rFonts w:ascii="Arial" w:cs="Arial" w:eastAsia="Arial" w:hAnsi="Arial"/>
                <w:sz w:val="17"/>
                <w:szCs w:val="17"/>
                <w:i w:val="1"/>
                <w:iCs w:val="1"/>
                <w:color w:val="auto"/>
              </w:rPr>
              <w:t>Assets:</w:t>
            </w:r>
          </w:p>
        </w:tc>
        <w:tc>
          <w:tcPr>
            <w:tcW w:w="19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$18,728</w:t>
            </w:r>
          </w:p>
        </w:tc>
        <w:tc>
          <w:tcPr>
            <w:tcW w:w="14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00" w:type="dxa"/>
            <w:vAlign w:val="bottom"/>
          </w:tcPr>
          <w:p>
            <w:pPr>
              <w:ind w:left="240"/>
              <w:spacing w:after="0" w:line="194" w:lineRule="exact"/>
              <w:rPr>
                <w:sz w:val="20"/>
                <w:szCs w:val="20"/>
                <w:color w:val="auto"/>
              </w:rPr>
            </w:pPr>
            <w:r>
              <w:rPr>
                <w:rFonts w:ascii="Arial" w:cs="Arial" w:eastAsia="Arial" w:hAnsi="Arial"/>
                <w:sz w:val="17"/>
                <w:szCs w:val="17"/>
                <w:color w:val="auto"/>
              </w:rPr>
              <w:t>Cash equivalents</w:t>
            </w:r>
          </w:p>
        </w:tc>
        <w:tc>
          <w:tcPr>
            <w:tcW w:w="19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$13,601</w:t>
            </w:r>
          </w:p>
        </w:tc>
        <w:tc>
          <w:tcPr>
            <w:tcW w:w="1520" w:type="dxa"/>
            <w:vAlign w:val="bottom"/>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300" w:type="dxa"/>
            <w:vAlign w:val="bottom"/>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19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41</w:t>
            </w:r>
          </w:p>
        </w:tc>
        <w:tc>
          <w:tcPr>
            <w:tcW w:w="142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380"/>
              <w:spacing w:after="0" w:line="176" w:lineRule="exact"/>
              <w:rPr>
                <w:sz w:val="20"/>
                <w:szCs w:val="20"/>
                <w:color w:val="auto"/>
              </w:rPr>
            </w:pPr>
            <w:r>
              <w:rPr>
                <w:rFonts w:ascii="Arial" w:cs="Arial" w:eastAsia="Arial" w:hAnsi="Arial"/>
                <w:sz w:val="17"/>
                <w:szCs w:val="17"/>
                <w:color w:val="auto"/>
              </w:rPr>
              <w:t>Foreign currency options</w:t>
            </w:r>
          </w:p>
        </w:tc>
        <w:tc>
          <w:tcPr>
            <w:tcW w:w="19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00" w:type="dxa"/>
            <w:vAlign w:val="bottom"/>
          </w:tcPr>
          <w:p>
            <w:pPr>
              <w:jc w:val="right"/>
              <w:ind w:right="114"/>
              <w:spacing w:after="0" w:line="176" w:lineRule="exact"/>
              <w:rPr>
                <w:sz w:val="20"/>
                <w:szCs w:val="20"/>
                <w:color w:val="auto"/>
              </w:rPr>
            </w:pPr>
            <w:r>
              <w:rPr>
                <w:rFonts w:ascii="Arial" w:cs="Arial" w:eastAsia="Arial" w:hAnsi="Arial"/>
                <w:sz w:val="17"/>
                <w:szCs w:val="17"/>
                <w:color w:val="auto"/>
              </w:rPr>
              <w:t>-</w:t>
            </w:r>
          </w:p>
        </w:tc>
        <w:tc>
          <w:tcPr>
            <w:tcW w:w="1520" w:type="dxa"/>
            <w:vAlign w:val="bottom"/>
          </w:tcPr>
          <w:p>
            <w:pPr>
              <w:jc w:val="right"/>
              <w:ind w:right="276"/>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300" w:type="dxa"/>
            <w:vAlign w:val="bottom"/>
          </w:tcPr>
          <w:p>
            <w:pPr>
              <w:ind w:left="240"/>
              <w:spacing w:after="0"/>
              <w:rPr>
                <w:sz w:val="20"/>
                <w:szCs w:val="20"/>
                <w:color w:val="auto"/>
              </w:rPr>
            </w:pPr>
            <w:r>
              <w:rPr>
                <w:rFonts w:ascii="Arial" w:cs="Arial" w:eastAsia="Arial" w:hAnsi="Arial"/>
                <w:sz w:val="17"/>
                <w:szCs w:val="17"/>
                <w:i w:val="1"/>
                <w:iCs w:val="1"/>
                <w:color w:val="auto"/>
              </w:rPr>
              <w:t>Other Assets:</w:t>
            </w:r>
          </w:p>
        </w:tc>
        <w:tc>
          <w:tcPr>
            <w:tcW w:w="1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300" w:type="dxa"/>
            <w:vAlign w:val="bottom"/>
          </w:tcPr>
          <w:p>
            <w:pPr>
              <w:ind w:left="460"/>
              <w:spacing w:after="0" w:line="245" w:lineRule="exact"/>
              <w:rPr>
                <w:sz w:val="20"/>
                <w:szCs w:val="20"/>
                <w:color w:val="auto"/>
              </w:rPr>
            </w:pPr>
            <w:r>
              <w:rPr>
                <w:rFonts w:ascii="Arial" w:cs="Arial" w:eastAsia="Arial" w:hAnsi="Arial"/>
                <w:sz w:val="17"/>
                <w:szCs w:val="17"/>
                <w:color w:val="auto"/>
              </w:rPr>
              <w:t xml:space="preserve">Common stock of unaffiliated foreign public company </w:t>
            </w:r>
            <w:r>
              <w:rPr>
                <w:rFonts w:ascii="Arial" w:cs="Arial" w:eastAsia="Arial" w:hAnsi="Arial"/>
                <w:sz w:val="28"/>
                <w:szCs w:val="28"/>
                <w:color w:val="auto"/>
                <w:vertAlign w:val="superscript"/>
              </w:rPr>
              <w:t>(a)</w:t>
            </w:r>
          </w:p>
        </w:tc>
        <w:tc>
          <w:tcPr>
            <w:tcW w:w="1980" w:type="dxa"/>
            <w:vAlign w:val="bottom"/>
          </w:tcPr>
          <w:p>
            <w:pPr>
              <w:jc w:val="right"/>
              <w:ind w:right="94"/>
              <w:spacing w:after="0"/>
              <w:rPr>
                <w:sz w:val="20"/>
                <w:szCs w:val="20"/>
                <w:color w:val="auto"/>
              </w:rPr>
            </w:pPr>
            <w:r>
              <w:rPr>
                <w:rFonts w:ascii="Arial" w:cs="Arial" w:eastAsia="Arial" w:hAnsi="Arial"/>
                <w:sz w:val="17"/>
                <w:szCs w:val="17"/>
                <w:b w:val="1"/>
                <w:bCs w:val="1"/>
                <w:color w:val="auto"/>
              </w:rPr>
              <w:t>962</w:t>
            </w:r>
          </w:p>
        </w:tc>
        <w:tc>
          <w:tcPr>
            <w:tcW w:w="1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999</w:t>
            </w:r>
          </w:p>
        </w:tc>
        <w:tc>
          <w:tcPr>
            <w:tcW w:w="152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9"/>
        </w:trPr>
        <w:tc>
          <w:tcPr>
            <w:tcW w:w="53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Interest rate swaps</w:t>
            </w:r>
          </w:p>
        </w:tc>
        <w:tc>
          <w:tcPr>
            <w:tcW w:w="19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8,985</w:t>
            </w:r>
            <w:r>
              <w:rPr>
                <w:rFonts w:ascii="Arial" w:cs="Arial" w:eastAsia="Arial" w:hAnsi="Arial"/>
                <w:sz w:val="28"/>
                <w:szCs w:val="28"/>
                <w:color w:val="auto"/>
                <w:vertAlign w:val="superscript"/>
              </w:rPr>
              <w:t>(b)</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34"/>
                <w:szCs w:val="34"/>
                <w:color w:val="auto"/>
                <w:vertAlign w:val="subscript"/>
              </w:rPr>
              <w:t>313</w:t>
            </w:r>
            <w:r>
              <w:rPr>
                <w:rFonts w:ascii="Arial" w:cs="Arial" w:eastAsia="Arial" w:hAnsi="Arial"/>
                <w:sz w:val="14"/>
                <w:szCs w:val="14"/>
                <w:color w:val="auto"/>
              </w:rPr>
              <w:t>(c)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240" w:hanging="308"/>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Original cost basis $0.5 million</w:t>
      </w:r>
    </w:p>
    <w:p>
      <w:pPr>
        <w:spacing w:after="0" w:line="161" w:lineRule="exact"/>
        <w:rPr>
          <w:rFonts w:ascii="Arial" w:cs="Arial" w:eastAsia="Arial" w:hAnsi="Arial"/>
          <w:sz w:val="14"/>
          <w:szCs w:val="14"/>
          <w:color w:val="auto"/>
        </w:rPr>
      </w:pPr>
    </w:p>
    <w:p>
      <w:pPr>
        <w:ind w:left="1240" w:hanging="308"/>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$39.8 million receivable floating leg and $30.8 million liability fixed leg</w:t>
      </w:r>
    </w:p>
    <w:p>
      <w:pPr>
        <w:spacing w:after="0" w:line="161" w:lineRule="exact"/>
        <w:rPr>
          <w:rFonts w:ascii="Arial" w:cs="Arial" w:eastAsia="Arial" w:hAnsi="Arial"/>
          <w:sz w:val="14"/>
          <w:szCs w:val="14"/>
          <w:color w:val="auto"/>
        </w:rPr>
      </w:pPr>
    </w:p>
    <w:p>
      <w:pPr>
        <w:ind w:left="1240" w:hanging="308"/>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$34.9 million receivable floating leg and $34.6 million liability fixed leg</w:t>
      </w:r>
    </w:p>
    <w:p>
      <w:pPr>
        <w:spacing w:after="0" w:line="169" w:lineRule="exact"/>
        <w:rPr>
          <w:sz w:val="20"/>
          <w:szCs w:val="20"/>
          <w:color w:val="auto"/>
        </w:rPr>
      </w:pPr>
    </w:p>
    <w:p>
      <w:pPr>
        <w:ind w:right="240" w:firstLine="620"/>
        <w:spacing w:after="0" w:line="250" w:lineRule="auto"/>
        <w:rPr>
          <w:sz w:val="20"/>
          <w:szCs w:val="20"/>
          <w:color w:val="auto"/>
        </w:rPr>
      </w:pPr>
      <w:r>
        <w:rPr>
          <w:rFonts w:ascii="Arial" w:cs="Arial" w:eastAsia="Arial" w:hAnsi="Arial"/>
          <w:sz w:val="17"/>
          <w:szCs w:val="17"/>
          <w:color w:val="auto"/>
        </w:rPr>
        <w:t>Cash equivalents include short-term securities that are considered to be highly liquid and easily tradable. These securities are valued using inputs observable in active markets for identical securities.</w:t>
      </w:r>
    </w:p>
    <w:p>
      <w:pPr>
        <w:spacing w:after="0" w:line="148"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22" w:right="239" w:bottom="1440" w:gutter="0" w:footer="0" w:header="0"/>
        </w:sectPr>
      </w:pPr>
    </w:p>
    <w:bookmarkStart w:id="35" w:name="page36"/>
    <w:bookmarkEnd w:id="35"/>
    <w:p>
      <w:pPr>
        <w:ind w:right="220" w:firstLine="620"/>
        <w:spacing w:after="0"/>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expense, net.</w:t>
      </w:r>
    </w:p>
    <w:p>
      <w:pPr>
        <w:spacing w:after="0" w:line="197"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197" w:lineRule="exact"/>
        <w:rPr>
          <w:sz w:val="20"/>
          <w:szCs w:val="20"/>
          <w:color w:val="auto"/>
        </w:rPr>
      </w:pPr>
    </w:p>
    <w:p>
      <w:pPr>
        <w:ind w:firstLine="620"/>
        <w:spacing w:after="0" w:line="241" w:lineRule="auto"/>
        <w:rPr>
          <w:sz w:val="20"/>
          <w:szCs w:val="20"/>
          <w:color w:val="auto"/>
        </w:rPr>
      </w:pPr>
      <w:r>
        <w:rPr>
          <w:rFonts w:ascii="Arial" w:cs="Arial" w:eastAsia="Arial" w:hAnsi="Arial"/>
          <w:sz w:val="17"/>
          <w:szCs w:val="17"/>
          <w:color w:val="auto"/>
        </w:rPr>
        <w:t>Changes in exchange rates can result in revaluation gains and losses that are recorded in Selling, General and Administrative expenses or Other expense, net. Revaluation gains and losses occur when our business units have cash, intercompany (recorded in Other expense, net) or third-party trade (recorded in Selling, General and Administrative expenses) receivable or payable balances in a currency other than their local reporting (or functional) currency.</w:t>
      </w:r>
    </w:p>
    <w:p>
      <w:pPr>
        <w:spacing w:after="0" w:line="196" w:lineRule="exact"/>
        <w:rPr>
          <w:sz w:val="20"/>
          <w:szCs w:val="20"/>
          <w:color w:val="auto"/>
        </w:rPr>
      </w:pPr>
    </w:p>
    <w:p>
      <w:pPr>
        <w:jc w:val="both"/>
        <w:ind w:firstLine="620"/>
        <w:spacing w:after="0" w:line="241" w:lineRule="auto"/>
        <w:rPr>
          <w:sz w:val="20"/>
          <w:szCs w:val="20"/>
          <w:color w:val="auto"/>
        </w:rPr>
      </w:pPr>
      <w:r>
        <w:rPr>
          <w:rFonts w:ascii="Arial" w:cs="Arial" w:eastAsia="Arial" w:hAnsi="Arial"/>
          <w:sz w:val="17"/>
          <w:szCs w:val="17"/>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96"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June 30, 2018,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and amortization related to the swap buyouts, affect earnings. Interest expense related to payments under the active swap agreements totaled $0.7 million for the six month period ended June 30, 2018 and $0.5 million for the six month period ended June 30, 2017. Additionally, non-cash interest expense/(income) related to the amortization of swap buyouts totaled ($0.4) million for the six month period ended June 30, 2018 and $0.4 million of the six month period ended June 30, 2017.</w:t>
      </w:r>
    </w:p>
    <w:p>
      <w:pPr>
        <w:spacing w:after="0" w:line="196" w:lineRule="exact"/>
        <w:rPr>
          <w:sz w:val="20"/>
          <w:szCs w:val="20"/>
          <w:color w:val="auto"/>
        </w:rPr>
      </w:pPr>
    </w:p>
    <w:p>
      <w:pPr>
        <w:ind w:right="520" w:firstLine="620"/>
        <w:spacing w:after="0" w:line="250" w:lineRule="auto"/>
        <w:rPr>
          <w:sz w:val="20"/>
          <w:szCs w:val="20"/>
          <w:color w:val="auto"/>
        </w:rPr>
      </w:pPr>
      <w:r>
        <w:rPr>
          <w:rFonts w:ascii="Arial" w:cs="Arial" w:eastAsia="Arial" w:hAnsi="Arial"/>
          <w:sz w:val="17"/>
          <w:szCs w:val="17"/>
          <w:color w:val="auto"/>
        </w:rPr>
        <w:t>Gains/(losses) related to changes in fair value of derivative instruments that were recognized in Other expense, net in the Consolidated Statements of Income were as follows:</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00"/>
          </w:cols>
          <w:pgMar w:left="240" w:top="681"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518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b w:val="1"/>
                <w:bCs w:val="1"/>
                <w:color w:val="auto"/>
              </w:rPr>
              <w:t>Six months ended</w:t>
            </w:r>
          </w:p>
        </w:tc>
        <w:tc>
          <w:tcPr>
            <w:tcW w:w="660" w:type="dxa"/>
            <w:vAlign w:val="bottom"/>
            <w:tcBorders>
              <w:top w:val="single" w:sz="8" w:color="auto"/>
            </w:tcBorders>
          </w:tcPr>
          <w:p>
            <w:pPr>
              <w:jc w:val="right"/>
              <w:ind w:right="34"/>
              <w:spacing w:after="0" w:line="184" w:lineRule="exact"/>
              <w:rPr>
                <w:sz w:val="20"/>
                <w:szCs w:val="20"/>
                <w:color w:val="auto"/>
              </w:rPr>
            </w:pPr>
            <w:r>
              <w:rPr>
                <w:rFonts w:ascii="Arial" w:cs="Arial" w:eastAsia="Arial" w:hAnsi="Arial"/>
                <w:sz w:val="17"/>
                <w:szCs w:val="17"/>
                <w:b w:val="1"/>
                <w:bCs w:val="1"/>
                <w:color w:val="auto"/>
              </w:rPr>
              <w:t>June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30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Three months ended</w:t>
            </w:r>
          </w:p>
        </w:tc>
        <w:tc>
          <w:tcPr>
            <w:tcW w:w="960" w:type="dxa"/>
            <w:vAlign w:val="bottom"/>
          </w:tcPr>
          <w:p>
            <w:pPr>
              <w:jc w:val="right"/>
              <w:ind w:right="74"/>
              <w:spacing w:after="0" w:line="194" w:lineRule="exact"/>
              <w:rPr>
                <w:sz w:val="20"/>
                <w:szCs w:val="20"/>
                <w:color w:val="auto"/>
              </w:rPr>
            </w:pPr>
            <w:r>
              <w:rPr>
                <w:rFonts w:ascii="Arial" w:cs="Arial" w:eastAsia="Arial" w:hAnsi="Arial"/>
                <w:sz w:val="17"/>
                <w:szCs w:val="17"/>
                <w:b w:val="1"/>
                <w:bCs w:val="1"/>
                <w:color w:val="auto"/>
              </w:rPr>
              <w:t>June 30,</w:t>
            </w:r>
          </w:p>
        </w:tc>
        <w:tc>
          <w:tcPr>
            <w:tcW w:w="1540" w:type="dxa"/>
            <w:vAlign w:val="bottom"/>
          </w:tcPr>
          <w:p>
            <w:pPr>
              <w:jc w:val="right"/>
              <w:ind w:right="274"/>
              <w:spacing w:after="0" w:line="194" w:lineRule="exact"/>
              <w:rPr>
                <w:sz w:val="20"/>
                <w:szCs w:val="20"/>
                <w:color w:val="auto"/>
              </w:rPr>
            </w:pPr>
            <w:r>
              <w:rPr>
                <w:rFonts w:ascii="Arial" w:cs="Arial" w:eastAsia="Arial" w:hAnsi="Arial"/>
                <w:sz w:val="17"/>
                <w:szCs w:val="17"/>
                <w:b w:val="1"/>
                <w:bCs w:val="1"/>
                <w:color w:val="auto"/>
              </w:rPr>
              <w:t>30,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08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2018</w:t>
            </w: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15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2018</w:t>
            </w: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5180" w:type="dxa"/>
            <w:vAlign w:val="bottom"/>
          </w:tcPr>
          <w:p>
            <w:pPr>
              <w:spacing w:after="0"/>
              <w:rPr>
                <w:sz w:val="20"/>
                <w:szCs w:val="20"/>
                <w:color w:val="auto"/>
              </w:rPr>
            </w:pPr>
            <w:r>
              <w:rPr>
                <w:rFonts w:ascii="Arial" w:cs="Arial" w:eastAsia="Arial" w:hAnsi="Arial"/>
                <w:sz w:val="17"/>
                <w:szCs w:val="17"/>
                <w:color w:val="auto"/>
              </w:rPr>
              <w:t>Derivatives not designated as hedging instruments</w:t>
            </w:r>
          </w:p>
        </w:tc>
        <w:tc>
          <w:tcPr>
            <w:tcW w:w="308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($34)</w:t>
            </w:r>
          </w:p>
        </w:tc>
        <w:tc>
          <w:tcPr>
            <w:tcW w:w="960" w:type="dxa"/>
            <w:vAlign w:val="bottom"/>
          </w:tcPr>
          <w:p>
            <w:pPr>
              <w:spacing w:after="0"/>
              <w:rPr>
                <w:sz w:val="24"/>
                <w:szCs w:val="24"/>
                <w:color w:val="auto"/>
              </w:rPr>
            </w:pPr>
          </w:p>
        </w:tc>
        <w:tc>
          <w:tcPr>
            <w:tcW w:w="154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($71)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80" w:type="dxa"/>
            <w:vAlign w:val="bottom"/>
            <w:tcBorders>
              <w:bottom w:val="single" w:sz="8" w:color="auto"/>
            </w:tcBorders>
          </w:tcPr>
          <w:p>
            <w:pPr>
              <w:ind w:left="240"/>
              <w:spacing w:after="0" w:line="194" w:lineRule="exact"/>
              <w:rPr>
                <w:sz w:val="20"/>
                <w:szCs w:val="20"/>
                <w:color w:val="auto"/>
              </w:rPr>
            </w:pPr>
            <w:r>
              <w:rPr>
                <w:rFonts w:ascii="Arial" w:cs="Arial" w:eastAsia="Arial" w:hAnsi="Arial"/>
                <w:sz w:val="17"/>
                <w:szCs w:val="17"/>
                <w:color w:val="auto"/>
              </w:rPr>
              <w:t>Foreign currency options losses</w:t>
            </w:r>
          </w:p>
        </w:tc>
        <w:tc>
          <w:tcPr>
            <w:tcW w:w="30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($75)</w:t>
            </w:r>
          </w:p>
        </w:tc>
        <w:tc>
          <w:tcPr>
            <w:tcW w:w="15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17.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Asbestos Litigation</w:t>
      </w:r>
    </w:p>
    <w:p>
      <w:pPr>
        <w:spacing w:after="0" w:line="394" w:lineRule="exact"/>
        <w:rPr>
          <w:sz w:val="20"/>
          <w:szCs w:val="20"/>
          <w:color w:val="auto"/>
        </w:rPr>
      </w:pPr>
    </w:p>
    <w:p>
      <w:pPr>
        <w:jc w:val="both"/>
        <w:ind w:right="60" w:firstLine="620"/>
        <w:spacing w:after="0" w:line="243" w:lineRule="auto"/>
        <w:rPr>
          <w:sz w:val="20"/>
          <w:szCs w:val="20"/>
          <w:color w:val="auto"/>
        </w:rPr>
      </w:pPr>
      <w:r>
        <w:rPr>
          <w:rFonts w:ascii="Arial" w:cs="Arial" w:eastAsia="Arial" w:hAnsi="Arial"/>
          <w:sz w:val="17"/>
          <w:szCs w:val="17"/>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were defending 3,677 claims as of June 30, 2018.</w:t>
      </w:r>
    </w:p>
    <w:p>
      <w:pPr>
        <w:spacing w:after="0" w:line="166" w:lineRule="exact"/>
        <w:rPr>
          <w:sz w:val="20"/>
          <w:szCs w:val="20"/>
          <w:color w:val="auto"/>
        </w:rPr>
      </w:pPr>
    </w:p>
    <w:p>
      <w:pPr>
        <w:ind w:right="340" w:firstLine="620"/>
        <w:spacing w:after="0" w:line="250" w:lineRule="auto"/>
        <w:rPr>
          <w:sz w:val="20"/>
          <w:szCs w:val="20"/>
          <w:color w:val="auto"/>
        </w:rPr>
      </w:pPr>
      <w:r>
        <w:rPr>
          <w:rFonts w:ascii="Arial" w:cs="Arial" w:eastAsia="Arial" w:hAnsi="Arial"/>
          <w:sz w:val="17"/>
          <w:szCs w:val="17"/>
          <w:color w:val="auto"/>
        </w:rPr>
        <w:t>The following table sets forth the number of claims filed, the number of claims settled, dismissed or otherwise resolved, and the aggregate settlement amount during the periods presented:</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000" w:type="dxa"/>
            <w:vAlign w:val="bottom"/>
            <w:tcBorders>
              <w:top w:val="single" w:sz="8" w:color="auto"/>
              <w:left w:val="single" w:sz="8" w:color="auto"/>
              <w:right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rPr>
              <w:t>Claims</w:t>
            </w:r>
          </w:p>
        </w:tc>
        <w:tc>
          <w:tcPr>
            <w:tcW w:w="1340" w:type="dxa"/>
            <w:vAlign w:val="bottom"/>
            <w:tcBorders>
              <w:top w:val="single" w:sz="8" w:color="auto"/>
            </w:tcBorders>
          </w:tcPr>
          <w:p>
            <w:pPr>
              <w:spacing w:after="0"/>
              <w:rPr>
                <w:sz w:val="15"/>
                <w:szCs w:val="15"/>
                <w:color w:val="auto"/>
              </w:rPr>
            </w:pPr>
          </w:p>
        </w:tc>
        <w:tc>
          <w:tcPr>
            <w:tcW w:w="38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rPr>
              <w:t>Amounts Paid</w:t>
            </w:r>
          </w:p>
        </w:tc>
      </w:tr>
      <w:tr>
        <w:trPr>
          <w:trHeight w:val="194"/>
        </w:trPr>
        <w:tc>
          <w:tcPr>
            <w:tcW w:w="3000" w:type="dxa"/>
            <w:vAlign w:val="bottom"/>
            <w:tcBorders>
              <w:left w:val="single" w:sz="8" w:color="auto"/>
              <w:right w:val="single" w:sz="8" w:color="auto"/>
            </w:tcBorders>
          </w:tcPr>
          <w:p>
            <w:pPr>
              <w:spacing w:after="0"/>
              <w:rPr>
                <w:sz w:val="16"/>
                <w:szCs w:val="16"/>
                <w:color w:val="auto"/>
              </w:rPr>
            </w:pPr>
          </w:p>
        </w:tc>
        <w:tc>
          <w:tcPr>
            <w:tcW w:w="1720" w:type="dxa"/>
            <w:vAlign w:val="bottom"/>
            <w:tcBorders>
              <w:right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Opening Number of</w:t>
            </w:r>
          </w:p>
        </w:tc>
        <w:tc>
          <w:tcPr>
            <w:tcW w:w="16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rPr>
              <w:t>Dismissed,Settled,</w:t>
            </w:r>
          </w:p>
        </w:tc>
        <w:tc>
          <w:tcPr>
            <w:tcW w:w="13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right"/>
              <w:ind w:right="14"/>
              <w:spacing w:after="0" w:line="194" w:lineRule="exact"/>
              <w:rPr>
                <w:sz w:val="20"/>
                <w:szCs w:val="20"/>
                <w:color w:val="auto"/>
              </w:rPr>
            </w:pPr>
            <w:r>
              <w:rPr>
                <w:rFonts w:ascii="Arial" w:cs="Arial" w:eastAsia="Arial" w:hAnsi="Arial"/>
                <w:sz w:val="17"/>
                <w:szCs w:val="17"/>
                <w:b w:val="1"/>
                <w:bCs w:val="1"/>
                <w:color w:val="auto"/>
              </w:rPr>
              <w:t>Closing Number of</w:t>
            </w:r>
          </w:p>
        </w:tc>
        <w:tc>
          <w:tcPr>
            <w:tcW w:w="17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rPr>
              <w:t>(thousands) to</w:t>
            </w:r>
          </w:p>
        </w:tc>
      </w:tr>
      <w:tr>
        <w:trPr>
          <w:trHeight w:val="216"/>
        </w:trPr>
        <w:tc>
          <w:tcPr>
            <w:tcW w:w="3000" w:type="dxa"/>
            <w:vAlign w:val="bottom"/>
            <w:tcBorders>
              <w:left w:val="single" w:sz="8" w:color="auto"/>
              <w:bottom w:val="single" w:sz="8" w:color="auto"/>
              <w:right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Year ended December 31,</w:t>
            </w:r>
          </w:p>
        </w:tc>
        <w:tc>
          <w:tcPr>
            <w:tcW w:w="172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Claims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or Resolved</w:t>
            </w: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New Claims</w:t>
            </w:r>
          </w:p>
        </w:tc>
        <w:tc>
          <w:tcPr>
            <w:tcW w:w="3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Claims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Settle or Resolve</w:t>
            </w:r>
          </w:p>
        </w:tc>
      </w:tr>
      <w:tr>
        <w:trPr>
          <w:trHeight w:val="186"/>
        </w:trPr>
        <w:tc>
          <w:tcPr>
            <w:tcW w:w="3000" w:type="dxa"/>
            <w:vAlign w:val="bottom"/>
            <w:tcBorders>
              <w:left w:val="single" w:sz="8" w:color="auto"/>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2013</w:t>
            </w:r>
          </w:p>
        </w:tc>
        <w:tc>
          <w:tcPr>
            <w:tcW w:w="172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4,463</w:t>
            </w:r>
          </w:p>
        </w:tc>
        <w:tc>
          <w:tcPr>
            <w:tcW w:w="16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230</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66</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4,299</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$78</w:t>
            </w:r>
          </w:p>
        </w:tc>
      </w:tr>
      <w:tr>
        <w:trPr>
          <w:trHeight w:val="186"/>
        </w:trPr>
        <w:tc>
          <w:tcPr>
            <w:tcW w:w="3000" w:type="dxa"/>
            <w:vAlign w:val="bottom"/>
            <w:tcBorders>
              <w:left w:val="single" w:sz="8" w:color="auto"/>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2014</w:t>
            </w:r>
          </w:p>
        </w:tc>
        <w:tc>
          <w:tcPr>
            <w:tcW w:w="172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4,299</w:t>
            </w:r>
          </w:p>
        </w:tc>
        <w:tc>
          <w:tcPr>
            <w:tcW w:w="16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625</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w w:val="98"/>
              </w:rPr>
              <w:t>147</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3,821</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437</w:t>
            </w:r>
          </w:p>
        </w:tc>
      </w:tr>
      <w:tr>
        <w:trPr>
          <w:trHeight w:val="186"/>
        </w:trPr>
        <w:tc>
          <w:tcPr>
            <w:tcW w:w="3000" w:type="dxa"/>
            <w:vAlign w:val="bottom"/>
            <w:tcBorders>
              <w:left w:val="single" w:sz="8" w:color="auto"/>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2015</w:t>
            </w:r>
          </w:p>
        </w:tc>
        <w:tc>
          <w:tcPr>
            <w:tcW w:w="172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3,821</w:t>
            </w:r>
          </w:p>
        </w:tc>
        <w:tc>
          <w:tcPr>
            <w:tcW w:w="16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116</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86</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3,791</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164</w:t>
            </w:r>
          </w:p>
        </w:tc>
      </w:tr>
      <w:tr>
        <w:trPr>
          <w:trHeight w:val="186"/>
        </w:trPr>
        <w:tc>
          <w:tcPr>
            <w:tcW w:w="3000" w:type="dxa"/>
            <w:vAlign w:val="bottom"/>
            <w:tcBorders>
              <w:left w:val="single" w:sz="8" w:color="auto"/>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2016</w:t>
            </w:r>
          </w:p>
        </w:tc>
        <w:tc>
          <w:tcPr>
            <w:tcW w:w="172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3,791</w:t>
            </w:r>
          </w:p>
        </w:tc>
        <w:tc>
          <w:tcPr>
            <w:tcW w:w="16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148</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w w:val="98"/>
              </w:rPr>
              <w:t>102</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3,745</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758</w:t>
            </w:r>
          </w:p>
        </w:tc>
      </w:tr>
      <w:tr>
        <w:trPr>
          <w:trHeight w:val="186"/>
        </w:trPr>
        <w:tc>
          <w:tcPr>
            <w:tcW w:w="3000" w:type="dxa"/>
            <w:vAlign w:val="bottom"/>
            <w:tcBorders>
              <w:left w:val="single" w:sz="8" w:color="auto"/>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2017</w:t>
            </w:r>
          </w:p>
        </w:tc>
        <w:tc>
          <w:tcPr>
            <w:tcW w:w="172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3,745</w:t>
            </w:r>
          </w:p>
        </w:tc>
        <w:tc>
          <w:tcPr>
            <w:tcW w:w="16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105</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90</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3,730</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color w:val="auto"/>
              </w:rPr>
              <w:t>55</w:t>
            </w:r>
          </w:p>
        </w:tc>
      </w:tr>
      <w:tr>
        <w:trPr>
          <w:trHeight w:val="186"/>
        </w:trPr>
        <w:tc>
          <w:tcPr>
            <w:tcW w:w="3000" w:type="dxa"/>
            <w:vAlign w:val="bottom"/>
            <w:tcBorders>
              <w:left w:val="single" w:sz="8" w:color="auto"/>
              <w:bottom w:val="single" w:sz="8" w:color="auto"/>
              <w:right w:val="single" w:sz="8" w:color="auto"/>
            </w:tcBorders>
          </w:tcPr>
          <w:p>
            <w:pPr>
              <w:jc w:val="right"/>
              <w:ind w:right="1435"/>
              <w:spacing w:after="0"/>
              <w:rPr>
                <w:sz w:val="20"/>
                <w:szCs w:val="20"/>
                <w:color w:val="auto"/>
              </w:rPr>
            </w:pPr>
            <w:r>
              <w:rPr>
                <w:rFonts w:ascii="Arial" w:cs="Arial" w:eastAsia="Arial" w:hAnsi="Arial"/>
                <w:sz w:val="15"/>
                <w:szCs w:val="15"/>
                <w:b w:val="1"/>
                <w:bCs w:val="1"/>
                <w:color w:val="auto"/>
              </w:rPr>
              <w:t>2018 (as of June 30)</w:t>
            </w:r>
          </w:p>
        </w:tc>
        <w:tc>
          <w:tcPr>
            <w:tcW w:w="172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3,730</w:t>
            </w:r>
          </w:p>
        </w:tc>
        <w:tc>
          <w:tcPr>
            <w:tcW w:w="16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105</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52</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3,677</w:t>
            </w:r>
          </w:p>
        </w:tc>
        <w:tc>
          <w:tcPr>
            <w:tcW w:w="1700" w:type="dxa"/>
            <w:vAlign w:val="bottom"/>
            <w:tcBorders>
              <w:bottom w:val="single" w:sz="8" w:color="auto"/>
              <w:right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$93</w:t>
            </w:r>
          </w:p>
        </w:tc>
      </w:tr>
    </w:tbl>
    <w:p>
      <w:pPr>
        <w:spacing w:after="0" w:line="167" w:lineRule="exact"/>
        <w:rPr>
          <w:sz w:val="20"/>
          <w:szCs w:val="20"/>
          <w:color w:val="auto"/>
        </w:rPr>
      </w:pPr>
    </w:p>
    <w:p>
      <w:pPr>
        <w:ind w:right="180" w:firstLine="620"/>
        <w:spacing w:after="0"/>
        <w:rPr>
          <w:sz w:val="20"/>
          <w:szCs w:val="20"/>
          <w:color w:val="auto"/>
        </w:rPr>
      </w:pPr>
      <w:r>
        <w:rPr>
          <w:rFonts w:ascii="Arial" w:cs="Arial" w:eastAsia="Arial" w:hAnsi="Arial"/>
          <w:sz w:val="17"/>
          <w:szCs w:val="17"/>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58" w:lineRule="exact"/>
        <w:rPr>
          <w:sz w:val="20"/>
          <w:szCs w:val="20"/>
          <w:color w:val="auto"/>
        </w:rPr>
      </w:pPr>
    </w:p>
    <w:p>
      <w:pPr>
        <w:ind w:right="40" w:firstLine="620"/>
        <w:spacing w:after="0" w:line="241" w:lineRule="auto"/>
        <w:rPr>
          <w:sz w:val="20"/>
          <w:szCs w:val="20"/>
          <w:color w:val="auto"/>
        </w:rPr>
      </w:pPr>
      <w:r>
        <w:rPr>
          <w:rFonts w:ascii="Arial" w:cs="Arial" w:eastAsia="Arial" w:hAnsi="Arial"/>
          <w:sz w:val="17"/>
          <w:szCs w:val="17"/>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2018 we had resolved, by means of settlement or dismissal, 37,699 claims. The total cost of resolving all claims was $10.3 million. Of this amount, almost 100% was paid by our insurance carrier, who has confirmed that we have approximately $140 million of remaining coverage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40"/>
          </w:cols>
          <w:pgMar w:left="240" w:top="816" w:right="21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under primary and excess policies that should be available with respect to current and future asbestos claims.</w:t>
      </w:r>
    </w:p>
    <w:p>
      <w:pPr>
        <w:spacing w:after="0" w:line="166"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7,708 claims as of June 30, 2018, only ten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71" w:lineRule="exact"/>
        <w:rPr>
          <w:sz w:val="20"/>
          <w:szCs w:val="20"/>
          <w:color w:val="auto"/>
        </w:rPr>
      </w:pPr>
    </w:p>
    <w:p>
      <w:pPr>
        <w:ind w:right="100" w:firstLine="620"/>
        <w:spacing w:after="0"/>
        <w:rPr>
          <w:sz w:val="20"/>
          <w:szCs w:val="20"/>
          <w:color w:val="auto"/>
        </w:rPr>
      </w:pPr>
      <w:r>
        <w:rPr>
          <w:rFonts w:ascii="Arial" w:cs="Arial" w:eastAsia="Arial" w:hAnsi="Arial"/>
          <w:sz w:val="17"/>
          <w:szCs w:val="17"/>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56" w:lineRule="exact"/>
        <w:rPr>
          <w:sz w:val="20"/>
          <w:szCs w:val="20"/>
          <w:color w:val="auto"/>
        </w:rPr>
      </w:pPr>
    </w:p>
    <w:p>
      <w:pPr>
        <w:ind w:right="180" w:firstLine="620"/>
        <w:spacing w:after="0" w:line="241" w:lineRule="auto"/>
        <w:rPr>
          <w:sz w:val="20"/>
          <w:szCs w:val="20"/>
          <w:color w:val="auto"/>
        </w:rPr>
      </w:pPr>
      <w:r>
        <w:rPr>
          <w:rFonts w:ascii="Arial" w:cs="Arial" w:eastAsia="Arial" w:hAnsi="Arial"/>
          <w:sz w:val="17"/>
          <w:szCs w:val="17"/>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18. Changes in Shareholders’ Equity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following table summarizes changes in Shareholders’ Equity:</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rPr>
              <w:t>Common</w:t>
            </w:r>
          </w:p>
        </w:tc>
        <w:tc>
          <w:tcPr>
            <w:tcW w:w="10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rPr>
              <w:t>Accumulated</w:t>
            </w:r>
          </w:p>
        </w:tc>
        <w:tc>
          <w:tcPr>
            <w:tcW w:w="10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94"/>
        </w:trPr>
        <w:tc>
          <w:tcPr>
            <w:tcW w:w="348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9"/>
              </w:rPr>
              <w:t>Stock</w:t>
            </w:r>
          </w:p>
        </w:tc>
        <w:tc>
          <w:tcPr>
            <w:tcW w:w="1040" w:type="dxa"/>
            <w:vAlign w:val="bottom"/>
          </w:tcPr>
          <w:p>
            <w:pPr>
              <w:jc w:val="right"/>
              <w:ind w:right="14"/>
              <w:spacing w:after="0" w:line="194" w:lineRule="exact"/>
              <w:rPr>
                <w:sz w:val="20"/>
                <w:szCs w:val="20"/>
                <w:color w:val="auto"/>
              </w:rPr>
            </w:pPr>
            <w:r>
              <w:rPr>
                <w:rFonts w:ascii="Arial" w:cs="Arial" w:eastAsia="Arial" w:hAnsi="Arial"/>
                <w:sz w:val="17"/>
                <w:szCs w:val="17"/>
                <w:b w:val="1"/>
                <w:bCs w:val="1"/>
                <w:color w:val="auto"/>
              </w:rPr>
              <w:t>Additional</w:t>
            </w:r>
          </w:p>
        </w:tc>
        <w:tc>
          <w:tcPr>
            <w:tcW w:w="1000" w:type="dxa"/>
            <w:vAlign w:val="bottom"/>
          </w:tcPr>
          <w:p>
            <w:pPr>
              <w:spacing w:after="0"/>
              <w:rPr>
                <w:sz w:val="16"/>
                <w:szCs w:val="16"/>
                <w:color w:val="auto"/>
              </w:rPr>
            </w:pPr>
          </w:p>
        </w:tc>
        <w:tc>
          <w:tcPr>
            <w:tcW w:w="14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items of other</w:t>
            </w: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348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1040" w:type="dxa"/>
            <w:vAlign w:val="bottom"/>
          </w:tcPr>
          <w:p>
            <w:pPr>
              <w:jc w:val="right"/>
              <w:ind w:right="154"/>
              <w:spacing w:after="0" w:line="194" w:lineRule="exact"/>
              <w:rPr>
                <w:sz w:val="20"/>
                <w:szCs w:val="20"/>
                <w:color w:val="auto"/>
              </w:rPr>
            </w:pPr>
            <w:r>
              <w:rPr>
                <w:rFonts w:ascii="Arial" w:cs="Arial" w:eastAsia="Arial" w:hAnsi="Arial"/>
                <w:sz w:val="17"/>
                <w:szCs w:val="17"/>
                <w:b w:val="1"/>
                <w:bCs w:val="1"/>
                <w:color w:val="auto"/>
              </w:rPr>
              <w:t>paid in</w:t>
            </w:r>
          </w:p>
        </w:tc>
        <w:tc>
          <w:tcPr>
            <w:tcW w:w="100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Retained</w:t>
            </w:r>
          </w:p>
        </w:tc>
        <w:tc>
          <w:tcPr>
            <w:tcW w:w="14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comprehensive</w:t>
            </w:r>
          </w:p>
        </w:tc>
        <w:tc>
          <w:tcPr>
            <w:tcW w:w="1060" w:type="dxa"/>
            <w:vAlign w:val="bottom"/>
          </w:tcPr>
          <w:p>
            <w:pPr>
              <w:jc w:val="right"/>
              <w:ind w:right="74"/>
              <w:spacing w:after="0" w:line="194" w:lineRule="exact"/>
              <w:rPr>
                <w:sz w:val="20"/>
                <w:szCs w:val="20"/>
                <w:color w:val="auto"/>
              </w:rPr>
            </w:pPr>
            <w:r>
              <w:rPr>
                <w:rFonts w:ascii="Arial" w:cs="Arial" w:eastAsia="Arial" w:hAnsi="Arial"/>
                <w:sz w:val="17"/>
                <w:szCs w:val="17"/>
                <w:b w:val="1"/>
                <w:bCs w:val="1"/>
                <w:color w:val="auto"/>
              </w:rPr>
              <w:t>Treasury</w:t>
            </w:r>
          </w:p>
        </w:tc>
        <w:tc>
          <w:tcPr>
            <w:tcW w:w="14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Noncontrolling</w:t>
            </w:r>
          </w:p>
        </w:tc>
        <w:tc>
          <w:tcPr>
            <w:tcW w:w="920" w:type="dxa"/>
            <w:vAlign w:val="bottom"/>
          </w:tcPr>
          <w:p>
            <w:pPr>
              <w:jc w:val="right"/>
              <w:ind w:right="114"/>
              <w:spacing w:after="0" w:line="194" w:lineRule="exact"/>
              <w:rPr>
                <w:sz w:val="20"/>
                <w:szCs w:val="20"/>
                <w:color w:val="auto"/>
              </w:rPr>
            </w:pPr>
            <w:r>
              <w:rPr>
                <w:rFonts w:ascii="Arial" w:cs="Arial" w:eastAsia="Arial" w:hAnsi="Arial"/>
                <w:sz w:val="17"/>
                <w:szCs w:val="17"/>
                <w:b w:val="1"/>
                <w:bCs w:val="1"/>
                <w:color w:val="auto"/>
              </w:rPr>
              <w:t>Total</w:t>
            </w:r>
          </w:p>
        </w:tc>
      </w:tr>
      <w:tr>
        <w:trPr>
          <w:trHeight w:val="216"/>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 and B</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capital</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earnings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income/(loss)</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stock</w:t>
            </w: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Interest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Equity</w:t>
            </w:r>
          </w:p>
        </w:tc>
      </w:tr>
      <w:tr>
        <w:trPr>
          <w:trHeight w:val="186"/>
        </w:trPr>
        <w:tc>
          <w:tcPr>
            <w:tcW w:w="3480" w:type="dxa"/>
            <w:vAlign w:val="bottom"/>
          </w:tcPr>
          <w:p>
            <w:pPr>
              <w:spacing w:after="0" w:line="185" w:lineRule="exact"/>
              <w:rPr>
                <w:sz w:val="20"/>
                <w:szCs w:val="20"/>
                <w:color w:val="auto"/>
              </w:rPr>
            </w:pPr>
            <w:r>
              <w:rPr>
                <w:rFonts w:ascii="Arial" w:cs="Arial" w:eastAsia="Arial" w:hAnsi="Arial"/>
                <w:sz w:val="17"/>
                <w:szCs w:val="17"/>
                <w:b w:val="1"/>
                <w:bCs w:val="1"/>
                <w:color w:val="auto"/>
              </w:rPr>
              <w:t>December 31, 2017</w:t>
            </w:r>
          </w:p>
        </w:tc>
        <w:tc>
          <w:tcPr>
            <w:tcW w:w="1020" w:type="dxa"/>
            <w:vAlign w:val="bottom"/>
          </w:tcPr>
          <w:p>
            <w:pPr>
              <w:jc w:val="right"/>
              <w:ind w:right="114"/>
              <w:spacing w:after="0" w:line="185" w:lineRule="exact"/>
              <w:rPr>
                <w:sz w:val="20"/>
                <w:szCs w:val="20"/>
                <w:color w:val="auto"/>
              </w:rPr>
            </w:pPr>
            <w:r>
              <w:rPr>
                <w:rFonts w:ascii="Arial" w:cs="Arial" w:eastAsia="Arial" w:hAnsi="Arial"/>
                <w:sz w:val="17"/>
                <w:szCs w:val="17"/>
                <w:b w:val="1"/>
                <w:bCs w:val="1"/>
                <w:color w:val="auto"/>
              </w:rPr>
              <w:t>$40</w:t>
            </w:r>
          </w:p>
        </w:tc>
        <w:tc>
          <w:tcPr>
            <w:tcW w:w="1040" w:type="dxa"/>
            <w:vAlign w:val="bottom"/>
          </w:tcPr>
          <w:p>
            <w:pPr>
              <w:jc w:val="right"/>
              <w:ind w:right="134"/>
              <w:spacing w:after="0" w:line="185" w:lineRule="exact"/>
              <w:rPr>
                <w:sz w:val="20"/>
                <w:szCs w:val="20"/>
                <w:color w:val="auto"/>
              </w:rPr>
            </w:pPr>
            <w:r>
              <w:rPr>
                <w:rFonts w:ascii="Arial" w:cs="Arial" w:eastAsia="Arial" w:hAnsi="Arial"/>
                <w:sz w:val="17"/>
                <w:szCs w:val="17"/>
                <w:b w:val="1"/>
                <w:bCs w:val="1"/>
                <w:color w:val="auto"/>
              </w:rPr>
              <w:t>$428,423</w:t>
            </w:r>
          </w:p>
        </w:tc>
        <w:tc>
          <w:tcPr>
            <w:tcW w:w="1000" w:type="dxa"/>
            <w:vAlign w:val="bottom"/>
          </w:tcPr>
          <w:p>
            <w:pPr>
              <w:jc w:val="right"/>
              <w:ind w:right="94"/>
              <w:spacing w:after="0" w:line="185" w:lineRule="exact"/>
              <w:rPr>
                <w:sz w:val="20"/>
                <w:szCs w:val="20"/>
                <w:color w:val="auto"/>
              </w:rPr>
            </w:pPr>
            <w:r>
              <w:rPr>
                <w:rFonts w:ascii="Arial" w:cs="Arial" w:eastAsia="Arial" w:hAnsi="Arial"/>
                <w:sz w:val="17"/>
                <w:szCs w:val="17"/>
                <w:b w:val="1"/>
                <w:bCs w:val="1"/>
                <w:color w:val="auto"/>
              </w:rPr>
              <w:t>$534,082</w:t>
            </w:r>
          </w:p>
        </w:tc>
        <w:tc>
          <w:tcPr>
            <w:tcW w:w="1480" w:type="dxa"/>
            <w:vAlign w:val="bottom"/>
          </w:tcPr>
          <w:p>
            <w:pPr>
              <w:jc w:val="right"/>
              <w:ind w:right="134"/>
              <w:spacing w:after="0" w:line="185" w:lineRule="exact"/>
              <w:rPr>
                <w:sz w:val="20"/>
                <w:szCs w:val="20"/>
                <w:color w:val="auto"/>
              </w:rPr>
            </w:pPr>
            <w:r>
              <w:rPr>
                <w:rFonts w:ascii="Arial" w:cs="Arial" w:eastAsia="Arial" w:hAnsi="Arial"/>
                <w:sz w:val="17"/>
                <w:szCs w:val="17"/>
                <w:b w:val="1"/>
                <w:bCs w:val="1"/>
                <w:color w:val="auto"/>
              </w:rPr>
              <w:t>($135,901)</w:t>
            </w:r>
          </w:p>
        </w:tc>
        <w:tc>
          <w:tcPr>
            <w:tcW w:w="1060" w:type="dxa"/>
            <w:vAlign w:val="bottom"/>
          </w:tcPr>
          <w:p>
            <w:pPr>
              <w:jc w:val="right"/>
              <w:ind w:right="34"/>
              <w:spacing w:after="0" w:line="185" w:lineRule="exact"/>
              <w:rPr>
                <w:sz w:val="20"/>
                <w:szCs w:val="20"/>
                <w:color w:val="auto"/>
              </w:rPr>
            </w:pPr>
            <w:r>
              <w:rPr>
                <w:rFonts w:ascii="Arial" w:cs="Arial" w:eastAsia="Arial" w:hAnsi="Arial"/>
                <w:sz w:val="17"/>
                <w:szCs w:val="17"/>
                <w:b w:val="1"/>
                <w:bCs w:val="1"/>
                <w:color w:val="auto"/>
              </w:rPr>
              <w:t>($256,876)</w:t>
            </w:r>
          </w:p>
        </w:tc>
        <w:tc>
          <w:tcPr>
            <w:tcW w:w="1420" w:type="dxa"/>
            <w:vAlign w:val="bottom"/>
          </w:tcPr>
          <w:p>
            <w:pPr>
              <w:jc w:val="right"/>
              <w:ind w:right="174"/>
              <w:spacing w:after="0" w:line="185" w:lineRule="exact"/>
              <w:rPr>
                <w:sz w:val="20"/>
                <w:szCs w:val="20"/>
                <w:color w:val="auto"/>
              </w:rPr>
            </w:pPr>
            <w:r>
              <w:rPr>
                <w:rFonts w:ascii="Arial" w:cs="Arial" w:eastAsia="Arial" w:hAnsi="Arial"/>
                <w:sz w:val="17"/>
                <w:szCs w:val="17"/>
                <w:b w:val="1"/>
                <w:bCs w:val="1"/>
                <w:color w:val="auto"/>
              </w:rPr>
              <w:t>$3,247</w:t>
            </w:r>
          </w:p>
        </w:tc>
        <w:tc>
          <w:tcPr>
            <w:tcW w:w="92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$573,015</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Adoption of accounting standards (a),(b)</w:t>
            </w:r>
          </w:p>
        </w:tc>
        <w:tc>
          <w:tcPr>
            <w:tcW w:w="10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(5,085)</w:t>
            </w:r>
          </w:p>
        </w:tc>
        <w:tc>
          <w:tcPr>
            <w:tcW w:w="14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(327)</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(5,412)</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Net income</w:t>
            </w:r>
          </w:p>
        </w:tc>
        <w:tc>
          <w:tcPr>
            <w:tcW w:w="10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40,610</w:t>
            </w:r>
          </w:p>
        </w:tc>
        <w:tc>
          <w:tcPr>
            <w:tcW w:w="14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178</w:t>
            </w:r>
          </w:p>
        </w:tc>
        <w:tc>
          <w:tcPr>
            <w:tcW w:w="9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40,788</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Compensation and benefits paid or payable</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in shares</w:t>
            </w:r>
          </w:p>
        </w:tc>
        <w:tc>
          <w:tcPr>
            <w:tcW w:w="10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1,062</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274</w:t>
            </w:r>
          </w:p>
        </w:tc>
        <w:tc>
          <w:tcPr>
            <w:tcW w:w="14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1,336</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Options exercised</w:t>
            </w:r>
          </w:p>
        </w:tc>
        <w:tc>
          <w:tcPr>
            <w:tcW w:w="10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150</w:t>
            </w:r>
          </w:p>
        </w:tc>
        <w:tc>
          <w:tcPr>
            <w:tcW w:w="1000" w:type="dxa"/>
            <w:vAlign w:val="bottom"/>
          </w:tcPr>
          <w:p>
            <w:pPr>
              <w:spacing w:after="0"/>
              <w:rPr>
                <w:sz w:val="16"/>
                <w:szCs w:val="16"/>
                <w:color w:val="auto"/>
              </w:rPr>
            </w:pPr>
          </w:p>
        </w:tc>
        <w:tc>
          <w:tcPr>
            <w:tcW w:w="14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150</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Dividends declared</w:t>
            </w:r>
          </w:p>
        </w:tc>
        <w:tc>
          <w:tcPr>
            <w:tcW w:w="10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(10,968)</w:t>
            </w:r>
          </w:p>
        </w:tc>
        <w:tc>
          <w:tcPr>
            <w:tcW w:w="14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(10,968)</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Cumulative translation adjustments</w:t>
            </w:r>
          </w:p>
        </w:tc>
        <w:tc>
          <w:tcPr>
            <w:tcW w:w="10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(15,570)</w:t>
            </w:r>
          </w:p>
        </w:tc>
        <w:tc>
          <w:tcPr>
            <w:tcW w:w="10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4</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(15,566)</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Pension and postretirement liability</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adjustments</w:t>
            </w:r>
          </w:p>
        </w:tc>
        <w:tc>
          <w:tcPr>
            <w:tcW w:w="102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2,114</w:t>
            </w:r>
          </w:p>
        </w:tc>
        <w:tc>
          <w:tcPr>
            <w:tcW w:w="10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2,114</w:t>
            </w:r>
          </w:p>
        </w:tc>
      </w:tr>
      <w:tr>
        <w:trPr>
          <w:trHeight w:val="207"/>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Derivative valuation adjustment</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6,202</w:t>
            </w: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6,202</w:t>
            </w:r>
          </w:p>
        </w:tc>
      </w:tr>
      <w:tr>
        <w:trPr>
          <w:trHeight w:val="199"/>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June 30, 2018</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$40</w:t>
            </w: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$429,635</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$558,639</w:t>
            </w: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($143,155)</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($256,602)</w:t>
            </w:r>
          </w:p>
        </w:tc>
        <w:tc>
          <w:tcPr>
            <w:tcW w:w="14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$3,102</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$591,659</w:t>
            </w:r>
          </w:p>
        </w:tc>
      </w:tr>
    </w:tbl>
    <w:p>
      <w:pPr>
        <w:spacing w:after="0" w:line="200" w:lineRule="exact"/>
        <w:rPr>
          <w:sz w:val="20"/>
          <w:szCs w:val="20"/>
          <w:color w:val="auto"/>
        </w:rPr>
      </w:pPr>
    </w:p>
    <w:p>
      <w:pPr>
        <w:spacing w:after="0" w:line="212" w:lineRule="exact"/>
        <w:rPr>
          <w:sz w:val="20"/>
          <w:szCs w:val="20"/>
          <w:color w:val="auto"/>
        </w:rPr>
      </w:pPr>
    </w:p>
    <w:p>
      <w:pPr>
        <w:ind w:left="380" w:right="340" w:hanging="377"/>
        <w:spacing w:after="0" w:line="250"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described in Note 2, the Company adopted ASC 606 effective January 1, 2018, which resulted in a decrease to Retained earnings of $5.6 million and a $0.3 million decrease to Noncontrolling interest.</w:t>
      </w:r>
    </w:p>
    <w:p>
      <w:pPr>
        <w:spacing w:after="0" w:line="44" w:lineRule="exact"/>
        <w:rPr>
          <w:rFonts w:ascii="Arial" w:cs="Arial" w:eastAsia="Arial" w:hAnsi="Arial"/>
          <w:sz w:val="17"/>
          <w:szCs w:val="17"/>
          <w:color w:val="auto"/>
        </w:rPr>
      </w:pPr>
    </w:p>
    <w:p>
      <w:pPr>
        <w:ind w:left="380" w:hanging="377"/>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described in Note 7, the Company adopted ASU 2016-16 effective January 1, 2018, which resulted in a $0.5 increase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19. Recent Accounting Pronouncements</w:t>
      </w:r>
    </w:p>
    <w:p>
      <w:pPr>
        <w:spacing w:after="0" w:line="278"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In February 2016, an accounting update was issued which will require lessees to record most operating leases on their balance sheets, but recognize the expenses in the income statement in a manner similar to current practice. Under the new standard, lessees will be required to recognize a lease liability for the obligation to make lease payments, and an asset for the right to use the underlying asset for the lease term. Expenses related to operating leases will be recognized on a straight-line basis, while those determined to be financing leases will be recognized following a front-loaded expense profile, in which interest and amortization are presented separately in the income statement. The principal effect on the Company’s financial statements will be an increase in assets and liabilities. The Company is evaluating practical expedients that may be used, and a new method of transitioning to this standard which was recently approved by the FASB, both of which could affect the impact that the standard has on the Company’s financial statements. Additionally, we are evaluating changes to our processes and internal controls to ensure we meet the standard’s reporting and disclosure requirements.</w:t>
      </w:r>
    </w:p>
    <w:p>
      <w:pPr>
        <w:spacing w:after="0" w:line="171"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In August 2017, an accounting update was issued which simplifies the application of hedge accounting to better align the financial reporting of hedging relationships with a company’s risk management activities. We do not expect a significant impact to our consolidated assets and liabilities, net earnings, or cash flows as a result of adopting this new standard. We plan to adopt the new standard effective January 1, 2019.</w:t>
      </w:r>
    </w:p>
    <w:p>
      <w:pPr>
        <w:spacing w:after="0" w:line="155" w:lineRule="exact"/>
        <w:rPr>
          <w:sz w:val="20"/>
          <w:szCs w:val="20"/>
          <w:color w:val="auto"/>
        </w:rPr>
      </w:pPr>
    </w:p>
    <w:p>
      <w:pPr>
        <w:ind w:right="360" w:firstLine="620"/>
        <w:spacing w:after="0" w:line="243" w:lineRule="auto"/>
        <w:rPr>
          <w:sz w:val="20"/>
          <w:szCs w:val="20"/>
          <w:color w:val="auto"/>
        </w:rPr>
      </w:pPr>
      <w:r>
        <w:rPr>
          <w:rFonts w:ascii="Arial" w:cs="Arial" w:eastAsia="Arial" w:hAnsi="Arial"/>
          <w:sz w:val="17"/>
          <w:szCs w:val="17"/>
          <w:color w:val="auto"/>
        </w:rPr>
        <w:t>In February 2018, an accounting update was issued which allows a reclassification from accumulated other comprehensive income to retained earnings for stranded tax effects resulting from the Tax Cuts and Jobs Act. This update is effective for annual and interim periods in fiscal years beginning after December 15, 2018. We are currently evaluating the impact of this update.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343" w:lineRule="exact"/>
        <w:rPr>
          <w:sz w:val="20"/>
          <w:szCs w:val="20"/>
          <w:color w:val="auto"/>
        </w:rPr>
      </w:pPr>
    </w:p>
    <w:p>
      <w:pPr>
        <w:ind w:right="180" w:firstLine="620"/>
        <w:spacing w:after="0" w:line="243" w:lineRule="auto"/>
        <w:rPr>
          <w:sz w:val="20"/>
          <w:szCs w:val="20"/>
          <w:color w:val="auto"/>
        </w:rPr>
      </w:pPr>
      <w:r>
        <w:rPr>
          <w:rFonts w:ascii="Arial" w:cs="Arial" w:eastAsia="Arial" w:hAnsi="Arial"/>
          <w:sz w:val="17"/>
          <w:szCs w:val="17"/>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7"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40" w:name="page41"/>
    <w:bookmarkEnd w:id="40"/>
    <w:p>
      <w:pPr>
        <w:ind w:right="340" w:firstLine="620"/>
        <w:spacing w:after="0" w:line="250" w:lineRule="auto"/>
        <w:rPr>
          <w:sz w:val="20"/>
          <w:szCs w:val="20"/>
          <w:color w:val="auto"/>
        </w:rPr>
      </w:pPr>
      <w:r>
        <w:rPr>
          <w:rFonts w:ascii="Arial" w:cs="Arial" w:eastAsia="Arial" w:hAnsi="Arial"/>
          <w:sz w:val="17"/>
          <w:szCs w:val="17"/>
          <w:color w:val="auto"/>
        </w:rPr>
        <w:t>There are a number of risks, uncertainties, and other important factors that could cause actual results to differ materially from the forward-looking statements, including, but not limited to:</w:t>
      </w:r>
    </w:p>
    <w:p>
      <w:pPr>
        <w:spacing w:after="0" w:line="148" w:lineRule="exact"/>
        <w:rPr>
          <w:sz w:val="20"/>
          <w:szCs w:val="20"/>
          <w:color w:val="auto"/>
        </w:rPr>
      </w:pPr>
    </w:p>
    <w:p>
      <w:pPr>
        <w:ind w:left="1520" w:right="40" w:hanging="381"/>
        <w:spacing w:after="0" w:line="250"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Conditions in the industries in which our Machine Clothing and Albany Engineered Composites segments compete, along with the general risks associated with macroeconomic conditions;</w:t>
      </w:r>
    </w:p>
    <w:p>
      <w:pPr>
        <w:spacing w:after="0" w:line="160" w:lineRule="exact"/>
        <w:rPr>
          <w:rFonts w:ascii="Arial" w:cs="Arial" w:eastAsia="Arial" w:hAnsi="Arial"/>
          <w:sz w:val="17"/>
          <w:szCs w:val="17"/>
          <w:color w:val="auto"/>
        </w:rPr>
      </w:pPr>
    </w:p>
    <w:p>
      <w:pPr>
        <w:ind w:left="1520" w:right="220" w:hanging="381"/>
        <w:spacing w:after="0" w:line="250"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Machine Clothing segment, greater than anticipated declines in the demand for publication grades of paper or, lower than anticipated growth in other paper grades;</w:t>
      </w:r>
    </w:p>
    <w:p>
      <w:pPr>
        <w:spacing w:after="0" w:line="147" w:lineRule="exact"/>
        <w:rPr>
          <w:rFonts w:ascii="Arial" w:cs="Arial" w:eastAsia="Arial" w:hAnsi="Arial"/>
          <w:sz w:val="17"/>
          <w:szCs w:val="17"/>
          <w:color w:val="auto"/>
        </w:rPr>
      </w:pPr>
    </w:p>
    <w:p>
      <w:pPr>
        <w:ind w:left="1520" w:right="100" w:hanging="381"/>
        <w:spacing w:after="0" w:line="250"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Albany Engineered Composites segment, unanticipated reductions in demand, delays, technical difficulties or cancellations in aerospace programs that are expected to drive growth;</w:t>
      </w:r>
    </w:p>
    <w:p>
      <w:pPr>
        <w:spacing w:after="0" w:line="147" w:lineRule="exact"/>
        <w:rPr>
          <w:rFonts w:ascii="Arial" w:cs="Arial" w:eastAsia="Arial" w:hAnsi="Arial"/>
          <w:sz w:val="17"/>
          <w:szCs w:val="17"/>
          <w:color w:val="auto"/>
        </w:rPr>
      </w:pPr>
    </w:p>
    <w:p>
      <w:pPr>
        <w:ind w:left="1520" w:hanging="381"/>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achieve or maintain anticipated profitable growth in our Albany Engineered Composites segment; and</w:t>
      </w:r>
    </w:p>
    <w:p>
      <w:pPr>
        <w:spacing w:after="0" w:line="191" w:lineRule="exact"/>
        <w:rPr>
          <w:rFonts w:ascii="Arial" w:cs="Arial" w:eastAsia="Arial" w:hAnsi="Arial"/>
          <w:sz w:val="17"/>
          <w:szCs w:val="17"/>
          <w:color w:val="auto"/>
        </w:rPr>
      </w:pPr>
    </w:p>
    <w:p>
      <w:pPr>
        <w:ind w:left="1520" w:hanging="381"/>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risks and uncertainties detailed in this report.</w:t>
      </w:r>
    </w:p>
    <w:p>
      <w:pPr>
        <w:spacing w:after="0" w:line="179"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56" w:lineRule="exact"/>
        <w:rPr>
          <w:sz w:val="20"/>
          <w:szCs w:val="20"/>
          <w:color w:val="auto"/>
        </w:rPr>
      </w:pPr>
    </w:p>
    <w:p>
      <w:pPr>
        <w:ind w:right="160" w:firstLine="620"/>
        <w:spacing w:after="0" w:line="243" w:lineRule="auto"/>
        <w:rPr>
          <w:sz w:val="20"/>
          <w:szCs w:val="20"/>
          <w:color w:val="auto"/>
        </w:rPr>
      </w:pPr>
      <w:r>
        <w:rPr>
          <w:rFonts w:ascii="Arial" w:cs="Arial" w:eastAsia="Arial" w:hAnsi="Arial"/>
          <w:sz w:val="17"/>
          <w:szCs w:val="17"/>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Environment Overview and Trends</w:t>
      </w:r>
    </w:p>
    <w:p>
      <w:pPr>
        <w:spacing w:after="0" w:line="186" w:lineRule="exact"/>
        <w:rPr>
          <w:sz w:val="20"/>
          <w:szCs w:val="20"/>
          <w:color w:val="auto"/>
        </w:rPr>
      </w:pPr>
    </w:p>
    <w:p>
      <w:pPr>
        <w:ind w:right="500" w:firstLine="667"/>
        <w:spacing w:after="0" w:line="250" w:lineRule="auto"/>
        <w:rPr>
          <w:sz w:val="20"/>
          <w:szCs w:val="20"/>
          <w:color w:val="auto"/>
        </w:rPr>
      </w:pPr>
      <w:r>
        <w:rPr>
          <w:rFonts w:ascii="Arial" w:cs="Arial" w:eastAsia="Arial" w:hAnsi="Arial"/>
          <w:sz w:val="17"/>
          <w:szCs w:val="17"/>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354" w:lineRule="exact"/>
        <w:rPr>
          <w:sz w:val="20"/>
          <w:szCs w:val="20"/>
          <w:color w:val="auto"/>
        </w:rPr>
      </w:pPr>
    </w:p>
    <w:p>
      <w:pPr>
        <w:ind w:right="260" w:firstLine="620"/>
        <w:spacing w:after="0"/>
        <w:rPr>
          <w:sz w:val="20"/>
          <w:szCs w:val="20"/>
          <w:color w:val="auto"/>
        </w:rPr>
      </w:pPr>
      <w:r>
        <w:rPr>
          <w:rFonts w:ascii="Arial" w:cs="Arial" w:eastAsia="Arial" w:hAnsi="Arial"/>
          <w:sz w:val="17"/>
          <w:szCs w:val="17"/>
          <w:color w:val="auto"/>
        </w:rPr>
        <w:t>The Machine Clothing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1" w:name="page42"/>
    <w:bookmarkEnd w:id="41"/>
    <w:p>
      <w:pPr>
        <w:ind w:right="100"/>
        <w:spacing w:after="0" w:line="241" w:lineRule="auto"/>
        <w:rPr>
          <w:sz w:val="20"/>
          <w:szCs w:val="20"/>
          <w:color w:val="auto"/>
        </w:rPr>
      </w:pPr>
      <w:r>
        <w:rPr>
          <w:rFonts w:ascii="Arial" w:cs="Arial" w:eastAsia="Arial" w:hAnsi="Arial"/>
          <w:sz w:val="17"/>
          <w:szCs w:val="17"/>
          <w:color w:val="auto"/>
        </w:rPr>
        <w:t>clothing and paper industries will continue to face top line pressure. Nonetheless, the business retains the potential for maintaining stable earnings in the future. It has been a significant generator of cash, and we seek to maintain the cash-generating potential of this business by maintaining the low costs that we achieved through previous restructuring, and competing vigorously by using our differentiated and technically superior products to reduce our customers’ total cost of operation and improve their paper quality.</w:t>
      </w:r>
    </w:p>
    <w:p>
      <w:pPr>
        <w:spacing w:after="0" w:line="157" w:lineRule="exact"/>
        <w:rPr>
          <w:sz w:val="20"/>
          <w:szCs w:val="20"/>
          <w:color w:val="auto"/>
        </w:rPr>
      </w:pPr>
    </w:p>
    <w:p>
      <w:pPr>
        <w:ind w:firstLine="620"/>
        <w:spacing w:after="0" w:line="238" w:lineRule="auto"/>
        <w:rPr>
          <w:sz w:val="20"/>
          <w:szCs w:val="20"/>
          <w:color w:val="auto"/>
        </w:rPr>
      </w:pPr>
      <w:r>
        <w:rPr>
          <w:rFonts w:ascii="Arial" w:cs="Arial" w:eastAsia="Arial" w:hAnsi="Arial"/>
          <w:sz w:val="17"/>
          <w:szCs w:val="17"/>
          <w:color w:val="auto"/>
        </w:rPr>
        <w:t>The AEC segment provides significant growth potential for our Company both near and long term. Our strategy is to grow by focusing our proprietary 3D-woven technology, as well as our conventional non-3D technology, on high-value aerospace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and defense industry. AEC’s largest aerospace customer is the SAFRAN Group and sales to SAFRAN (consisting primarily of fan blades and cases for CFM’s LEAP engine) accounted for approximately 14 percent of the Company’s consolidated net sales in 2017. Through ASC, AEC develops and sells 3D-woven composite aerospace components to SAFRAN, with the most significant current program being the production of fan blades and other components for the LEAP engine. AEC, through ASC, also supplies 3D-woven composite fan cases for the GE9X engine. AEC’s current portfolio of non-3D programs includes components for the F-35 Joint Strike Fighter, fuselage frames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2017, approximately 30 percent of AEC sales were related to U.S. government contracts or programs.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Results of Operations</w:t>
      </w:r>
    </w:p>
    <w:p>
      <w:pPr>
        <w:spacing w:after="0" w:line="61" w:lineRule="exact"/>
        <w:rPr>
          <w:sz w:val="20"/>
          <w:szCs w:val="20"/>
          <w:color w:val="auto"/>
        </w:rPr>
      </w:pPr>
    </w:p>
    <w:p>
      <w:pPr>
        <w:ind w:right="260" w:firstLine="620"/>
        <w:spacing w:after="0" w:line="272" w:lineRule="auto"/>
        <w:rPr>
          <w:sz w:val="20"/>
          <w:szCs w:val="20"/>
          <w:color w:val="auto"/>
        </w:rPr>
      </w:pPr>
      <w:r>
        <w:rPr>
          <w:rFonts w:ascii="Arial" w:cs="Arial" w:eastAsia="Arial" w:hAnsi="Arial"/>
          <w:sz w:val="17"/>
          <w:szCs w:val="17"/>
          <w:color w:val="auto"/>
        </w:rPr>
        <w:t>In the first quarter of 2018, the Company adopted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using the modified retrospective (or cumulative effect) method for transition. Under this transition method, periods prior to 2018 are not restated.</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effect on various operational metrics that resulted from the adoption of ASC 606: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00"/>
          </w:cols>
          <w:pgMar w:left="240" w:top="474"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6000" w:type="dxa"/>
            <w:vAlign w:val="bottom"/>
            <w:tcBorders>
              <w:top w:val="single" w:sz="8" w:color="auto"/>
            </w:tcBorders>
            <w:gridSpan w:val="2"/>
          </w:tcPr>
          <w:p>
            <w:pPr>
              <w:spacing w:after="0" w:line="184" w:lineRule="exact"/>
              <w:rPr>
                <w:sz w:val="20"/>
                <w:szCs w:val="20"/>
                <w:color w:val="auto"/>
              </w:rPr>
            </w:pPr>
            <w:r>
              <w:rPr>
                <w:rFonts w:ascii="Arial" w:cs="Arial" w:eastAsia="Arial" w:hAnsi="Arial"/>
                <w:sz w:val="17"/>
                <w:szCs w:val="17"/>
                <w:b w:val="1"/>
                <w:bCs w:val="1"/>
                <w:color w:val="auto"/>
              </w:rPr>
              <w:t>Increase/(decrease) attributable to application of ASC 606 for the three</w:t>
            </w:r>
          </w:p>
        </w:tc>
        <w:tc>
          <w:tcPr>
            <w:tcW w:w="16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months ended June 30, 2018</w:t>
            </w:r>
          </w:p>
        </w:tc>
        <w:tc>
          <w:tcPr>
            <w:tcW w:w="1640" w:type="dxa"/>
            <w:vAlign w:val="bottom"/>
          </w:tcPr>
          <w:p>
            <w:pPr>
              <w:spacing w:after="0"/>
              <w:rPr>
                <w:sz w:val="18"/>
                <w:szCs w:val="18"/>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color w:val="auto"/>
                <w:w w:val="99"/>
              </w:rPr>
              <w:t>Albany</w:t>
            </w:r>
          </w:p>
        </w:tc>
        <w:tc>
          <w:tcPr>
            <w:tcW w:w="1520" w:type="dxa"/>
            <w:vAlign w:val="bottom"/>
          </w:tcPr>
          <w:p>
            <w:pPr>
              <w:jc w:val="center"/>
              <w:ind w:right="74"/>
              <w:spacing w:after="0"/>
              <w:rPr>
                <w:sz w:val="20"/>
                <w:szCs w:val="20"/>
                <w:color w:val="auto"/>
              </w:rPr>
            </w:pPr>
            <w:r>
              <w:rPr>
                <w:rFonts w:ascii="Arial" w:cs="Arial" w:eastAsia="Arial" w:hAnsi="Arial"/>
                <w:sz w:val="17"/>
                <w:szCs w:val="17"/>
                <w:color w:val="auto"/>
                <w:w w:val="99"/>
              </w:rPr>
              <w:t>Income tax and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74"/>
              <w:spacing w:after="0" w:line="172" w:lineRule="exact"/>
              <w:rPr>
                <w:sz w:val="20"/>
                <w:szCs w:val="20"/>
                <w:color w:val="auto"/>
              </w:rPr>
            </w:pPr>
            <w:r>
              <w:rPr>
                <w:rFonts w:ascii="Arial" w:cs="Arial" w:eastAsia="Arial" w:hAnsi="Arial"/>
                <w:sz w:val="17"/>
                <w:szCs w:val="17"/>
                <w:color w:val="auto"/>
              </w:rPr>
              <w:t>Engineered</w:t>
            </w:r>
          </w:p>
        </w:tc>
        <w:tc>
          <w:tcPr>
            <w:tcW w:w="1520" w:type="dxa"/>
            <w:vAlign w:val="bottom"/>
          </w:tcPr>
          <w:p>
            <w:pPr>
              <w:jc w:val="center"/>
              <w:ind w:right="74"/>
              <w:spacing w:after="0" w:line="172" w:lineRule="exact"/>
              <w:rPr>
                <w:sz w:val="20"/>
                <w:szCs w:val="20"/>
                <w:color w:val="auto"/>
              </w:rPr>
            </w:pPr>
            <w:r>
              <w:rPr>
                <w:rFonts w:ascii="Arial" w:cs="Arial" w:eastAsia="Arial" w:hAnsi="Arial"/>
                <w:sz w:val="17"/>
                <w:szCs w:val="17"/>
                <w:color w:val="auto"/>
              </w:rPr>
              <w:t>noncontrolling</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(in thousands)</w:t>
            </w:r>
          </w:p>
        </w:tc>
        <w:tc>
          <w:tcPr>
            <w:tcW w:w="1640" w:type="dxa"/>
            <w:vAlign w:val="bottom"/>
          </w:tcPr>
          <w:p>
            <w:pPr>
              <w:jc w:val="right"/>
              <w:ind w:right="14"/>
              <w:spacing w:after="0"/>
              <w:rPr>
                <w:sz w:val="20"/>
                <w:szCs w:val="20"/>
                <w:color w:val="auto"/>
              </w:rPr>
            </w:pPr>
            <w:r>
              <w:rPr>
                <w:rFonts w:ascii="Arial" w:cs="Arial" w:eastAsia="Arial" w:hAnsi="Arial"/>
                <w:sz w:val="17"/>
                <w:szCs w:val="17"/>
                <w:color w:val="auto"/>
              </w:rPr>
              <w:t>Machine Clothing</w:t>
            </w:r>
          </w:p>
        </w:tc>
        <w:tc>
          <w:tcPr>
            <w:tcW w:w="1240" w:type="dxa"/>
            <w:vAlign w:val="bottom"/>
          </w:tcPr>
          <w:p>
            <w:pPr>
              <w:jc w:val="center"/>
              <w:ind w:right="54"/>
              <w:spacing w:after="0"/>
              <w:rPr>
                <w:sz w:val="20"/>
                <w:szCs w:val="20"/>
                <w:color w:val="auto"/>
              </w:rPr>
            </w:pPr>
            <w:r>
              <w:rPr>
                <w:rFonts w:ascii="Arial" w:cs="Arial" w:eastAsia="Arial" w:hAnsi="Arial"/>
                <w:sz w:val="17"/>
                <w:szCs w:val="17"/>
                <w:color w:val="auto"/>
              </w:rPr>
              <w:t>Composites</w:t>
            </w:r>
          </w:p>
        </w:tc>
        <w:tc>
          <w:tcPr>
            <w:tcW w:w="1520" w:type="dxa"/>
            <w:vAlign w:val="bottom"/>
          </w:tcPr>
          <w:p>
            <w:pPr>
              <w:jc w:val="center"/>
              <w:ind w:right="74"/>
              <w:spacing w:after="0"/>
              <w:rPr>
                <w:sz w:val="20"/>
                <w:szCs w:val="20"/>
                <w:color w:val="auto"/>
              </w:rPr>
            </w:pPr>
            <w:r>
              <w:rPr>
                <w:rFonts w:ascii="Arial" w:cs="Arial" w:eastAsia="Arial" w:hAnsi="Arial"/>
                <w:sz w:val="17"/>
                <w:szCs w:val="17"/>
                <w:color w:val="auto"/>
              </w:rPr>
              <w:t>interest effects</w:t>
            </w: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Company</w:t>
            </w:r>
          </w:p>
        </w:tc>
        <w:tc>
          <w:tcPr>
            <w:tcW w:w="0" w:type="dxa"/>
            <w:vAlign w:val="bottom"/>
          </w:tcPr>
          <w:p>
            <w:pPr>
              <w:spacing w:after="0"/>
              <w:rPr>
                <w:sz w:val="1"/>
                <w:szCs w:val="1"/>
                <w:color w:val="auto"/>
              </w:rPr>
            </w:pPr>
          </w:p>
        </w:tc>
      </w:tr>
      <w:tr>
        <w:trPr>
          <w:trHeight w:val="164"/>
        </w:trPr>
        <w:tc>
          <w:tcPr>
            <w:tcW w:w="6000" w:type="dxa"/>
            <w:vAlign w:val="bottom"/>
            <w:tcBorders>
              <w:top w:val="single" w:sz="8" w:color="auto"/>
            </w:tcBorders>
            <w:gridSpan w:val="2"/>
          </w:tcPr>
          <w:p>
            <w:pPr>
              <w:spacing w:after="0" w:line="163" w:lineRule="exact"/>
              <w:rPr>
                <w:sz w:val="20"/>
                <w:szCs w:val="20"/>
                <w:color w:val="auto"/>
              </w:rPr>
            </w:pPr>
            <w:r>
              <w:rPr>
                <w:rFonts w:ascii="Arial" w:cs="Arial" w:eastAsia="Arial" w:hAnsi="Arial"/>
                <w:sz w:val="17"/>
                <w:szCs w:val="17"/>
                <w:color w:val="auto"/>
              </w:rPr>
              <w:t>Net sales</w:t>
            </w:r>
          </w:p>
        </w:tc>
        <w:tc>
          <w:tcPr>
            <w:tcW w:w="16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$857</w:t>
            </w:r>
          </w:p>
        </w:tc>
        <w:tc>
          <w:tcPr>
            <w:tcW w:w="12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($1,257)</w:t>
            </w:r>
          </w:p>
        </w:tc>
        <w:tc>
          <w:tcPr>
            <w:tcW w:w="15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 -</w:t>
            </w:r>
          </w:p>
        </w:tc>
        <w:tc>
          <w:tcPr>
            <w:tcW w:w="10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b w:val="1"/>
                <w:bCs w:val="1"/>
                <w:color w:val="auto"/>
              </w:rPr>
              <w:t>($400)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Gross profit</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1,781</w:t>
            </w:r>
          </w:p>
        </w:tc>
        <w:tc>
          <w:tcPr>
            <w:tcW w:w="1240" w:type="dxa"/>
            <w:vAlign w:val="bottom"/>
          </w:tcPr>
          <w:p>
            <w:pPr>
              <w:jc w:val="right"/>
              <w:spacing w:after="0" w:line="194" w:lineRule="exact"/>
              <w:rPr>
                <w:sz w:val="20"/>
                <w:szCs w:val="20"/>
                <w:color w:val="auto"/>
              </w:rPr>
            </w:pPr>
            <w:r>
              <w:rPr>
                <w:rFonts w:ascii="Arial" w:cs="Arial" w:eastAsia="Arial" w:hAnsi="Arial"/>
                <w:sz w:val="17"/>
                <w:szCs w:val="17"/>
                <w:color w:val="auto"/>
              </w:rPr>
              <w:t>123</w:t>
            </w:r>
          </w:p>
        </w:tc>
        <w:tc>
          <w:tcPr>
            <w:tcW w:w="15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1,904</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Selling, technical, general and research expenses</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c>
          <w:tcPr>
            <w:tcW w:w="12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5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Operating income and Income before income taxes</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1,786</w:t>
            </w:r>
          </w:p>
        </w:tc>
        <w:tc>
          <w:tcPr>
            <w:tcW w:w="1240" w:type="dxa"/>
            <w:vAlign w:val="bottom"/>
          </w:tcPr>
          <w:p>
            <w:pPr>
              <w:jc w:val="right"/>
              <w:spacing w:after="0" w:line="194" w:lineRule="exact"/>
              <w:rPr>
                <w:sz w:val="20"/>
                <w:szCs w:val="20"/>
                <w:color w:val="auto"/>
              </w:rPr>
            </w:pPr>
            <w:r>
              <w:rPr>
                <w:rFonts w:ascii="Arial" w:cs="Arial" w:eastAsia="Arial" w:hAnsi="Arial"/>
                <w:sz w:val="17"/>
                <w:szCs w:val="17"/>
                <w:color w:val="auto"/>
              </w:rPr>
              <w:t>123</w:t>
            </w:r>
          </w:p>
        </w:tc>
        <w:tc>
          <w:tcPr>
            <w:tcW w:w="15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1,909</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Income taxes</w:t>
            </w:r>
          </w:p>
        </w:tc>
        <w:tc>
          <w:tcPr>
            <w:tcW w:w="16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507</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507</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Net income</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1,786</w:t>
            </w:r>
          </w:p>
        </w:tc>
        <w:tc>
          <w:tcPr>
            <w:tcW w:w="1240" w:type="dxa"/>
            <w:vAlign w:val="bottom"/>
          </w:tcPr>
          <w:p>
            <w:pPr>
              <w:jc w:val="right"/>
              <w:spacing w:after="0" w:line="194" w:lineRule="exact"/>
              <w:rPr>
                <w:sz w:val="20"/>
                <w:szCs w:val="20"/>
                <w:color w:val="auto"/>
              </w:rPr>
            </w:pPr>
            <w:r>
              <w:rPr>
                <w:rFonts w:ascii="Arial" w:cs="Arial" w:eastAsia="Arial" w:hAnsi="Arial"/>
                <w:sz w:val="17"/>
                <w:szCs w:val="17"/>
                <w:color w:val="auto"/>
              </w:rPr>
              <w:t>123</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(507)</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1,402</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Net income attributable to the noncontrolling interest in ASC</w:t>
            </w:r>
          </w:p>
        </w:tc>
        <w:tc>
          <w:tcPr>
            <w:tcW w:w="16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27</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27</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Net income attributable to the Company</w:t>
            </w:r>
          </w:p>
        </w:tc>
        <w:tc>
          <w:tcPr>
            <w:tcW w:w="1640" w:type="dxa"/>
            <w:vAlign w:val="bottom"/>
          </w:tcPr>
          <w:p>
            <w:pPr>
              <w:jc w:val="right"/>
              <w:spacing w:after="0"/>
              <w:rPr>
                <w:sz w:val="20"/>
                <w:szCs w:val="20"/>
                <w:color w:val="auto"/>
              </w:rPr>
            </w:pPr>
            <w:r>
              <w:rPr>
                <w:rFonts w:ascii="Arial" w:cs="Arial" w:eastAsia="Arial" w:hAnsi="Arial"/>
                <w:sz w:val="17"/>
                <w:szCs w:val="17"/>
                <w:color w:val="auto"/>
              </w:rPr>
              <w:t>$1,786</w:t>
            </w:r>
          </w:p>
        </w:tc>
        <w:tc>
          <w:tcPr>
            <w:tcW w:w="1240" w:type="dxa"/>
            <w:vAlign w:val="bottom"/>
          </w:tcPr>
          <w:p>
            <w:pPr>
              <w:jc w:val="right"/>
              <w:spacing w:after="0"/>
              <w:rPr>
                <w:sz w:val="20"/>
                <w:szCs w:val="20"/>
                <w:color w:val="auto"/>
              </w:rPr>
            </w:pPr>
            <w:r>
              <w:rPr>
                <w:rFonts w:ascii="Arial" w:cs="Arial" w:eastAsia="Arial" w:hAnsi="Arial"/>
                <w:sz w:val="17"/>
                <w:szCs w:val="17"/>
                <w:color w:val="auto"/>
              </w:rPr>
              <w:t>$123</w:t>
            </w:r>
          </w:p>
        </w:tc>
        <w:tc>
          <w:tcPr>
            <w:tcW w:w="1520" w:type="dxa"/>
            <w:vAlign w:val="bottom"/>
          </w:tcPr>
          <w:p>
            <w:pPr>
              <w:jc w:val="right"/>
              <w:spacing w:after="0"/>
              <w:rPr>
                <w:sz w:val="20"/>
                <w:szCs w:val="20"/>
                <w:color w:val="auto"/>
              </w:rPr>
            </w:pPr>
            <w:r>
              <w:rPr>
                <w:rFonts w:ascii="Arial" w:cs="Arial" w:eastAsia="Arial" w:hAnsi="Arial"/>
                <w:sz w:val="17"/>
                <w:szCs w:val="17"/>
                <w:color w:val="auto"/>
              </w:rPr>
              <w:t>($534)</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$1,375</w:t>
            </w:r>
          </w:p>
        </w:tc>
        <w:tc>
          <w:tcPr>
            <w:tcW w:w="0" w:type="dxa"/>
            <w:vAlign w:val="bottom"/>
          </w:tcPr>
          <w:p>
            <w:pPr>
              <w:spacing w:after="0"/>
              <w:rPr>
                <w:sz w:val="1"/>
                <w:szCs w:val="1"/>
                <w:color w:val="auto"/>
              </w:rPr>
            </w:pPr>
          </w:p>
        </w:tc>
      </w:tr>
      <w:tr>
        <w:trPr>
          <w:trHeight w:val="174"/>
        </w:trPr>
        <w:tc>
          <w:tcPr>
            <w:tcW w:w="20" w:type="dxa"/>
            <w:vAlign w:val="bottom"/>
            <w:tcBorders>
              <w:top w:val="single" w:sz="8" w:color="auto"/>
              <w:bottom w:val="single" w:sz="8" w:color="auto"/>
            </w:tcBorders>
            <w:vMerge w:val="restart"/>
          </w:tcPr>
          <w:p>
            <w:pPr>
              <w:spacing w:after="0"/>
              <w:rPr>
                <w:sz w:val="15"/>
                <w:szCs w:val="15"/>
                <w:color w:val="auto"/>
              </w:rPr>
            </w:pPr>
          </w:p>
        </w:tc>
        <w:tc>
          <w:tcPr>
            <w:tcW w:w="598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980" w:type="dxa"/>
            <w:vAlign w:val="bottom"/>
          </w:tcPr>
          <w:p>
            <w:pPr>
              <w:spacing w:after="0" w:line="163" w:lineRule="exact"/>
              <w:rPr>
                <w:sz w:val="20"/>
                <w:szCs w:val="20"/>
                <w:color w:val="auto"/>
              </w:rPr>
            </w:pPr>
            <w:r>
              <w:rPr>
                <w:rFonts w:ascii="Arial" w:cs="Arial" w:eastAsia="Arial" w:hAnsi="Arial"/>
                <w:sz w:val="17"/>
                <w:szCs w:val="17"/>
                <w:b w:val="1"/>
                <w:bCs w:val="1"/>
                <w:color w:val="auto"/>
              </w:rPr>
              <w:t>Increase/(decrease) attributable to application of ASC 606 for the Six</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Months ended June 30, 2018</w:t>
            </w:r>
          </w:p>
        </w:tc>
        <w:tc>
          <w:tcPr>
            <w:tcW w:w="1640" w:type="dxa"/>
            <w:vAlign w:val="bottom"/>
          </w:tcPr>
          <w:p>
            <w:pPr>
              <w:spacing w:after="0"/>
              <w:rPr>
                <w:sz w:val="18"/>
                <w:szCs w:val="18"/>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color w:val="auto"/>
                <w:w w:val="99"/>
              </w:rPr>
              <w:t>Albany</w:t>
            </w:r>
          </w:p>
        </w:tc>
        <w:tc>
          <w:tcPr>
            <w:tcW w:w="1520" w:type="dxa"/>
            <w:vAlign w:val="bottom"/>
          </w:tcPr>
          <w:p>
            <w:pPr>
              <w:jc w:val="center"/>
              <w:ind w:right="74"/>
              <w:spacing w:after="0"/>
              <w:rPr>
                <w:sz w:val="20"/>
                <w:szCs w:val="20"/>
                <w:color w:val="auto"/>
              </w:rPr>
            </w:pPr>
            <w:r>
              <w:rPr>
                <w:rFonts w:ascii="Arial" w:cs="Arial" w:eastAsia="Arial" w:hAnsi="Arial"/>
                <w:sz w:val="17"/>
                <w:szCs w:val="17"/>
                <w:color w:val="auto"/>
                <w:w w:val="99"/>
              </w:rPr>
              <w:t>Income tax and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74"/>
              <w:spacing w:after="0" w:line="172" w:lineRule="exact"/>
              <w:rPr>
                <w:sz w:val="20"/>
                <w:szCs w:val="20"/>
                <w:color w:val="auto"/>
              </w:rPr>
            </w:pPr>
            <w:r>
              <w:rPr>
                <w:rFonts w:ascii="Arial" w:cs="Arial" w:eastAsia="Arial" w:hAnsi="Arial"/>
                <w:sz w:val="17"/>
                <w:szCs w:val="17"/>
                <w:color w:val="auto"/>
              </w:rPr>
              <w:t>Engineered</w:t>
            </w:r>
          </w:p>
        </w:tc>
        <w:tc>
          <w:tcPr>
            <w:tcW w:w="1520" w:type="dxa"/>
            <w:vAlign w:val="bottom"/>
          </w:tcPr>
          <w:p>
            <w:pPr>
              <w:jc w:val="center"/>
              <w:ind w:right="74"/>
              <w:spacing w:after="0" w:line="172" w:lineRule="exact"/>
              <w:rPr>
                <w:sz w:val="20"/>
                <w:szCs w:val="20"/>
                <w:color w:val="auto"/>
              </w:rPr>
            </w:pPr>
            <w:r>
              <w:rPr>
                <w:rFonts w:ascii="Arial" w:cs="Arial" w:eastAsia="Arial" w:hAnsi="Arial"/>
                <w:sz w:val="17"/>
                <w:szCs w:val="17"/>
                <w:color w:val="auto"/>
              </w:rPr>
              <w:t>noncontrolling</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(in thousands)</w:t>
            </w:r>
          </w:p>
        </w:tc>
        <w:tc>
          <w:tcPr>
            <w:tcW w:w="1640" w:type="dxa"/>
            <w:vAlign w:val="bottom"/>
          </w:tcPr>
          <w:p>
            <w:pPr>
              <w:jc w:val="right"/>
              <w:ind w:right="14"/>
              <w:spacing w:after="0"/>
              <w:rPr>
                <w:sz w:val="20"/>
                <w:szCs w:val="20"/>
                <w:color w:val="auto"/>
              </w:rPr>
            </w:pPr>
            <w:r>
              <w:rPr>
                <w:rFonts w:ascii="Arial" w:cs="Arial" w:eastAsia="Arial" w:hAnsi="Arial"/>
                <w:sz w:val="17"/>
                <w:szCs w:val="17"/>
                <w:color w:val="auto"/>
              </w:rPr>
              <w:t>Machine Clothing</w:t>
            </w:r>
          </w:p>
        </w:tc>
        <w:tc>
          <w:tcPr>
            <w:tcW w:w="1240" w:type="dxa"/>
            <w:vAlign w:val="bottom"/>
          </w:tcPr>
          <w:p>
            <w:pPr>
              <w:jc w:val="center"/>
              <w:ind w:right="54"/>
              <w:spacing w:after="0"/>
              <w:rPr>
                <w:sz w:val="20"/>
                <w:szCs w:val="20"/>
                <w:color w:val="auto"/>
              </w:rPr>
            </w:pPr>
            <w:r>
              <w:rPr>
                <w:rFonts w:ascii="Arial" w:cs="Arial" w:eastAsia="Arial" w:hAnsi="Arial"/>
                <w:sz w:val="17"/>
                <w:szCs w:val="17"/>
                <w:color w:val="auto"/>
              </w:rPr>
              <w:t>Composites</w:t>
            </w:r>
          </w:p>
        </w:tc>
        <w:tc>
          <w:tcPr>
            <w:tcW w:w="1520" w:type="dxa"/>
            <w:vAlign w:val="bottom"/>
          </w:tcPr>
          <w:p>
            <w:pPr>
              <w:jc w:val="center"/>
              <w:ind w:right="74"/>
              <w:spacing w:after="0"/>
              <w:rPr>
                <w:sz w:val="20"/>
                <w:szCs w:val="20"/>
                <w:color w:val="auto"/>
              </w:rPr>
            </w:pPr>
            <w:r>
              <w:rPr>
                <w:rFonts w:ascii="Arial" w:cs="Arial" w:eastAsia="Arial" w:hAnsi="Arial"/>
                <w:sz w:val="17"/>
                <w:szCs w:val="17"/>
                <w:color w:val="auto"/>
              </w:rPr>
              <w:t>interest effects</w:t>
            </w: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Company</w:t>
            </w:r>
          </w:p>
        </w:tc>
        <w:tc>
          <w:tcPr>
            <w:tcW w:w="0" w:type="dxa"/>
            <w:vAlign w:val="bottom"/>
          </w:tcPr>
          <w:p>
            <w:pPr>
              <w:spacing w:after="0"/>
              <w:rPr>
                <w:sz w:val="1"/>
                <w:szCs w:val="1"/>
                <w:color w:val="auto"/>
              </w:rPr>
            </w:pPr>
          </w:p>
        </w:tc>
      </w:tr>
      <w:tr>
        <w:trPr>
          <w:trHeight w:val="164"/>
        </w:trPr>
        <w:tc>
          <w:tcPr>
            <w:tcW w:w="6000" w:type="dxa"/>
            <w:vAlign w:val="bottom"/>
            <w:tcBorders>
              <w:top w:val="single" w:sz="8" w:color="auto"/>
            </w:tcBorders>
            <w:gridSpan w:val="2"/>
          </w:tcPr>
          <w:p>
            <w:pPr>
              <w:spacing w:after="0" w:line="163" w:lineRule="exact"/>
              <w:rPr>
                <w:sz w:val="20"/>
                <w:szCs w:val="20"/>
                <w:color w:val="auto"/>
              </w:rPr>
            </w:pPr>
            <w:r>
              <w:rPr>
                <w:rFonts w:ascii="Arial" w:cs="Arial" w:eastAsia="Arial" w:hAnsi="Arial"/>
                <w:sz w:val="17"/>
                <w:szCs w:val="17"/>
                <w:color w:val="auto"/>
              </w:rPr>
              <w:t>Net sales</w:t>
            </w:r>
          </w:p>
        </w:tc>
        <w:tc>
          <w:tcPr>
            <w:tcW w:w="16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$5,068</w:t>
            </w:r>
          </w:p>
        </w:tc>
        <w:tc>
          <w:tcPr>
            <w:tcW w:w="12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$2,966</w:t>
            </w:r>
          </w:p>
        </w:tc>
        <w:tc>
          <w:tcPr>
            <w:tcW w:w="15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 -</w:t>
            </w:r>
          </w:p>
        </w:tc>
        <w:tc>
          <w:tcPr>
            <w:tcW w:w="10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b w:val="1"/>
                <w:bCs w:val="1"/>
                <w:color w:val="auto"/>
              </w:rPr>
              <w:t>$8,034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Gross profit</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2,820</w:t>
            </w:r>
          </w:p>
        </w:tc>
        <w:tc>
          <w:tcPr>
            <w:tcW w:w="1240" w:type="dxa"/>
            <w:vAlign w:val="bottom"/>
          </w:tcPr>
          <w:p>
            <w:pPr>
              <w:jc w:val="right"/>
              <w:spacing w:after="0" w:line="194" w:lineRule="exact"/>
              <w:rPr>
                <w:sz w:val="20"/>
                <w:szCs w:val="20"/>
                <w:color w:val="auto"/>
              </w:rPr>
            </w:pPr>
            <w:r>
              <w:rPr>
                <w:rFonts w:ascii="Arial" w:cs="Arial" w:eastAsia="Arial" w:hAnsi="Arial"/>
                <w:sz w:val="17"/>
                <w:szCs w:val="17"/>
                <w:color w:val="auto"/>
              </w:rPr>
              <w:t>992</w:t>
            </w:r>
          </w:p>
        </w:tc>
        <w:tc>
          <w:tcPr>
            <w:tcW w:w="15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3,812</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Selling, technical, general and research expenses</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55</w:t>
            </w:r>
          </w:p>
        </w:tc>
        <w:tc>
          <w:tcPr>
            <w:tcW w:w="12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5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55</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Operating income and Income before income taxes</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2,765</w:t>
            </w:r>
          </w:p>
        </w:tc>
        <w:tc>
          <w:tcPr>
            <w:tcW w:w="1240" w:type="dxa"/>
            <w:vAlign w:val="bottom"/>
          </w:tcPr>
          <w:p>
            <w:pPr>
              <w:jc w:val="right"/>
              <w:spacing w:after="0" w:line="194" w:lineRule="exact"/>
              <w:rPr>
                <w:sz w:val="20"/>
                <w:szCs w:val="20"/>
                <w:color w:val="auto"/>
              </w:rPr>
            </w:pPr>
            <w:r>
              <w:rPr>
                <w:rFonts w:ascii="Arial" w:cs="Arial" w:eastAsia="Arial" w:hAnsi="Arial"/>
                <w:sz w:val="17"/>
                <w:szCs w:val="17"/>
                <w:color w:val="auto"/>
              </w:rPr>
              <w:t>992</w:t>
            </w:r>
          </w:p>
        </w:tc>
        <w:tc>
          <w:tcPr>
            <w:tcW w:w="15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3,757</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Income taxes</w:t>
            </w:r>
          </w:p>
        </w:tc>
        <w:tc>
          <w:tcPr>
            <w:tcW w:w="16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1,108</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1,108</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Net income</w:t>
            </w:r>
          </w:p>
        </w:tc>
        <w:tc>
          <w:tcPr>
            <w:tcW w:w="1640" w:type="dxa"/>
            <w:vAlign w:val="bottom"/>
          </w:tcPr>
          <w:p>
            <w:pPr>
              <w:jc w:val="right"/>
              <w:spacing w:after="0" w:line="194" w:lineRule="exact"/>
              <w:rPr>
                <w:sz w:val="20"/>
                <w:szCs w:val="20"/>
                <w:color w:val="auto"/>
              </w:rPr>
            </w:pPr>
            <w:r>
              <w:rPr>
                <w:rFonts w:ascii="Arial" w:cs="Arial" w:eastAsia="Arial" w:hAnsi="Arial"/>
                <w:sz w:val="17"/>
                <w:szCs w:val="17"/>
                <w:color w:val="auto"/>
              </w:rPr>
              <w:t>2,765</w:t>
            </w:r>
          </w:p>
        </w:tc>
        <w:tc>
          <w:tcPr>
            <w:tcW w:w="1240" w:type="dxa"/>
            <w:vAlign w:val="bottom"/>
          </w:tcPr>
          <w:p>
            <w:pPr>
              <w:jc w:val="right"/>
              <w:spacing w:after="0" w:line="194" w:lineRule="exact"/>
              <w:rPr>
                <w:sz w:val="20"/>
                <w:szCs w:val="20"/>
                <w:color w:val="auto"/>
              </w:rPr>
            </w:pPr>
            <w:r>
              <w:rPr>
                <w:rFonts w:ascii="Arial" w:cs="Arial" w:eastAsia="Arial" w:hAnsi="Arial"/>
                <w:sz w:val="17"/>
                <w:szCs w:val="17"/>
                <w:color w:val="auto"/>
              </w:rPr>
              <w:t>992</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(1,108)</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2,649</w:t>
            </w:r>
          </w:p>
        </w:tc>
        <w:tc>
          <w:tcPr>
            <w:tcW w:w="0" w:type="dxa"/>
            <w:vAlign w:val="bottom"/>
          </w:tcPr>
          <w:p>
            <w:pPr>
              <w:spacing w:after="0"/>
              <w:rPr>
                <w:sz w:val="1"/>
                <w:szCs w:val="1"/>
                <w:color w:val="auto"/>
              </w:rPr>
            </w:pPr>
          </w:p>
        </w:tc>
      </w:tr>
      <w:tr>
        <w:trPr>
          <w:trHeight w:val="194"/>
        </w:trPr>
        <w:tc>
          <w:tcPr>
            <w:tcW w:w="6000" w:type="dxa"/>
            <w:vAlign w:val="bottom"/>
            <w:gridSpan w:val="2"/>
          </w:tcPr>
          <w:p>
            <w:pPr>
              <w:spacing w:after="0" w:line="194" w:lineRule="exact"/>
              <w:rPr>
                <w:sz w:val="20"/>
                <w:szCs w:val="20"/>
                <w:color w:val="auto"/>
              </w:rPr>
            </w:pPr>
            <w:r>
              <w:rPr>
                <w:rFonts w:ascii="Arial" w:cs="Arial" w:eastAsia="Arial" w:hAnsi="Arial"/>
                <w:sz w:val="17"/>
                <w:szCs w:val="17"/>
                <w:color w:val="auto"/>
              </w:rPr>
              <w:t>Net income attributable to the noncontrolling interest in ASC</w:t>
            </w:r>
          </w:p>
        </w:tc>
        <w:tc>
          <w:tcPr>
            <w:tcW w:w="16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84</w:t>
            </w:r>
          </w:p>
        </w:tc>
        <w:tc>
          <w:tcPr>
            <w:tcW w:w="1040" w:type="dxa"/>
            <w:vAlign w:val="bottom"/>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84</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 income attributable to the Company</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($1,192)</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$2,565</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Net sales by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23"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390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gridSpan w:val="2"/>
          </w:tcPr>
          <w:p>
            <w:pPr>
              <w:jc w:val="right"/>
              <w:ind w:right="514"/>
              <w:spacing w:after="0" w:line="184" w:lineRule="exact"/>
              <w:rPr>
                <w:sz w:val="20"/>
                <w:szCs w:val="20"/>
                <w:color w:val="auto"/>
              </w:rPr>
            </w:pPr>
            <w:r>
              <w:rPr>
                <w:rFonts w:ascii="Arial" w:cs="Arial" w:eastAsia="Arial" w:hAnsi="Arial"/>
                <w:sz w:val="17"/>
                <w:szCs w:val="17"/>
                <w:b w:val="1"/>
                <w:bCs w:val="1"/>
                <w:color w:val="auto"/>
              </w:rPr>
              <w:t>Three months ended</w:t>
            </w:r>
          </w:p>
        </w:tc>
        <w:tc>
          <w:tcPr>
            <w:tcW w:w="9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Six months ended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9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300" w:type="dxa"/>
            <w:vAlign w:val="bottom"/>
            <w:vMerge w:val="restart"/>
          </w:tcPr>
          <w:p>
            <w:pPr>
              <w:jc w:val="right"/>
              <w:ind w:right="754"/>
              <w:spacing w:after="0"/>
              <w:rPr>
                <w:sz w:val="20"/>
                <w:szCs w:val="20"/>
                <w:color w:val="auto"/>
              </w:rPr>
            </w:pPr>
            <w:r>
              <w:rPr>
                <w:rFonts w:ascii="Arial" w:cs="Arial" w:eastAsia="Arial" w:hAnsi="Arial"/>
                <w:sz w:val="17"/>
                <w:szCs w:val="17"/>
                <w:b w:val="1"/>
                <w:bCs w:val="1"/>
                <w:color w:val="auto"/>
              </w:rPr>
              <w:t>2018</w:t>
            </w:r>
          </w:p>
        </w:tc>
        <w:tc>
          <w:tcPr>
            <w:tcW w:w="102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920" w:type="dxa"/>
            <w:vAlign w:val="bottom"/>
          </w:tcPr>
          <w:p>
            <w:pPr>
              <w:jc w:val="right"/>
              <w:ind w:right="354"/>
              <w:spacing w:after="0" w:line="185" w:lineRule="exact"/>
              <w:rPr>
                <w:sz w:val="20"/>
                <w:szCs w:val="20"/>
                <w:color w:val="auto"/>
              </w:rPr>
            </w:pPr>
            <w:r>
              <w:rPr>
                <w:rFonts w:ascii="Arial" w:cs="Arial" w:eastAsia="Arial" w:hAnsi="Arial"/>
                <w:sz w:val="17"/>
                <w:szCs w:val="17"/>
                <w:color w:val="auto"/>
              </w:rPr>
              <w:t>%</w:t>
            </w:r>
          </w:p>
        </w:tc>
        <w:tc>
          <w:tcPr>
            <w:tcW w:w="1520" w:type="dxa"/>
            <w:vAlign w:val="bottom"/>
            <w:vMerge w:val="restart"/>
          </w:tcPr>
          <w:p>
            <w:pPr>
              <w:jc w:val="right"/>
              <w:ind w:right="674"/>
              <w:spacing w:after="0"/>
              <w:rPr>
                <w:sz w:val="20"/>
                <w:szCs w:val="20"/>
                <w:color w:val="auto"/>
              </w:rPr>
            </w:pPr>
            <w:r>
              <w:rPr>
                <w:rFonts w:ascii="Arial" w:cs="Arial" w:eastAsia="Arial" w:hAnsi="Arial"/>
                <w:sz w:val="17"/>
                <w:szCs w:val="17"/>
                <w:b w:val="1"/>
                <w:bCs w:val="1"/>
                <w:color w:val="auto"/>
              </w:rPr>
              <w:t>2018</w:t>
            </w:r>
          </w:p>
        </w:tc>
        <w:tc>
          <w:tcPr>
            <w:tcW w:w="88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2017</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3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Change</w:t>
            </w:r>
          </w:p>
        </w:tc>
        <w:tc>
          <w:tcPr>
            <w:tcW w:w="15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 Change</w:t>
            </w:r>
          </w:p>
        </w:tc>
        <w:tc>
          <w:tcPr>
            <w:tcW w:w="0" w:type="dxa"/>
            <w:vAlign w:val="bottom"/>
          </w:tcPr>
          <w:p>
            <w:pPr>
              <w:spacing w:after="0"/>
              <w:rPr>
                <w:sz w:val="1"/>
                <w:szCs w:val="1"/>
                <w:color w:val="auto"/>
              </w:rPr>
            </w:pPr>
          </w:p>
        </w:tc>
      </w:tr>
      <w:tr>
        <w:trPr>
          <w:trHeight w:val="164"/>
        </w:trPr>
        <w:tc>
          <w:tcPr>
            <w:tcW w:w="3900" w:type="dxa"/>
            <w:vAlign w:val="bottom"/>
            <w:tcBorders>
              <w:top w:val="single" w:sz="8" w:color="auto"/>
            </w:tcBorders>
          </w:tcPr>
          <w:p>
            <w:pPr>
              <w:spacing w:after="0" w:line="163" w:lineRule="exact"/>
              <w:rPr>
                <w:sz w:val="20"/>
                <w:szCs w:val="20"/>
                <w:color w:val="auto"/>
              </w:rPr>
            </w:pPr>
            <w:r>
              <w:rPr>
                <w:rFonts w:ascii="Arial" w:cs="Arial" w:eastAsia="Arial" w:hAnsi="Arial"/>
                <w:sz w:val="17"/>
                <w:szCs w:val="17"/>
                <w:color w:val="auto"/>
              </w:rPr>
              <w:t>Machine Clothing</w:t>
            </w:r>
          </w:p>
        </w:tc>
        <w:tc>
          <w:tcPr>
            <w:tcW w:w="2300" w:type="dxa"/>
            <w:vAlign w:val="bottom"/>
            <w:tcBorders>
              <w:top w:val="single" w:sz="8" w:color="auto"/>
            </w:tcBorders>
          </w:tcPr>
          <w:p>
            <w:pPr>
              <w:jc w:val="right"/>
              <w:ind w:right="274"/>
              <w:spacing w:after="0" w:line="163" w:lineRule="exact"/>
              <w:rPr>
                <w:sz w:val="20"/>
                <w:szCs w:val="20"/>
                <w:color w:val="auto"/>
              </w:rPr>
            </w:pPr>
            <w:r>
              <w:rPr>
                <w:rFonts w:ascii="Arial" w:cs="Arial" w:eastAsia="Arial" w:hAnsi="Arial"/>
                <w:sz w:val="17"/>
                <w:szCs w:val="17"/>
                <w:b w:val="1"/>
                <w:bCs w:val="1"/>
                <w:color w:val="auto"/>
              </w:rPr>
              <w:t>$162,635</w:t>
            </w:r>
          </w:p>
        </w:tc>
        <w:tc>
          <w:tcPr>
            <w:tcW w:w="1020" w:type="dxa"/>
            <w:vAlign w:val="bottom"/>
            <w:tcBorders>
              <w:top w:val="single" w:sz="8" w:color="auto"/>
            </w:tcBorders>
          </w:tcPr>
          <w:p>
            <w:pPr>
              <w:jc w:val="right"/>
              <w:ind w:right="14"/>
              <w:spacing w:after="0" w:line="163" w:lineRule="exact"/>
              <w:rPr>
                <w:sz w:val="20"/>
                <w:szCs w:val="20"/>
                <w:color w:val="auto"/>
              </w:rPr>
            </w:pPr>
            <w:r>
              <w:rPr>
                <w:rFonts w:ascii="Arial" w:cs="Arial" w:eastAsia="Arial" w:hAnsi="Arial"/>
                <w:sz w:val="17"/>
                <w:szCs w:val="17"/>
                <w:color w:val="auto"/>
              </w:rPr>
              <w:t>$146,572</w:t>
            </w:r>
          </w:p>
        </w:tc>
        <w:tc>
          <w:tcPr>
            <w:tcW w:w="9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11.0%</w:t>
            </w:r>
          </w:p>
        </w:tc>
        <w:tc>
          <w:tcPr>
            <w:tcW w:w="1520" w:type="dxa"/>
            <w:vAlign w:val="bottom"/>
            <w:tcBorders>
              <w:top w:val="single" w:sz="8" w:color="auto"/>
            </w:tcBorders>
          </w:tcPr>
          <w:p>
            <w:pPr>
              <w:jc w:val="right"/>
              <w:ind w:right="314"/>
              <w:spacing w:after="0" w:line="163" w:lineRule="exact"/>
              <w:rPr>
                <w:sz w:val="20"/>
                <w:szCs w:val="20"/>
                <w:color w:val="auto"/>
              </w:rPr>
            </w:pPr>
            <w:r>
              <w:rPr>
                <w:rFonts w:ascii="Arial" w:cs="Arial" w:eastAsia="Arial" w:hAnsi="Arial"/>
                <w:sz w:val="17"/>
                <w:szCs w:val="17"/>
                <w:b w:val="1"/>
                <w:bCs w:val="1"/>
                <w:color w:val="auto"/>
              </w:rPr>
              <w:t>$310,786</w:t>
            </w:r>
          </w:p>
        </w:tc>
        <w:tc>
          <w:tcPr>
            <w:tcW w:w="8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$289,399</w:t>
            </w:r>
          </w:p>
        </w:tc>
        <w:tc>
          <w:tcPr>
            <w:tcW w:w="8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Albany Engineered Composites</w:t>
            </w:r>
          </w:p>
        </w:tc>
        <w:tc>
          <w:tcPr>
            <w:tcW w:w="23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93,590</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68,999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1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175,420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125,449</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2300" w:type="dxa"/>
            <w:vAlign w:val="bottom"/>
            <w:tcBorders>
              <w:bottom w:val="single" w:sz="8" w:color="auto"/>
            </w:tcBorders>
          </w:tcPr>
          <w:p>
            <w:pPr>
              <w:jc w:val="right"/>
              <w:ind w:right="274"/>
              <w:spacing w:after="0" w:line="186" w:lineRule="exact"/>
              <w:rPr>
                <w:sz w:val="20"/>
                <w:szCs w:val="20"/>
                <w:color w:val="auto"/>
              </w:rPr>
            </w:pPr>
            <w:r>
              <w:rPr>
                <w:rFonts w:ascii="Arial" w:cs="Arial" w:eastAsia="Arial" w:hAnsi="Arial"/>
                <w:sz w:val="17"/>
                <w:szCs w:val="17"/>
                <w:b w:val="1"/>
                <w:bCs w:val="1"/>
                <w:color w:val="auto"/>
              </w:rPr>
              <w:t>$256,225</w:t>
            </w:r>
          </w:p>
        </w:tc>
        <w:tc>
          <w:tcPr>
            <w:tcW w:w="102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$215,571</w:t>
            </w:r>
          </w:p>
        </w:tc>
        <w:tc>
          <w:tcPr>
            <w:tcW w:w="9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18.9%</w:t>
            </w:r>
          </w:p>
        </w:tc>
        <w:tc>
          <w:tcPr>
            <w:tcW w:w="1520" w:type="dxa"/>
            <w:vAlign w:val="bottom"/>
            <w:tcBorders>
              <w:bottom w:val="single" w:sz="8" w:color="auto"/>
            </w:tcBorders>
          </w:tcPr>
          <w:p>
            <w:pPr>
              <w:jc w:val="right"/>
              <w:ind w:right="314"/>
              <w:spacing w:after="0" w:line="186" w:lineRule="exact"/>
              <w:rPr>
                <w:sz w:val="20"/>
                <w:szCs w:val="20"/>
                <w:color w:val="auto"/>
              </w:rPr>
            </w:pPr>
            <w:r>
              <w:rPr>
                <w:rFonts w:ascii="Arial" w:cs="Arial" w:eastAsia="Arial" w:hAnsi="Arial"/>
                <w:sz w:val="17"/>
                <w:szCs w:val="17"/>
                <w:b w:val="1"/>
                <w:bCs w:val="1"/>
                <w:color w:val="auto"/>
              </w:rPr>
              <w:t>$486,206</w:t>
            </w:r>
          </w:p>
        </w:tc>
        <w:tc>
          <w:tcPr>
            <w:tcW w:w="8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$414,848</w:t>
            </w:r>
          </w:p>
        </w:tc>
        <w:tc>
          <w:tcPr>
            <w:tcW w:w="90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second-quarter and year to date 2018 Net sales, excluding the impact of ASC 606 and currency translation</w:t>
      </w:r>
    </w:p>
    <w:p>
      <w:pPr>
        <w:spacing w:after="0"/>
        <w:rPr>
          <w:sz w:val="20"/>
          <w:szCs w:val="20"/>
          <w:color w:val="auto"/>
        </w:rPr>
      </w:pPr>
      <w:r>
        <w:rPr>
          <w:rFonts w:ascii="Arial" w:cs="Arial" w:eastAsia="Arial" w:hAnsi="Arial"/>
          <w:sz w:val="17"/>
          <w:szCs w:val="17"/>
          <w:color w:val="auto"/>
        </w:rPr>
        <w:t>effects: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rPr>
              <w:t>Increase due to</w:t>
            </w:r>
          </w:p>
        </w:tc>
        <w:tc>
          <w:tcPr>
            <w:tcW w:w="1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changes in</w:t>
            </w:r>
          </w:p>
        </w:tc>
        <w:tc>
          <w:tcPr>
            <w:tcW w:w="136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Q2 2018 sales</w:t>
            </w:r>
          </w:p>
        </w:tc>
        <w:tc>
          <w:tcPr>
            <w:tcW w:w="1220" w:type="dxa"/>
            <w:vAlign w:val="bottom"/>
            <w:gridSpan w:val="2"/>
          </w:tcPr>
          <w:p>
            <w:pPr>
              <w:jc w:val="center"/>
              <w:ind w:right="60"/>
              <w:spacing w:after="0" w:line="194" w:lineRule="exact"/>
              <w:rPr>
                <w:sz w:val="20"/>
                <w:szCs w:val="20"/>
                <w:color w:val="auto"/>
              </w:rPr>
            </w:pPr>
            <w:r>
              <w:rPr>
                <w:rFonts w:ascii="Arial" w:cs="Arial" w:eastAsia="Arial" w:hAnsi="Arial"/>
                <w:sz w:val="17"/>
                <w:szCs w:val="17"/>
                <w:b w:val="1"/>
                <w:bCs w:val="1"/>
                <w:color w:val="auto"/>
              </w:rPr>
              <w:t>% Change</w:t>
            </w:r>
          </w:p>
        </w:tc>
      </w:tr>
      <w:tr>
        <w:trPr>
          <w:trHeight w:val="194"/>
        </w:trPr>
        <w:tc>
          <w:tcPr>
            <w:tcW w:w="3740" w:type="dxa"/>
            <w:vAlign w:val="bottom"/>
          </w:tcPr>
          <w:p>
            <w:pPr>
              <w:spacing w:after="0"/>
              <w:rPr>
                <w:sz w:val="16"/>
                <w:szCs w:val="16"/>
                <w:color w:val="auto"/>
              </w:rPr>
            </w:pPr>
          </w:p>
        </w:tc>
        <w:tc>
          <w:tcPr>
            <w:tcW w:w="2380" w:type="dxa"/>
            <w:vAlign w:val="bottom"/>
          </w:tcPr>
          <w:p>
            <w:pPr>
              <w:jc w:val="center"/>
              <w:ind w:left="694"/>
              <w:spacing w:after="0" w:line="194" w:lineRule="exact"/>
              <w:rPr>
                <w:sz w:val="20"/>
                <w:szCs w:val="20"/>
                <w:color w:val="auto"/>
              </w:rPr>
            </w:pPr>
            <w:r>
              <w:rPr>
                <w:rFonts w:ascii="Arial" w:cs="Arial" w:eastAsia="Arial" w:hAnsi="Arial"/>
                <w:sz w:val="17"/>
                <w:szCs w:val="17"/>
                <w:b w:val="1"/>
                <w:bCs w:val="1"/>
                <w:color w:val="auto"/>
              </w:rPr>
              <w:t>Net sales as</w:t>
            </w:r>
          </w:p>
        </w:tc>
        <w:tc>
          <w:tcPr>
            <w:tcW w:w="124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Increase due</w:t>
            </w:r>
          </w:p>
        </w:tc>
        <w:tc>
          <w:tcPr>
            <w:tcW w:w="150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currency</w:t>
            </w:r>
          </w:p>
        </w:tc>
        <w:tc>
          <w:tcPr>
            <w:tcW w:w="136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on same basis</w:t>
            </w:r>
          </w:p>
        </w:tc>
        <w:tc>
          <w:tcPr>
            <w:tcW w:w="1220" w:type="dxa"/>
            <w:vAlign w:val="bottom"/>
            <w:gridSpan w:val="2"/>
          </w:tcPr>
          <w:p>
            <w:pPr>
              <w:jc w:val="center"/>
              <w:ind w:right="60"/>
              <w:spacing w:after="0" w:line="194" w:lineRule="exact"/>
              <w:rPr>
                <w:sz w:val="20"/>
                <w:szCs w:val="20"/>
                <w:color w:val="auto"/>
              </w:rPr>
            </w:pPr>
            <w:r>
              <w:rPr>
                <w:rFonts w:ascii="Arial" w:cs="Arial" w:eastAsia="Arial" w:hAnsi="Arial"/>
                <w:sz w:val="17"/>
                <w:szCs w:val="17"/>
                <w:b w:val="1"/>
                <w:bCs w:val="1"/>
                <w:color w:val="auto"/>
              </w:rPr>
              <w:t>compared to</w:t>
            </w:r>
          </w:p>
        </w:tc>
      </w:tr>
      <w:tr>
        <w:trPr>
          <w:trHeight w:val="216"/>
        </w:trPr>
        <w:tc>
          <w:tcPr>
            <w:tcW w:w="3740" w:type="dxa"/>
            <w:vAlign w:val="bottom"/>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380" w:type="dxa"/>
            <w:vAlign w:val="bottom"/>
          </w:tcPr>
          <w:p>
            <w:pPr>
              <w:jc w:val="center"/>
              <w:ind w:left="714"/>
              <w:spacing w:after="0"/>
              <w:rPr>
                <w:sz w:val="20"/>
                <w:szCs w:val="20"/>
                <w:color w:val="auto"/>
              </w:rPr>
            </w:pPr>
            <w:r>
              <w:rPr>
                <w:rFonts w:ascii="Arial" w:cs="Arial" w:eastAsia="Arial" w:hAnsi="Arial"/>
                <w:sz w:val="17"/>
                <w:szCs w:val="17"/>
                <w:b w:val="1"/>
                <w:bCs w:val="1"/>
                <w:color w:val="auto"/>
              </w:rPr>
              <w:t>reported, Q2 2018</w:t>
            </w:r>
          </w:p>
        </w:tc>
        <w:tc>
          <w:tcPr>
            <w:tcW w:w="1240" w:type="dxa"/>
            <w:vAlign w:val="bottom"/>
          </w:tcPr>
          <w:p>
            <w:pPr>
              <w:jc w:val="center"/>
              <w:ind w:right="14"/>
              <w:spacing w:after="0"/>
              <w:rPr>
                <w:sz w:val="20"/>
                <w:szCs w:val="20"/>
                <w:color w:val="auto"/>
              </w:rPr>
            </w:pPr>
            <w:r>
              <w:rPr>
                <w:rFonts w:ascii="Arial" w:cs="Arial" w:eastAsia="Arial" w:hAnsi="Arial"/>
                <w:sz w:val="17"/>
                <w:szCs w:val="17"/>
                <w:b w:val="1"/>
                <w:bCs w:val="1"/>
                <w:color w:val="auto"/>
              </w:rPr>
              <w:t>to ASC 606</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translation rates</w:t>
            </w:r>
          </w:p>
        </w:tc>
        <w:tc>
          <w:tcPr>
            <w:tcW w:w="1360" w:type="dxa"/>
            <w:vAlign w:val="bottom"/>
          </w:tcPr>
          <w:p>
            <w:pPr>
              <w:jc w:val="center"/>
              <w:ind w:right="14"/>
              <w:spacing w:after="0"/>
              <w:rPr>
                <w:sz w:val="20"/>
                <w:szCs w:val="20"/>
                <w:color w:val="auto"/>
              </w:rPr>
            </w:pPr>
            <w:r>
              <w:rPr>
                <w:rFonts w:ascii="Arial" w:cs="Arial" w:eastAsia="Arial" w:hAnsi="Arial"/>
                <w:sz w:val="17"/>
                <w:szCs w:val="17"/>
                <w:b w:val="1"/>
                <w:bCs w:val="1"/>
                <w:color w:val="auto"/>
              </w:rPr>
              <w:t>as Q2 2017</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Q2 2017</w:t>
            </w:r>
          </w:p>
        </w:tc>
      </w:tr>
      <w:tr>
        <w:trPr>
          <w:trHeight w:val="164"/>
        </w:trPr>
        <w:tc>
          <w:tcPr>
            <w:tcW w:w="3740" w:type="dxa"/>
            <w:vAlign w:val="bottom"/>
            <w:tcBorders>
              <w:top w:val="single" w:sz="8" w:color="auto"/>
            </w:tcBorders>
          </w:tcPr>
          <w:p>
            <w:pPr>
              <w:spacing w:after="0" w:line="163" w:lineRule="exact"/>
              <w:rPr>
                <w:sz w:val="20"/>
                <w:szCs w:val="20"/>
                <w:color w:val="auto"/>
              </w:rPr>
            </w:pPr>
            <w:r>
              <w:rPr>
                <w:rFonts w:ascii="Arial" w:cs="Arial" w:eastAsia="Arial" w:hAnsi="Arial"/>
                <w:sz w:val="17"/>
                <w:szCs w:val="17"/>
                <w:color w:val="auto"/>
              </w:rPr>
              <w:t>Machine Clothing</w:t>
            </w:r>
          </w:p>
        </w:tc>
        <w:tc>
          <w:tcPr>
            <w:tcW w:w="23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b w:val="1"/>
                <w:bCs w:val="1"/>
                <w:color w:val="auto"/>
              </w:rPr>
              <w:t>$162,635</w:t>
            </w:r>
          </w:p>
        </w:tc>
        <w:tc>
          <w:tcPr>
            <w:tcW w:w="12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$857</w:t>
            </w:r>
          </w:p>
        </w:tc>
        <w:tc>
          <w:tcPr>
            <w:tcW w:w="15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$3,145</w:t>
            </w:r>
          </w:p>
        </w:tc>
        <w:tc>
          <w:tcPr>
            <w:tcW w:w="13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$158,633</w:t>
            </w:r>
          </w:p>
        </w:tc>
        <w:tc>
          <w:tcPr>
            <w:tcW w:w="12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4"/>
                <w:szCs w:val="14"/>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Albany Engineered Composites</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93,590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93,632</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35.7%</w:t>
            </w:r>
          </w:p>
        </w:tc>
      </w:tr>
      <w:tr>
        <w:trPr>
          <w:trHeight w:val="186"/>
        </w:trPr>
        <w:tc>
          <w:tcPr>
            <w:tcW w:w="3740" w:type="dxa"/>
            <w:vAlign w:val="bottom"/>
          </w:tcPr>
          <w:p>
            <w:pPr>
              <w:spacing w:after="0" w:line="186" w:lineRule="exact"/>
              <w:rPr>
                <w:sz w:val="20"/>
                <w:szCs w:val="20"/>
                <w:color w:val="auto"/>
              </w:rPr>
            </w:pPr>
            <w:r>
              <w:rPr>
                <w:rFonts w:ascii="Arial" w:cs="Arial" w:eastAsia="Arial" w:hAnsi="Arial"/>
                <w:sz w:val="17"/>
                <w:szCs w:val="17"/>
                <w:color w:val="auto"/>
              </w:rPr>
              <w:t>Total</w:t>
            </w:r>
          </w:p>
        </w:tc>
        <w:tc>
          <w:tcPr>
            <w:tcW w:w="23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$256,225</w:t>
            </w: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($400)</w:t>
            </w:r>
          </w:p>
        </w:tc>
        <w:tc>
          <w:tcPr>
            <w:tcW w:w="1500" w:type="dxa"/>
            <w:vAlign w:val="bottom"/>
          </w:tcPr>
          <w:p>
            <w:pPr>
              <w:jc w:val="right"/>
              <w:spacing w:after="0" w:line="186" w:lineRule="exact"/>
              <w:rPr>
                <w:sz w:val="20"/>
                <w:szCs w:val="20"/>
                <w:color w:val="auto"/>
              </w:rPr>
            </w:pPr>
            <w:r>
              <w:rPr>
                <w:rFonts w:ascii="Arial" w:cs="Arial" w:eastAsia="Arial" w:hAnsi="Arial"/>
                <w:sz w:val="17"/>
                <w:szCs w:val="17"/>
                <w:color w:val="auto"/>
              </w:rPr>
              <w:t>$4,360</w:t>
            </w:r>
          </w:p>
        </w:tc>
        <w:tc>
          <w:tcPr>
            <w:tcW w:w="1360" w:type="dxa"/>
            <w:vAlign w:val="bottom"/>
          </w:tcPr>
          <w:p>
            <w:pPr>
              <w:jc w:val="right"/>
              <w:spacing w:after="0" w:line="186" w:lineRule="exact"/>
              <w:rPr>
                <w:sz w:val="20"/>
                <w:szCs w:val="20"/>
                <w:color w:val="auto"/>
              </w:rPr>
            </w:pPr>
            <w:r>
              <w:rPr>
                <w:rFonts w:ascii="Arial" w:cs="Arial" w:eastAsia="Arial" w:hAnsi="Arial"/>
                <w:sz w:val="17"/>
                <w:szCs w:val="17"/>
                <w:color w:val="auto"/>
              </w:rPr>
              <w:t>$252,265</w:t>
            </w:r>
          </w:p>
        </w:tc>
        <w:tc>
          <w:tcPr>
            <w:tcW w:w="12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17.0%</w:t>
            </w:r>
          </w:p>
        </w:tc>
      </w:tr>
      <w:tr>
        <w:trPr>
          <w:trHeight w:val="561"/>
        </w:trPr>
        <w:tc>
          <w:tcPr>
            <w:tcW w:w="374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rPr>
              <w:t>Increase due to</w:t>
            </w:r>
          </w:p>
        </w:tc>
        <w:tc>
          <w:tcPr>
            <w:tcW w:w="1360" w:type="dxa"/>
            <w:vAlign w:val="bottom"/>
          </w:tcPr>
          <w:p>
            <w:pPr>
              <w:jc w:val="center"/>
              <w:ind w:right="14"/>
              <w:spacing w:after="0" w:line="163" w:lineRule="exact"/>
              <w:rPr>
                <w:sz w:val="20"/>
                <w:szCs w:val="20"/>
                <w:color w:val="auto"/>
              </w:rPr>
            </w:pPr>
            <w:r>
              <w:rPr>
                <w:rFonts w:ascii="Arial" w:cs="Arial" w:eastAsia="Arial" w:hAnsi="Arial"/>
                <w:sz w:val="17"/>
                <w:szCs w:val="17"/>
                <w:b w:val="1"/>
                <w:bCs w:val="1"/>
                <w:color w:val="auto"/>
              </w:rPr>
              <w:t>Year to date</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3740" w:type="dxa"/>
            <w:vAlign w:val="bottom"/>
          </w:tcPr>
          <w:p>
            <w:pPr>
              <w:spacing w:after="0"/>
              <w:rPr>
                <w:sz w:val="16"/>
                <w:szCs w:val="16"/>
                <w:color w:val="auto"/>
              </w:rPr>
            </w:pPr>
          </w:p>
        </w:tc>
        <w:tc>
          <w:tcPr>
            <w:tcW w:w="2380" w:type="dxa"/>
            <w:vAlign w:val="bottom"/>
          </w:tcPr>
          <w:p>
            <w:pPr>
              <w:jc w:val="center"/>
              <w:ind w:left="694"/>
              <w:spacing w:after="0" w:line="194" w:lineRule="exact"/>
              <w:rPr>
                <w:sz w:val="20"/>
                <w:szCs w:val="20"/>
                <w:color w:val="auto"/>
              </w:rPr>
            </w:pPr>
            <w:r>
              <w:rPr>
                <w:rFonts w:ascii="Arial" w:cs="Arial" w:eastAsia="Arial" w:hAnsi="Arial"/>
                <w:sz w:val="17"/>
                <w:szCs w:val="17"/>
                <w:b w:val="1"/>
                <w:bCs w:val="1"/>
                <w:color w:val="auto"/>
              </w:rPr>
              <w:t>Net sales as</w:t>
            </w:r>
          </w:p>
        </w:tc>
        <w:tc>
          <w:tcPr>
            <w:tcW w:w="1240" w:type="dxa"/>
            <w:vAlign w:val="bottom"/>
          </w:tcPr>
          <w:p>
            <w:pPr>
              <w:spacing w:after="0"/>
              <w:rPr>
                <w:sz w:val="16"/>
                <w:szCs w:val="16"/>
                <w:color w:val="auto"/>
              </w:rPr>
            </w:pPr>
          </w:p>
        </w:tc>
        <w:tc>
          <w:tcPr>
            <w:tcW w:w="150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changes in</w:t>
            </w:r>
          </w:p>
        </w:tc>
        <w:tc>
          <w:tcPr>
            <w:tcW w:w="1360" w:type="dxa"/>
            <w:vAlign w:val="bottom"/>
          </w:tcPr>
          <w:p>
            <w:pPr>
              <w:jc w:val="center"/>
              <w:ind w:right="34"/>
              <w:spacing w:after="0" w:line="194" w:lineRule="exact"/>
              <w:rPr>
                <w:sz w:val="20"/>
                <w:szCs w:val="20"/>
                <w:color w:val="auto"/>
              </w:rPr>
            </w:pPr>
            <w:r>
              <w:rPr>
                <w:rFonts w:ascii="Arial" w:cs="Arial" w:eastAsia="Arial" w:hAnsi="Arial"/>
                <w:sz w:val="17"/>
                <w:szCs w:val="17"/>
                <w:b w:val="1"/>
                <w:bCs w:val="1"/>
                <w:color w:val="auto"/>
              </w:rPr>
              <w:t>June 30, 2018</w:t>
            </w:r>
          </w:p>
        </w:tc>
        <w:tc>
          <w:tcPr>
            <w:tcW w:w="1220" w:type="dxa"/>
            <w:vAlign w:val="bottom"/>
            <w:gridSpan w:val="2"/>
          </w:tcPr>
          <w:p>
            <w:pPr>
              <w:jc w:val="center"/>
              <w:ind w:right="60"/>
              <w:spacing w:after="0" w:line="194" w:lineRule="exact"/>
              <w:rPr>
                <w:sz w:val="20"/>
                <w:szCs w:val="20"/>
                <w:color w:val="auto"/>
              </w:rPr>
            </w:pPr>
            <w:r>
              <w:rPr>
                <w:rFonts w:ascii="Arial" w:cs="Arial" w:eastAsia="Arial" w:hAnsi="Arial"/>
                <w:sz w:val="17"/>
                <w:szCs w:val="17"/>
                <w:b w:val="1"/>
                <w:bCs w:val="1"/>
                <w:color w:val="auto"/>
              </w:rPr>
              <w:t>% Change</w:t>
            </w:r>
          </w:p>
        </w:tc>
      </w:tr>
      <w:tr>
        <w:trPr>
          <w:trHeight w:val="194"/>
        </w:trPr>
        <w:tc>
          <w:tcPr>
            <w:tcW w:w="3740" w:type="dxa"/>
            <w:vAlign w:val="bottom"/>
          </w:tcPr>
          <w:p>
            <w:pPr>
              <w:spacing w:after="0"/>
              <w:rPr>
                <w:sz w:val="16"/>
                <w:szCs w:val="16"/>
                <w:color w:val="auto"/>
              </w:rPr>
            </w:pPr>
          </w:p>
        </w:tc>
        <w:tc>
          <w:tcPr>
            <w:tcW w:w="2380" w:type="dxa"/>
            <w:vAlign w:val="bottom"/>
          </w:tcPr>
          <w:p>
            <w:pPr>
              <w:jc w:val="center"/>
              <w:ind w:left="694"/>
              <w:spacing w:after="0" w:line="194" w:lineRule="exact"/>
              <w:rPr>
                <w:sz w:val="20"/>
                <w:szCs w:val="20"/>
                <w:color w:val="auto"/>
              </w:rPr>
            </w:pPr>
            <w:r>
              <w:rPr>
                <w:rFonts w:ascii="Arial" w:cs="Arial" w:eastAsia="Arial" w:hAnsi="Arial"/>
                <w:sz w:val="17"/>
                <w:szCs w:val="17"/>
                <w:b w:val="1"/>
                <w:bCs w:val="1"/>
                <w:color w:val="auto"/>
              </w:rPr>
              <w:t>reported, first six</w:t>
            </w:r>
          </w:p>
        </w:tc>
        <w:tc>
          <w:tcPr>
            <w:tcW w:w="124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Increase due</w:t>
            </w:r>
          </w:p>
        </w:tc>
        <w:tc>
          <w:tcPr>
            <w:tcW w:w="150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currency</w:t>
            </w:r>
          </w:p>
        </w:tc>
        <w:tc>
          <w:tcPr>
            <w:tcW w:w="136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rPr>
              <w:t>sales on same</w:t>
            </w:r>
          </w:p>
        </w:tc>
        <w:tc>
          <w:tcPr>
            <w:tcW w:w="1220" w:type="dxa"/>
            <w:vAlign w:val="bottom"/>
            <w:gridSpan w:val="2"/>
          </w:tcPr>
          <w:p>
            <w:pPr>
              <w:jc w:val="center"/>
              <w:ind w:right="60"/>
              <w:spacing w:after="0" w:line="194" w:lineRule="exact"/>
              <w:rPr>
                <w:sz w:val="20"/>
                <w:szCs w:val="20"/>
                <w:color w:val="auto"/>
              </w:rPr>
            </w:pPr>
            <w:r>
              <w:rPr>
                <w:rFonts w:ascii="Arial" w:cs="Arial" w:eastAsia="Arial" w:hAnsi="Arial"/>
                <w:sz w:val="17"/>
                <w:szCs w:val="17"/>
                <w:b w:val="1"/>
                <w:bCs w:val="1"/>
                <w:color w:val="auto"/>
              </w:rPr>
              <w:t>compared</w:t>
            </w:r>
          </w:p>
        </w:tc>
      </w:tr>
      <w:tr>
        <w:trPr>
          <w:trHeight w:val="216"/>
        </w:trPr>
        <w:tc>
          <w:tcPr>
            <w:tcW w:w="3740" w:type="dxa"/>
            <w:vAlign w:val="bottom"/>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380" w:type="dxa"/>
            <w:vAlign w:val="bottom"/>
          </w:tcPr>
          <w:p>
            <w:pPr>
              <w:jc w:val="center"/>
              <w:ind w:left="714"/>
              <w:spacing w:after="0"/>
              <w:rPr>
                <w:sz w:val="20"/>
                <w:szCs w:val="20"/>
                <w:color w:val="auto"/>
              </w:rPr>
            </w:pPr>
            <w:r>
              <w:rPr>
                <w:rFonts w:ascii="Arial" w:cs="Arial" w:eastAsia="Arial" w:hAnsi="Arial"/>
                <w:sz w:val="17"/>
                <w:szCs w:val="17"/>
                <w:b w:val="1"/>
                <w:bCs w:val="1"/>
                <w:color w:val="auto"/>
              </w:rPr>
              <w:t>months of 2018</w:t>
            </w:r>
          </w:p>
        </w:tc>
        <w:tc>
          <w:tcPr>
            <w:tcW w:w="1240" w:type="dxa"/>
            <w:vAlign w:val="bottom"/>
          </w:tcPr>
          <w:p>
            <w:pPr>
              <w:jc w:val="center"/>
              <w:ind w:right="14"/>
              <w:spacing w:after="0"/>
              <w:rPr>
                <w:sz w:val="20"/>
                <w:szCs w:val="20"/>
                <w:color w:val="auto"/>
              </w:rPr>
            </w:pPr>
            <w:r>
              <w:rPr>
                <w:rFonts w:ascii="Arial" w:cs="Arial" w:eastAsia="Arial" w:hAnsi="Arial"/>
                <w:sz w:val="17"/>
                <w:szCs w:val="17"/>
                <w:b w:val="1"/>
                <w:bCs w:val="1"/>
                <w:color w:val="auto"/>
              </w:rPr>
              <w:t>to ASC 606</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translation rates</w:t>
            </w:r>
          </w:p>
        </w:tc>
        <w:tc>
          <w:tcPr>
            <w:tcW w:w="1360" w:type="dxa"/>
            <w:vAlign w:val="bottom"/>
          </w:tcPr>
          <w:p>
            <w:pPr>
              <w:jc w:val="center"/>
              <w:ind w:right="14"/>
              <w:spacing w:after="0"/>
              <w:rPr>
                <w:sz w:val="20"/>
                <w:szCs w:val="20"/>
                <w:color w:val="auto"/>
              </w:rPr>
            </w:pPr>
            <w:r>
              <w:rPr>
                <w:rFonts w:ascii="Arial" w:cs="Arial" w:eastAsia="Arial" w:hAnsi="Arial"/>
                <w:sz w:val="17"/>
                <w:szCs w:val="17"/>
                <w:b w:val="1"/>
                <w:bCs w:val="1"/>
                <w:color w:val="auto"/>
              </w:rPr>
              <w:t>basis as 2017</w:t>
            </w:r>
          </w:p>
        </w:tc>
        <w:tc>
          <w:tcPr>
            <w:tcW w:w="122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rPr>
              <w:t>to 2017</w:t>
            </w:r>
          </w:p>
        </w:tc>
      </w:tr>
      <w:tr>
        <w:trPr>
          <w:trHeight w:val="164"/>
        </w:trPr>
        <w:tc>
          <w:tcPr>
            <w:tcW w:w="3740" w:type="dxa"/>
            <w:vAlign w:val="bottom"/>
            <w:tcBorders>
              <w:top w:val="single" w:sz="8" w:color="auto"/>
            </w:tcBorders>
          </w:tcPr>
          <w:p>
            <w:pPr>
              <w:spacing w:after="0" w:line="163" w:lineRule="exact"/>
              <w:rPr>
                <w:sz w:val="20"/>
                <w:szCs w:val="20"/>
                <w:color w:val="auto"/>
              </w:rPr>
            </w:pPr>
            <w:r>
              <w:rPr>
                <w:rFonts w:ascii="Arial" w:cs="Arial" w:eastAsia="Arial" w:hAnsi="Arial"/>
                <w:sz w:val="17"/>
                <w:szCs w:val="17"/>
                <w:color w:val="auto"/>
              </w:rPr>
              <w:t>Machine Clothing</w:t>
            </w:r>
          </w:p>
        </w:tc>
        <w:tc>
          <w:tcPr>
            <w:tcW w:w="23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b w:val="1"/>
                <w:bCs w:val="1"/>
                <w:color w:val="auto"/>
              </w:rPr>
              <w:t>$310,786</w:t>
            </w:r>
          </w:p>
        </w:tc>
        <w:tc>
          <w:tcPr>
            <w:tcW w:w="12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$5,068</w:t>
            </w:r>
          </w:p>
        </w:tc>
        <w:tc>
          <w:tcPr>
            <w:tcW w:w="15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$9,905</w:t>
            </w:r>
          </w:p>
        </w:tc>
        <w:tc>
          <w:tcPr>
            <w:tcW w:w="13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$295,813</w:t>
            </w:r>
          </w:p>
        </w:tc>
        <w:tc>
          <w:tcPr>
            <w:tcW w:w="12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2.2%</w:t>
            </w:r>
          </w:p>
        </w:tc>
        <w:tc>
          <w:tcPr>
            <w:tcW w:w="20" w:type="dxa"/>
            <w:vAlign w:val="bottom"/>
          </w:tcPr>
          <w:p>
            <w:pPr>
              <w:spacing w:after="0"/>
              <w:rPr>
                <w:sz w:val="14"/>
                <w:szCs w:val="14"/>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Albany Engineered Composites</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175,420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168,928</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34.7%</w:t>
            </w:r>
          </w:p>
        </w:tc>
      </w:tr>
      <w:tr>
        <w:trPr>
          <w:trHeight w:val="186"/>
        </w:trPr>
        <w:tc>
          <w:tcPr>
            <w:tcW w:w="374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23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$486,206</w:t>
            </w:r>
          </w:p>
        </w:tc>
        <w:tc>
          <w:tcPr>
            <w:tcW w:w="12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$8,034</w:t>
            </w:r>
          </w:p>
        </w:tc>
        <w:tc>
          <w:tcPr>
            <w:tcW w:w="15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$13,431</w:t>
            </w:r>
          </w:p>
        </w:tc>
        <w:tc>
          <w:tcPr>
            <w:tcW w:w="13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$464,741</w:t>
            </w:r>
          </w:p>
        </w:tc>
        <w:tc>
          <w:tcPr>
            <w:tcW w:w="122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12.0%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85" w:lineRule="exact"/>
        <w:rPr>
          <w:sz w:val="20"/>
          <w:szCs w:val="20"/>
          <w:color w:val="auto"/>
        </w:rPr>
      </w:pPr>
    </w:p>
    <w:p>
      <w:pPr>
        <w:ind w:left="760" w:right="100" w:hanging="382"/>
        <w:spacing w:after="0" w:line="250"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currency translation rates had the effect of increasing net sales by $4.4 million during the second quarter of 2018, as compared to 2017, principally due to the euro and Chinese renminbi strengthening in 2018.</w:t>
      </w:r>
    </w:p>
    <w:p>
      <w:pPr>
        <w:spacing w:after="0" w:line="4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w:t>
      </w:r>
    </w:p>
    <w:p>
      <w:pPr>
        <w:spacing w:after="0" w:line="88" w:lineRule="exact"/>
        <w:rPr>
          <w:rFonts w:ascii="Arial" w:cs="Arial" w:eastAsia="Arial" w:hAnsi="Arial"/>
          <w:sz w:val="17"/>
          <w:szCs w:val="17"/>
          <w:color w:val="auto"/>
        </w:rPr>
      </w:pPr>
    </w:p>
    <w:p>
      <w:pPr>
        <w:ind w:left="1120" w:right="440" w:hanging="211"/>
        <w:spacing w:after="0" w:line="250"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color w:val="auto"/>
        </w:rPr>
        <w:t>Net sales increased 16.8% compared to the same period in 2017. Excluding the additional effect of ASC 606, Net sales increased 17.0%.</w:t>
      </w:r>
    </w:p>
    <w:p>
      <w:pPr>
        <w:spacing w:after="0" w:line="44" w:lineRule="exact"/>
        <w:rPr>
          <w:rFonts w:ascii="Arial" w:cs="Arial" w:eastAsia="Arial" w:hAnsi="Arial"/>
          <w:sz w:val="17"/>
          <w:szCs w:val="17"/>
          <w:color w:val="auto"/>
        </w:rPr>
      </w:pPr>
    </w:p>
    <w:p>
      <w:pPr>
        <w:ind w:left="1120" w:right="400" w:hanging="211"/>
        <w:spacing w:after="0" w:line="250"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color w:val="auto"/>
        </w:rPr>
        <w:t>Net sales in MC increased 8.8%. Excluding the additional effect of adopting ASC 606, Net sales increased 8.2%, principally due to global growth in sales for packaging and tissue grades.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997" w:right="239" w:bottom="1440" w:gutter="0" w:footer="0" w:header="0"/>
        </w:sectPr>
      </w:pPr>
    </w:p>
    <w:bookmarkStart w:id="44" w:name="page45"/>
    <w:bookmarkEnd w:id="44"/>
    <w:p>
      <w:pPr>
        <w:ind w:left="1120" w:right="20" w:hanging="368"/>
        <w:spacing w:after="0" w:line="250"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sales in AEC increased 33.9%. Excluding the additional effect of adopting ASC 606, Net sales increased 35.7%, primarily driven by growth in the LEAP, Boeing 787, F-35, and CH-53K programs.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291" w:lineRule="exact"/>
        <w:rPr>
          <w:sz w:val="20"/>
          <w:szCs w:val="20"/>
          <w:color w:val="auto"/>
        </w:rPr>
      </w:pPr>
    </w:p>
    <w:p>
      <w:pPr>
        <w:ind w:left="760" w:right="20" w:hanging="382"/>
        <w:spacing w:after="0" w:line="250"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currency translation rates had the effect of increasing net sales by $13.4 million during the first six months of 2018, as compared to 2017, principally due to the euro and Chinese renminbi strengthening in 2018.</w:t>
      </w:r>
    </w:p>
    <w:p>
      <w:pPr>
        <w:spacing w:after="0" w:line="44" w:lineRule="exact"/>
        <w:rPr>
          <w:rFonts w:ascii="Arial" w:cs="Arial" w:eastAsia="Arial" w:hAnsi="Arial"/>
          <w:sz w:val="17"/>
          <w:szCs w:val="17"/>
          <w:color w:val="auto"/>
        </w:rPr>
      </w:pPr>
    </w:p>
    <w:p>
      <w:pPr>
        <w:ind w:left="760" w:hanging="382"/>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w:t>
      </w:r>
    </w:p>
    <w:p>
      <w:pPr>
        <w:spacing w:after="0" w:line="75" w:lineRule="exact"/>
        <w:rPr>
          <w:rFonts w:ascii="Arial" w:cs="Arial" w:eastAsia="Arial" w:hAnsi="Arial"/>
          <w:sz w:val="17"/>
          <w:szCs w:val="17"/>
          <w:color w:val="auto"/>
        </w:rPr>
      </w:pPr>
    </w:p>
    <w:p>
      <w:pPr>
        <w:ind w:left="1120" w:right="440" w:hanging="211"/>
        <w:spacing w:after="0" w:line="250" w:lineRule="auto"/>
        <w:tabs>
          <w:tab w:leader="none" w:pos="11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Net sales increased 14.0% compared to the same period in 2017. Excluding the additional effect of ASC 606, Net sales increased 12.0%.</w:t>
      </w:r>
    </w:p>
    <w:p>
      <w:pPr>
        <w:spacing w:after="0" w:line="57" w:lineRule="exact"/>
        <w:rPr>
          <w:rFonts w:ascii="Arial" w:cs="Arial" w:eastAsia="Arial" w:hAnsi="Arial"/>
          <w:sz w:val="17"/>
          <w:szCs w:val="17"/>
          <w:color w:val="auto"/>
        </w:rPr>
      </w:pPr>
    </w:p>
    <w:p>
      <w:pPr>
        <w:ind w:left="1120" w:right="400" w:hanging="211"/>
        <w:spacing w:after="0" w:line="250" w:lineRule="auto"/>
        <w:tabs>
          <w:tab w:leader="none" w:pos="11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Net sales in MC increased 4.0%. Excluding the additional effect of adopting ASC 606, Net sales increased 2.2%, principally due to global growth in sales for packaging and tissue grades.</w:t>
      </w:r>
    </w:p>
    <w:p>
      <w:pPr>
        <w:spacing w:after="0" w:line="44" w:lineRule="exact"/>
        <w:rPr>
          <w:rFonts w:ascii="Arial" w:cs="Arial" w:eastAsia="Arial" w:hAnsi="Arial"/>
          <w:sz w:val="17"/>
          <w:szCs w:val="17"/>
          <w:color w:val="auto"/>
        </w:rPr>
      </w:pPr>
    </w:p>
    <w:p>
      <w:pPr>
        <w:ind w:left="1120" w:right="20" w:hanging="211"/>
        <w:spacing w:after="0" w:line="250" w:lineRule="auto"/>
        <w:tabs>
          <w:tab w:leader="none" w:pos="11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Net sales in AEC increased 37.0%. Excluding the additional effect of adopting ASC 606, Net sales increased 34.7%, primarily driven by growth in the LEAP, Boeing 787, F-35, and CH-53K programs.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gross profit by business segment: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Borders>
              <w:top w:val="single" w:sz="8" w:color="auto"/>
            </w:tcBorders>
          </w:tcPr>
          <w:p>
            <w:pPr>
              <w:spacing w:after="0"/>
              <w:rPr>
                <w:sz w:val="15"/>
                <w:szCs w:val="15"/>
                <w:color w:val="auto"/>
              </w:rPr>
            </w:pPr>
          </w:p>
        </w:tc>
        <w:tc>
          <w:tcPr>
            <w:tcW w:w="4420" w:type="dxa"/>
            <w:vAlign w:val="bottom"/>
            <w:tcBorders>
              <w:top w:val="single" w:sz="8" w:color="auto"/>
            </w:tcBorders>
            <w:gridSpan w:val="2"/>
          </w:tcPr>
          <w:p>
            <w:pPr>
              <w:jc w:val="right"/>
              <w:ind w:right="774"/>
              <w:spacing w:after="0" w:line="184" w:lineRule="exact"/>
              <w:rPr>
                <w:sz w:val="20"/>
                <w:szCs w:val="20"/>
                <w:color w:val="auto"/>
              </w:rPr>
            </w:pPr>
            <w:r>
              <w:rPr>
                <w:rFonts w:ascii="Arial" w:cs="Arial" w:eastAsia="Arial" w:hAnsi="Arial"/>
                <w:sz w:val="17"/>
                <w:szCs w:val="17"/>
                <w:b w:val="1"/>
                <w:bCs w:val="1"/>
                <w:color w:val="auto"/>
              </w:rPr>
              <w:t>Three months ended</w:t>
            </w:r>
          </w:p>
        </w:tc>
        <w:tc>
          <w:tcPr>
            <w:tcW w:w="2280" w:type="dxa"/>
            <w:vAlign w:val="bottom"/>
            <w:tcBorders>
              <w:top w:val="single" w:sz="8" w:color="auto"/>
            </w:tcBorders>
            <w:gridSpan w:val="2"/>
          </w:tcPr>
          <w:p>
            <w:pPr>
              <w:jc w:val="right"/>
              <w:ind w:right="41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4720" w:type="dxa"/>
            <w:vAlign w:val="bottom"/>
          </w:tcPr>
          <w:p>
            <w:pPr>
              <w:spacing w:after="0"/>
              <w:rPr>
                <w:sz w:val="16"/>
                <w:szCs w:val="16"/>
                <w:color w:val="auto"/>
              </w:rPr>
            </w:pPr>
          </w:p>
        </w:tc>
        <w:tc>
          <w:tcPr>
            <w:tcW w:w="318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June 30,</w:t>
            </w:r>
          </w:p>
        </w:tc>
        <w:tc>
          <w:tcPr>
            <w:tcW w:w="1240" w:type="dxa"/>
            <w:vAlign w:val="bottom"/>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percentages)</w:t>
            </w:r>
          </w:p>
        </w:tc>
        <w:tc>
          <w:tcPr>
            <w:tcW w:w="3180" w:type="dxa"/>
            <w:vAlign w:val="bottom"/>
            <w:tcBorders>
              <w:bottom w:val="single" w:sz="8" w:color="auto"/>
            </w:tcBorders>
          </w:tcPr>
          <w:p>
            <w:pPr>
              <w:jc w:val="right"/>
              <w:ind w:right="874"/>
              <w:spacing w:after="0"/>
              <w:rPr>
                <w:sz w:val="20"/>
                <w:szCs w:val="20"/>
                <w:color w:val="auto"/>
              </w:rPr>
            </w:pPr>
            <w:r>
              <w:rPr>
                <w:rFonts w:ascii="Arial" w:cs="Arial" w:eastAsia="Arial" w:hAnsi="Arial"/>
                <w:sz w:val="17"/>
                <w:szCs w:val="17"/>
                <w:b w:val="1"/>
                <w:bCs w:val="1"/>
                <w:color w:val="auto"/>
              </w:rPr>
              <w:t>2018</w:t>
            </w: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2017</w:t>
            </w:r>
          </w:p>
        </w:tc>
        <w:tc>
          <w:tcPr>
            <w:tcW w:w="142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2018</w:t>
            </w: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4720" w:type="dxa"/>
            <w:vAlign w:val="bottom"/>
          </w:tcPr>
          <w:p>
            <w:pPr>
              <w:spacing w:after="0" w:line="163" w:lineRule="exact"/>
              <w:rPr>
                <w:sz w:val="20"/>
                <w:szCs w:val="20"/>
                <w:color w:val="auto"/>
              </w:rPr>
            </w:pPr>
            <w:r>
              <w:rPr>
                <w:rFonts w:ascii="Arial" w:cs="Arial" w:eastAsia="Arial" w:hAnsi="Arial"/>
                <w:sz w:val="17"/>
                <w:szCs w:val="17"/>
                <w:color w:val="auto"/>
              </w:rPr>
              <w:t>Machine Clothing</w:t>
            </w:r>
          </w:p>
        </w:tc>
        <w:tc>
          <w:tcPr>
            <w:tcW w:w="3180" w:type="dxa"/>
            <w:vAlign w:val="bottom"/>
          </w:tcPr>
          <w:p>
            <w:pPr>
              <w:jc w:val="right"/>
              <w:ind w:right="254"/>
              <w:spacing w:after="0" w:line="163" w:lineRule="exact"/>
              <w:rPr>
                <w:sz w:val="20"/>
                <w:szCs w:val="20"/>
                <w:color w:val="auto"/>
              </w:rPr>
            </w:pPr>
            <w:r>
              <w:rPr>
                <w:rFonts w:ascii="Arial" w:cs="Arial" w:eastAsia="Arial" w:hAnsi="Arial"/>
                <w:sz w:val="17"/>
                <w:szCs w:val="17"/>
                <w:b w:val="1"/>
                <w:bCs w:val="1"/>
                <w:color w:val="auto"/>
              </w:rPr>
              <w:t>$79,607</w:t>
            </w:r>
          </w:p>
        </w:tc>
        <w:tc>
          <w:tcPr>
            <w:tcW w:w="1240" w:type="dxa"/>
            <w:vAlign w:val="bottom"/>
          </w:tcPr>
          <w:p>
            <w:pPr>
              <w:jc w:val="right"/>
              <w:ind w:right="134"/>
              <w:spacing w:after="0" w:line="163" w:lineRule="exact"/>
              <w:rPr>
                <w:sz w:val="20"/>
                <w:szCs w:val="20"/>
                <w:color w:val="auto"/>
              </w:rPr>
            </w:pPr>
            <w:r>
              <w:rPr>
                <w:rFonts w:ascii="Arial" w:cs="Arial" w:eastAsia="Arial" w:hAnsi="Arial"/>
                <w:sz w:val="17"/>
                <w:szCs w:val="17"/>
                <w:color w:val="auto"/>
              </w:rPr>
              <w:t>$70,832</w:t>
            </w:r>
          </w:p>
        </w:tc>
        <w:tc>
          <w:tcPr>
            <w:tcW w:w="1420" w:type="dxa"/>
            <w:vAlign w:val="bottom"/>
          </w:tcPr>
          <w:p>
            <w:pPr>
              <w:jc w:val="right"/>
              <w:ind w:right="294"/>
              <w:spacing w:after="0" w:line="163" w:lineRule="exact"/>
              <w:rPr>
                <w:sz w:val="20"/>
                <w:szCs w:val="20"/>
                <w:color w:val="auto"/>
              </w:rPr>
            </w:pPr>
            <w:r>
              <w:rPr>
                <w:rFonts w:ascii="Arial" w:cs="Arial" w:eastAsia="Arial" w:hAnsi="Arial"/>
                <w:sz w:val="17"/>
                <w:szCs w:val="17"/>
                <w:b w:val="1"/>
                <w:bCs w:val="1"/>
                <w:color w:val="auto"/>
              </w:rPr>
              <w:t>$149,788</w:t>
            </w:r>
          </w:p>
        </w:tc>
        <w:tc>
          <w:tcPr>
            <w:tcW w:w="860" w:type="dxa"/>
            <w:vAlign w:val="bottom"/>
          </w:tcPr>
          <w:p>
            <w:pPr>
              <w:jc w:val="right"/>
              <w:spacing w:after="0" w:line="163" w:lineRule="exact"/>
              <w:rPr>
                <w:sz w:val="20"/>
                <w:szCs w:val="20"/>
                <w:color w:val="auto"/>
              </w:rPr>
            </w:pPr>
            <w:r>
              <w:rPr>
                <w:rFonts w:ascii="Arial" w:cs="Arial" w:eastAsia="Arial" w:hAnsi="Arial"/>
                <w:sz w:val="17"/>
                <w:szCs w:val="17"/>
                <w:color w:val="auto"/>
              </w:rPr>
              <w:t>$140,050</w:t>
            </w:r>
          </w:p>
        </w:tc>
        <w:tc>
          <w:tcPr>
            <w:tcW w:w="20" w:type="dxa"/>
            <w:vAlign w:val="bottom"/>
          </w:tcPr>
          <w:p>
            <w:pPr>
              <w:spacing w:after="0"/>
              <w:rPr>
                <w:sz w:val="14"/>
                <w:szCs w:val="14"/>
                <w:color w:val="auto"/>
              </w:rPr>
            </w:pPr>
          </w:p>
        </w:tc>
      </w:tr>
      <w:tr>
        <w:trPr>
          <w:trHeight w:val="194"/>
        </w:trPr>
        <w:tc>
          <w:tcPr>
            <w:tcW w:w="472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3180" w:type="dxa"/>
            <w:vAlign w:val="bottom"/>
          </w:tcPr>
          <w:p>
            <w:pPr>
              <w:jc w:val="right"/>
              <w:ind w:right="254"/>
              <w:spacing w:after="0" w:line="194" w:lineRule="exact"/>
              <w:rPr>
                <w:sz w:val="20"/>
                <w:szCs w:val="20"/>
                <w:color w:val="auto"/>
              </w:rPr>
            </w:pPr>
            <w:r>
              <w:rPr>
                <w:rFonts w:ascii="Arial" w:cs="Arial" w:eastAsia="Arial" w:hAnsi="Arial"/>
                <w:sz w:val="17"/>
                <w:szCs w:val="17"/>
                <w:b w:val="1"/>
                <w:bCs w:val="1"/>
                <w:color w:val="auto"/>
              </w:rPr>
              <w:t>12,626</w:t>
            </w:r>
          </w:p>
        </w:tc>
        <w:tc>
          <w:tcPr>
            <w:tcW w:w="12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(7,599)</w:t>
            </w:r>
          </w:p>
        </w:tc>
        <w:tc>
          <w:tcPr>
            <w:tcW w:w="1420" w:type="dxa"/>
            <w:vAlign w:val="bottom"/>
          </w:tcPr>
          <w:p>
            <w:pPr>
              <w:jc w:val="right"/>
              <w:ind w:right="294"/>
              <w:spacing w:after="0" w:line="194" w:lineRule="exact"/>
              <w:rPr>
                <w:sz w:val="20"/>
                <w:szCs w:val="20"/>
                <w:color w:val="auto"/>
              </w:rPr>
            </w:pPr>
            <w:r>
              <w:rPr>
                <w:rFonts w:ascii="Arial" w:cs="Arial" w:eastAsia="Arial" w:hAnsi="Arial"/>
                <w:sz w:val="17"/>
                <w:szCs w:val="17"/>
                <w:b w:val="1"/>
                <w:bCs w:val="1"/>
                <w:color w:val="auto"/>
              </w:rPr>
              <w:t>24,150</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(766)</w:t>
            </w:r>
          </w:p>
        </w:tc>
        <w:tc>
          <w:tcPr>
            <w:tcW w:w="20" w:type="dxa"/>
            <w:vAlign w:val="bottom"/>
          </w:tcPr>
          <w:p>
            <w:pPr>
              <w:spacing w:after="0"/>
              <w:rPr>
                <w:sz w:val="16"/>
                <w:szCs w:val="16"/>
                <w:color w:val="auto"/>
              </w:rPr>
            </w:pPr>
          </w:p>
        </w:tc>
      </w:tr>
      <w:tr>
        <w:trPr>
          <w:trHeight w:val="216"/>
        </w:trPr>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 expenses</w:t>
            </w:r>
          </w:p>
        </w:tc>
        <w:tc>
          <w:tcPr>
            <w:tcW w:w="31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(55)</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(55)</w:t>
            </w: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(109)</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(78)</w:t>
            </w:r>
          </w:p>
        </w:tc>
      </w:tr>
      <w:tr>
        <w:trPr>
          <w:trHeight w:val="186"/>
        </w:trPr>
        <w:tc>
          <w:tcPr>
            <w:tcW w:w="47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3180" w:type="dxa"/>
            <w:vAlign w:val="bottom"/>
            <w:tcBorders>
              <w:bottom w:val="single" w:sz="8" w:color="auto"/>
            </w:tcBorders>
          </w:tcPr>
          <w:p>
            <w:pPr>
              <w:jc w:val="right"/>
              <w:ind w:right="254"/>
              <w:spacing w:after="0" w:line="186" w:lineRule="exact"/>
              <w:rPr>
                <w:sz w:val="20"/>
                <w:szCs w:val="20"/>
                <w:color w:val="auto"/>
              </w:rPr>
            </w:pPr>
            <w:r>
              <w:rPr>
                <w:rFonts w:ascii="Arial" w:cs="Arial" w:eastAsia="Arial" w:hAnsi="Arial"/>
                <w:sz w:val="17"/>
                <w:szCs w:val="17"/>
                <w:b w:val="1"/>
                <w:bCs w:val="1"/>
                <w:color w:val="auto"/>
              </w:rPr>
              <w:t>$92,178</w:t>
            </w:r>
          </w:p>
        </w:tc>
        <w:tc>
          <w:tcPr>
            <w:tcW w:w="124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color w:val="auto"/>
              </w:rPr>
              <w:t>$63,178</w:t>
            </w:r>
          </w:p>
        </w:tc>
        <w:tc>
          <w:tcPr>
            <w:tcW w:w="1420" w:type="dxa"/>
            <w:vAlign w:val="bottom"/>
            <w:tcBorders>
              <w:bottom w:val="single" w:sz="8" w:color="auto"/>
            </w:tcBorders>
          </w:tcPr>
          <w:p>
            <w:pPr>
              <w:jc w:val="right"/>
              <w:ind w:right="294"/>
              <w:spacing w:after="0" w:line="186" w:lineRule="exact"/>
              <w:rPr>
                <w:sz w:val="20"/>
                <w:szCs w:val="20"/>
                <w:color w:val="auto"/>
              </w:rPr>
            </w:pPr>
            <w:r>
              <w:rPr>
                <w:rFonts w:ascii="Arial" w:cs="Arial" w:eastAsia="Arial" w:hAnsi="Arial"/>
                <w:sz w:val="17"/>
                <w:szCs w:val="17"/>
                <w:b w:val="1"/>
                <w:bCs w:val="1"/>
                <w:color w:val="auto"/>
              </w:rPr>
              <w:t>$173,829</w:t>
            </w:r>
          </w:p>
        </w:tc>
        <w:tc>
          <w:tcPr>
            <w:tcW w:w="8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$139,206</w:t>
            </w:r>
          </w:p>
        </w:tc>
        <w:tc>
          <w:tcPr>
            <w:tcW w:w="20" w:type="dxa"/>
            <w:vAlign w:val="bottom"/>
            <w:tcBorders>
              <w:bottom w:val="single" w:sz="8" w:color="auto"/>
            </w:tcBorders>
          </w:tcPr>
          <w:p>
            <w:pPr>
              <w:spacing w:after="0"/>
              <w:rPr>
                <w:sz w:val="16"/>
                <w:szCs w:val="16"/>
                <w:color w:val="auto"/>
              </w:rPr>
            </w:pPr>
          </w:p>
        </w:tc>
      </w:tr>
      <w:tr>
        <w:trPr>
          <w:trHeight w:val="186"/>
        </w:trPr>
        <w:tc>
          <w:tcPr>
            <w:tcW w:w="47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 of Net sales</w:t>
            </w:r>
          </w:p>
        </w:tc>
        <w:tc>
          <w:tcPr>
            <w:tcW w:w="3180" w:type="dxa"/>
            <w:vAlign w:val="bottom"/>
            <w:tcBorders>
              <w:bottom w:val="single" w:sz="8" w:color="auto"/>
            </w:tcBorders>
          </w:tcPr>
          <w:p>
            <w:pPr>
              <w:jc w:val="right"/>
              <w:ind w:right="254"/>
              <w:spacing w:after="0" w:line="186" w:lineRule="exact"/>
              <w:rPr>
                <w:sz w:val="20"/>
                <w:szCs w:val="20"/>
                <w:color w:val="auto"/>
              </w:rPr>
            </w:pPr>
            <w:r>
              <w:rPr>
                <w:rFonts w:ascii="Arial" w:cs="Arial" w:eastAsia="Arial" w:hAnsi="Arial"/>
                <w:sz w:val="17"/>
                <w:szCs w:val="17"/>
                <w:b w:val="1"/>
                <w:bCs w:val="1"/>
                <w:color w:val="auto"/>
              </w:rPr>
              <w:t>36.0%</w:t>
            </w:r>
          </w:p>
        </w:tc>
        <w:tc>
          <w:tcPr>
            <w:tcW w:w="124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color w:val="auto"/>
              </w:rPr>
              <w:t>29.3%</w:t>
            </w:r>
          </w:p>
        </w:tc>
        <w:tc>
          <w:tcPr>
            <w:tcW w:w="1420" w:type="dxa"/>
            <w:vAlign w:val="bottom"/>
            <w:tcBorders>
              <w:bottom w:val="single" w:sz="8" w:color="auto"/>
            </w:tcBorders>
          </w:tcPr>
          <w:p>
            <w:pPr>
              <w:jc w:val="right"/>
              <w:ind w:right="294"/>
              <w:spacing w:after="0" w:line="186" w:lineRule="exact"/>
              <w:rPr>
                <w:sz w:val="20"/>
                <w:szCs w:val="20"/>
                <w:color w:val="auto"/>
              </w:rPr>
            </w:pPr>
            <w:r>
              <w:rPr>
                <w:rFonts w:ascii="Arial" w:cs="Arial" w:eastAsia="Arial" w:hAnsi="Arial"/>
                <w:sz w:val="17"/>
                <w:szCs w:val="17"/>
                <w:b w:val="1"/>
                <w:bCs w:val="1"/>
                <w:color w:val="auto"/>
              </w:rPr>
              <w:t>35.8%</w:t>
            </w:r>
          </w:p>
        </w:tc>
        <w:tc>
          <w:tcPr>
            <w:tcW w:w="8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33.6%</w:t>
            </w:r>
          </w:p>
        </w:tc>
        <w:tc>
          <w:tcPr>
            <w:tcW w:w="20" w:type="dxa"/>
            <w:vAlign w:val="bottom"/>
            <w:tcBorders>
              <w:bottom w:val="single" w:sz="8" w:color="auto"/>
            </w:tcBorders>
          </w:tcPr>
          <w:p>
            <w:pPr>
              <w:spacing w:after="0"/>
              <w:rPr>
                <w:sz w:val="16"/>
                <w:szCs w:val="16"/>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291" w:lineRule="exact"/>
        <w:rPr>
          <w:sz w:val="20"/>
          <w:szCs w:val="20"/>
          <w:color w:val="auto"/>
        </w:rPr>
      </w:pPr>
    </w:p>
    <w:p>
      <w:pPr>
        <w:ind w:right="580" w:firstLine="620"/>
        <w:spacing w:after="0" w:line="250" w:lineRule="auto"/>
        <w:rPr>
          <w:sz w:val="20"/>
          <w:szCs w:val="20"/>
          <w:color w:val="auto"/>
        </w:rPr>
      </w:pPr>
      <w:r>
        <w:rPr>
          <w:rFonts w:ascii="Arial" w:cs="Arial" w:eastAsia="Arial" w:hAnsi="Arial"/>
          <w:sz w:val="17"/>
          <w:szCs w:val="17"/>
          <w:color w:val="auto"/>
        </w:rPr>
        <w:t>The overall increase in 2018 gross profit, as compared to the same period in 2017, was principally due to the net effect of the following individually significant items:</w:t>
      </w:r>
    </w:p>
    <w:p>
      <w:pPr>
        <w:spacing w:after="0" w:line="341" w:lineRule="exact"/>
        <w:rPr>
          <w:sz w:val="20"/>
          <w:szCs w:val="20"/>
          <w:color w:val="auto"/>
        </w:rPr>
      </w:pPr>
    </w:p>
    <w:p>
      <w:pPr>
        <w:ind w:left="1240" w:hanging="308"/>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increase in AEC gross profit of $20.2 million was principally due to the net effect of the following individually significant items:</w:t>
      </w:r>
    </w:p>
    <w:p>
      <w:pPr>
        <w:spacing w:after="0" w:line="114" w:lineRule="exact"/>
        <w:rPr>
          <w:rFonts w:ascii="Arial" w:cs="Arial" w:eastAsia="Arial" w:hAnsi="Arial"/>
          <w:sz w:val="17"/>
          <w:szCs w:val="17"/>
          <w:color w:val="auto"/>
        </w:rPr>
      </w:pPr>
    </w:p>
    <w:p>
      <w:pPr>
        <w:ind w:left="2180" w:right="80" w:hanging="318"/>
        <w:spacing w:after="0" w:line="250" w:lineRule="auto"/>
        <w:tabs>
          <w:tab w:leader="none" w:pos="21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the second quarter of 2017, the Company recorded a $15.8 million charge to Cost of goods sold related to revisions in the estimated profitability of two contracts.</w:t>
      </w:r>
    </w:p>
    <w:p>
      <w:pPr>
        <w:spacing w:after="0" w:line="83" w:lineRule="exact"/>
        <w:rPr>
          <w:rFonts w:ascii="Arial" w:cs="Arial" w:eastAsia="Arial" w:hAnsi="Arial"/>
          <w:sz w:val="17"/>
          <w:szCs w:val="17"/>
          <w:color w:val="auto"/>
        </w:rPr>
      </w:pPr>
    </w:p>
    <w:p>
      <w:pPr>
        <w:ind w:left="2180" w:hanging="318"/>
        <w:spacing w:after="0"/>
        <w:tabs>
          <w:tab w:leader="none" w:pos="21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increase in net sales, as described above, and improved labor productivity.</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68" w:right="239" w:bottom="1440" w:gutter="0" w:footer="0" w:header="0"/>
        </w:sectPr>
      </w:pPr>
    </w:p>
    <w:bookmarkStart w:id="45" w:name="page46"/>
    <w:bookmarkEnd w:id="45"/>
    <w:p>
      <w:pPr>
        <w:ind w:left="1240" w:hanging="308"/>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in MC gross profit, principally due to higher sales and strong capacity utilization.</w:t>
      </w:r>
    </w:p>
    <w:p>
      <w:pPr>
        <w:spacing w:after="0" w:line="114" w:lineRule="exact"/>
        <w:rPr>
          <w:rFonts w:ascii="Arial" w:cs="Arial" w:eastAsia="Arial" w:hAnsi="Arial"/>
          <w:sz w:val="17"/>
          <w:szCs w:val="17"/>
          <w:color w:val="auto"/>
        </w:rPr>
      </w:pPr>
    </w:p>
    <w:p>
      <w:pPr>
        <w:ind w:left="1240" w:hanging="308"/>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currency translation rates did not have a significant effect on MC gross profit in 2018.</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200" w:lineRule="exact"/>
        <w:rPr>
          <w:sz w:val="20"/>
          <w:szCs w:val="20"/>
          <w:color w:val="auto"/>
        </w:rPr>
      </w:pPr>
    </w:p>
    <w:p>
      <w:pPr>
        <w:spacing w:after="0" w:line="259" w:lineRule="exact"/>
        <w:rPr>
          <w:sz w:val="20"/>
          <w:szCs w:val="20"/>
          <w:color w:val="auto"/>
        </w:rPr>
      </w:pPr>
    </w:p>
    <w:p>
      <w:pPr>
        <w:ind w:right="580" w:firstLine="620"/>
        <w:spacing w:after="0" w:line="250" w:lineRule="auto"/>
        <w:rPr>
          <w:sz w:val="20"/>
          <w:szCs w:val="20"/>
          <w:color w:val="auto"/>
        </w:rPr>
      </w:pPr>
      <w:r>
        <w:rPr>
          <w:rFonts w:ascii="Arial" w:cs="Arial" w:eastAsia="Arial" w:hAnsi="Arial"/>
          <w:sz w:val="17"/>
          <w:szCs w:val="17"/>
          <w:color w:val="auto"/>
        </w:rPr>
        <w:t>The overall increase in 2018 gross profit, as compared to the same period in 2017, was principally due to the net effect of the following individually significant items:</w:t>
      </w:r>
    </w:p>
    <w:p>
      <w:pPr>
        <w:spacing w:after="0" w:line="341" w:lineRule="exact"/>
        <w:rPr>
          <w:sz w:val="20"/>
          <w:szCs w:val="20"/>
          <w:color w:val="auto"/>
        </w:rPr>
      </w:pPr>
    </w:p>
    <w:p>
      <w:pPr>
        <w:ind w:left="1240" w:hanging="308"/>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increase in AEC gross profit of $24.9 million was principally due to the effect of the following individually significant items:</w:t>
      </w:r>
    </w:p>
    <w:p>
      <w:pPr>
        <w:spacing w:after="0" w:line="114" w:lineRule="exact"/>
        <w:rPr>
          <w:rFonts w:ascii="Arial" w:cs="Arial" w:eastAsia="Arial" w:hAnsi="Arial"/>
          <w:sz w:val="17"/>
          <w:szCs w:val="17"/>
          <w:color w:val="auto"/>
        </w:rPr>
      </w:pPr>
    </w:p>
    <w:p>
      <w:pPr>
        <w:ind w:left="2180" w:right="80" w:hanging="318"/>
        <w:spacing w:after="0" w:line="250" w:lineRule="auto"/>
        <w:tabs>
          <w:tab w:leader="none" w:pos="21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the second quarter of 2017, the Company recorded a $15.8 million charge to Cost of goods sold related to revisions in the estimated profitability of two contracts.</w:t>
      </w:r>
    </w:p>
    <w:p>
      <w:pPr>
        <w:spacing w:after="0" w:line="83" w:lineRule="exact"/>
        <w:rPr>
          <w:rFonts w:ascii="Arial" w:cs="Arial" w:eastAsia="Arial" w:hAnsi="Arial"/>
          <w:sz w:val="17"/>
          <w:szCs w:val="17"/>
          <w:color w:val="auto"/>
        </w:rPr>
      </w:pPr>
    </w:p>
    <w:p>
      <w:pPr>
        <w:ind w:left="2180" w:hanging="318"/>
        <w:spacing w:after="0"/>
        <w:tabs>
          <w:tab w:leader="none" w:pos="21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increase in net sales, as described above, and improved labor productivity.</w:t>
      </w:r>
    </w:p>
    <w:p>
      <w:pPr>
        <w:spacing w:after="0" w:line="307" w:lineRule="exact"/>
        <w:rPr>
          <w:rFonts w:ascii="Arial" w:cs="Arial" w:eastAsia="Arial" w:hAnsi="Arial"/>
          <w:sz w:val="17"/>
          <w:szCs w:val="17"/>
          <w:color w:val="auto"/>
        </w:rPr>
      </w:pPr>
    </w:p>
    <w:p>
      <w:pPr>
        <w:ind w:left="1240" w:hanging="308"/>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MC gross profit, principally due to higher sales and increased capacity utilization.</w:t>
      </w:r>
    </w:p>
    <w:p>
      <w:pPr>
        <w:spacing w:after="0" w:line="114" w:lineRule="exact"/>
        <w:rPr>
          <w:rFonts w:ascii="Arial" w:cs="Arial" w:eastAsia="Arial" w:hAnsi="Arial"/>
          <w:sz w:val="17"/>
          <w:szCs w:val="17"/>
          <w:color w:val="auto"/>
        </w:rPr>
      </w:pPr>
    </w:p>
    <w:p>
      <w:pPr>
        <w:ind w:left="1240" w:hanging="308"/>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currency translation rates did not have a significant effect on MC gross profit in 2018.</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Technical, General, and Research (STG&amp;R)</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Selling, Technical, General and Research (STG&amp;R) expenses include; selling, general, administrative, technical and research expenses.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STG&amp;R expenses by business segment: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Borders>
              <w:top w:val="single" w:sz="8" w:color="auto"/>
            </w:tcBorders>
          </w:tcPr>
          <w:p>
            <w:pPr>
              <w:spacing w:after="0"/>
              <w:rPr>
                <w:sz w:val="15"/>
                <w:szCs w:val="15"/>
                <w:color w:val="auto"/>
              </w:rPr>
            </w:pPr>
          </w:p>
        </w:tc>
        <w:tc>
          <w:tcPr>
            <w:tcW w:w="4340" w:type="dxa"/>
            <w:vAlign w:val="bottom"/>
            <w:tcBorders>
              <w:top w:val="single" w:sz="8" w:color="auto"/>
            </w:tcBorders>
            <w:gridSpan w:val="2"/>
          </w:tcPr>
          <w:p>
            <w:pPr>
              <w:jc w:val="right"/>
              <w:ind w:right="954"/>
              <w:spacing w:after="0" w:line="184" w:lineRule="exact"/>
              <w:rPr>
                <w:sz w:val="20"/>
                <w:szCs w:val="20"/>
                <w:color w:val="auto"/>
              </w:rPr>
            </w:pPr>
            <w:r>
              <w:rPr>
                <w:rFonts w:ascii="Arial" w:cs="Arial" w:eastAsia="Arial" w:hAnsi="Arial"/>
                <w:sz w:val="17"/>
                <w:szCs w:val="17"/>
                <w:b w:val="1"/>
                <w:bCs w:val="1"/>
                <w:color w:val="auto"/>
              </w:rPr>
              <w:t>Three months ended</w:t>
            </w:r>
          </w:p>
        </w:tc>
        <w:tc>
          <w:tcPr>
            <w:tcW w:w="2680" w:type="dxa"/>
            <w:vAlign w:val="bottom"/>
            <w:tcBorders>
              <w:top w:val="single" w:sz="8" w:color="auto"/>
            </w:tcBorders>
            <w:gridSpan w:val="2"/>
          </w:tcPr>
          <w:p>
            <w:pPr>
              <w:jc w:val="right"/>
              <w:ind w:right="65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4400" w:type="dxa"/>
            <w:vAlign w:val="bottom"/>
          </w:tcPr>
          <w:p>
            <w:pPr>
              <w:spacing w:after="0"/>
              <w:rPr>
                <w:sz w:val="16"/>
                <w:szCs w:val="16"/>
                <w:color w:val="auto"/>
              </w:rPr>
            </w:pPr>
          </w:p>
        </w:tc>
        <w:tc>
          <w:tcPr>
            <w:tcW w:w="2960" w:type="dxa"/>
            <w:vAlign w:val="bottom"/>
          </w:tcPr>
          <w:p>
            <w:pPr>
              <w:jc w:val="right"/>
              <w:ind w:right="74"/>
              <w:spacing w:after="0" w:line="194" w:lineRule="exact"/>
              <w:rPr>
                <w:sz w:val="20"/>
                <w:szCs w:val="20"/>
                <w:color w:val="auto"/>
              </w:rPr>
            </w:pPr>
            <w:r>
              <w:rPr>
                <w:rFonts w:ascii="Arial" w:cs="Arial" w:eastAsia="Arial" w:hAnsi="Arial"/>
                <w:sz w:val="17"/>
                <w:szCs w:val="17"/>
                <w:b w:val="1"/>
                <w:bCs w:val="1"/>
                <w:color w:val="auto"/>
              </w:rPr>
              <w:t>June 30,</w:t>
            </w:r>
          </w:p>
        </w:tc>
        <w:tc>
          <w:tcPr>
            <w:tcW w:w="1380" w:type="dxa"/>
            <w:vAlign w:val="bottom"/>
          </w:tcPr>
          <w:p>
            <w:pPr>
              <w:spacing w:after="0"/>
              <w:rPr>
                <w:sz w:val="16"/>
                <w:szCs w:val="16"/>
                <w:color w:val="auto"/>
              </w:rPr>
            </w:pPr>
          </w:p>
        </w:tc>
        <w:tc>
          <w:tcPr>
            <w:tcW w:w="1640" w:type="dxa"/>
            <w:vAlign w:val="bottom"/>
          </w:tcPr>
          <w:p>
            <w:pPr>
              <w:jc w:val="right"/>
              <w:ind w:right="14"/>
              <w:spacing w:after="0" w:line="194" w:lineRule="exact"/>
              <w:rPr>
                <w:sz w:val="20"/>
                <w:szCs w:val="20"/>
                <w:color w:val="auto"/>
              </w:rPr>
            </w:pPr>
            <w:r>
              <w:rPr>
                <w:rFonts w:ascii="Arial" w:cs="Arial" w:eastAsia="Arial" w:hAnsi="Arial"/>
                <w:sz w:val="17"/>
                <w:szCs w:val="17"/>
                <w:b w:val="1"/>
                <w:bCs w:val="1"/>
                <w:color w:val="auto"/>
              </w:rPr>
              <w:t>June 30,</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96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b w:val="1"/>
                <w:bCs w:val="1"/>
                <w:color w:val="auto"/>
              </w:rPr>
              <w:t>2018</w:t>
            </w:r>
          </w:p>
        </w:tc>
        <w:tc>
          <w:tcPr>
            <w:tcW w:w="138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2017</w:t>
            </w:r>
          </w:p>
        </w:tc>
        <w:tc>
          <w:tcPr>
            <w:tcW w:w="164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2018</w:t>
            </w: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4400" w:type="dxa"/>
            <w:vAlign w:val="bottom"/>
          </w:tcPr>
          <w:p>
            <w:pPr>
              <w:spacing w:after="0" w:line="163" w:lineRule="exact"/>
              <w:rPr>
                <w:sz w:val="20"/>
                <w:szCs w:val="20"/>
                <w:color w:val="auto"/>
              </w:rPr>
            </w:pPr>
            <w:r>
              <w:rPr>
                <w:rFonts w:ascii="Arial" w:cs="Arial" w:eastAsia="Arial" w:hAnsi="Arial"/>
                <w:sz w:val="17"/>
                <w:szCs w:val="17"/>
                <w:color w:val="auto"/>
              </w:rPr>
              <w:t>Machine Clothing</w:t>
            </w:r>
          </w:p>
        </w:tc>
        <w:tc>
          <w:tcPr>
            <w:tcW w:w="2960" w:type="dxa"/>
            <w:vAlign w:val="bottom"/>
          </w:tcPr>
          <w:p>
            <w:pPr>
              <w:jc w:val="right"/>
              <w:ind w:right="294"/>
              <w:spacing w:after="0" w:line="163" w:lineRule="exact"/>
              <w:rPr>
                <w:sz w:val="20"/>
                <w:szCs w:val="20"/>
                <w:color w:val="auto"/>
              </w:rPr>
            </w:pPr>
            <w:r>
              <w:rPr>
                <w:rFonts w:ascii="Arial" w:cs="Arial" w:eastAsia="Arial" w:hAnsi="Arial"/>
                <w:sz w:val="17"/>
                <w:szCs w:val="17"/>
                <w:b w:val="1"/>
                <w:bCs w:val="1"/>
                <w:color w:val="auto"/>
              </w:rPr>
              <w:t>$26,963</w:t>
            </w:r>
          </w:p>
        </w:tc>
        <w:tc>
          <w:tcPr>
            <w:tcW w:w="1380" w:type="dxa"/>
            <w:vAlign w:val="bottom"/>
          </w:tcPr>
          <w:p>
            <w:pPr>
              <w:jc w:val="right"/>
              <w:ind w:right="194"/>
              <w:spacing w:after="0" w:line="163" w:lineRule="exact"/>
              <w:rPr>
                <w:sz w:val="20"/>
                <w:szCs w:val="20"/>
                <w:color w:val="auto"/>
              </w:rPr>
            </w:pPr>
            <w:r>
              <w:rPr>
                <w:rFonts w:ascii="Arial" w:cs="Arial" w:eastAsia="Arial" w:hAnsi="Arial"/>
                <w:sz w:val="17"/>
                <w:szCs w:val="17"/>
                <w:color w:val="auto"/>
              </w:rPr>
              <w:t>$31,602</w:t>
            </w:r>
          </w:p>
        </w:tc>
        <w:tc>
          <w:tcPr>
            <w:tcW w:w="1640" w:type="dxa"/>
            <w:vAlign w:val="bottom"/>
          </w:tcPr>
          <w:p>
            <w:pPr>
              <w:jc w:val="right"/>
              <w:ind w:right="354"/>
              <w:spacing w:after="0" w:line="163" w:lineRule="exact"/>
              <w:rPr>
                <w:sz w:val="20"/>
                <w:szCs w:val="20"/>
                <w:color w:val="auto"/>
              </w:rPr>
            </w:pPr>
            <w:r>
              <w:rPr>
                <w:rFonts w:ascii="Arial" w:cs="Arial" w:eastAsia="Arial" w:hAnsi="Arial"/>
                <w:sz w:val="17"/>
                <w:szCs w:val="17"/>
                <w:b w:val="1"/>
                <w:bCs w:val="1"/>
                <w:color w:val="auto"/>
              </w:rPr>
              <w:t>$58,027</w:t>
            </w:r>
          </w:p>
        </w:tc>
        <w:tc>
          <w:tcPr>
            <w:tcW w:w="1040" w:type="dxa"/>
            <w:vAlign w:val="bottom"/>
          </w:tcPr>
          <w:p>
            <w:pPr>
              <w:jc w:val="right"/>
              <w:spacing w:after="0" w:line="163" w:lineRule="exact"/>
              <w:rPr>
                <w:sz w:val="20"/>
                <w:szCs w:val="20"/>
                <w:color w:val="auto"/>
              </w:rPr>
            </w:pPr>
            <w:r>
              <w:rPr>
                <w:rFonts w:ascii="Arial" w:cs="Arial" w:eastAsia="Arial" w:hAnsi="Arial"/>
                <w:sz w:val="17"/>
                <w:szCs w:val="17"/>
                <w:color w:val="auto"/>
              </w:rPr>
              <w:t>$62,447</w:t>
            </w:r>
          </w:p>
        </w:tc>
        <w:tc>
          <w:tcPr>
            <w:tcW w:w="20" w:type="dxa"/>
            <w:vAlign w:val="bottom"/>
          </w:tcPr>
          <w:p>
            <w:pPr>
              <w:spacing w:after="0"/>
              <w:rPr>
                <w:sz w:val="14"/>
                <w:szCs w:val="14"/>
                <w:color w:val="auto"/>
              </w:rPr>
            </w:pPr>
          </w:p>
        </w:tc>
      </w:tr>
      <w:tr>
        <w:trPr>
          <w:trHeight w:val="194"/>
        </w:trPr>
        <w:tc>
          <w:tcPr>
            <w:tcW w:w="440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2960" w:type="dxa"/>
            <w:vAlign w:val="bottom"/>
          </w:tcPr>
          <w:p>
            <w:pPr>
              <w:jc w:val="right"/>
              <w:ind w:right="294"/>
              <w:spacing w:after="0" w:line="194" w:lineRule="exact"/>
              <w:rPr>
                <w:sz w:val="20"/>
                <w:szCs w:val="20"/>
                <w:color w:val="auto"/>
              </w:rPr>
            </w:pPr>
            <w:r>
              <w:rPr>
                <w:rFonts w:ascii="Arial" w:cs="Arial" w:eastAsia="Arial" w:hAnsi="Arial"/>
                <w:sz w:val="17"/>
                <w:szCs w:val="17"/>
                <w:b w:val="1"/>
                <w:bCs w:val="1"/>
                <w:color w:val="auto"/>
              </w:rPr>
              <w:t>7,976</w:t>
            </w:r>
          </w:p>
        </w:tc>
        <w:tc>
          <w:tcPr>
            <w:tcW w:w="13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8,998</w:t>
            </w:r>
          </w:p>
        </w:tc>
        <w:tc>
          <w:tcPr>
            <w:tcW w:w="1640" w:type="dxa"/>
            <w:vAlign w:val="bottom"/>
          </w:tcPr>
          <w:p>
            <w:pPr>
              <w:jc w:val="right"/>
              <w:ind w:right="354"/>
              <w:spacing w:after="0" w:line="194" w:lineRule="exact"/>
              <w:rPr>
                <w:sz w:val="20"/>
                <w:szCs w:val="20"/>
                <w:color w:val="auto"/>
              </w:rPr>
            </w:pPr>
            <w:r>
              <w:rPr>
                <w:rFonts w:ascii="Arial" w:cs="Arial" w:eastAsia="Arial" w:hAnsi="Arial"/>
                <w:sz w:val="17"/>
                <w:szCs w:val="17"/>
                <w:b w:val="1"/>
                <w:bCs w:val="1"/>
                <w:color w:val="auto"/>
              </w:rPr>
              <w:t>17,004</w:t>
            </w:r>
          </w:p>
        </w:tc>
        <w:tc>
          <w:tcPr>
            <w:tcW w:w="10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18,374</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 expenses</w:t>
            </w:r>
          </w:p>
        </w:tc>
        <w:tc>
          <w:tcPr>
            <w:tcW w:w="2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11,966</w:t>
            </w: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10,687</w:t>
            </w:r>
          </w:p>
        </w:tc>
        <w:tc>
          <w:tcPr>
            <w:tcW w:w="16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24,121</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21,135</w:t>
            </w:r>
          </w:p>
        </w:tc>
      </w:tr>
      <w:tr>
        <w:trPr>
          <w:trHeight w:val="186"/>
        </w:trPr>
        <w:tc>
          <w:tcPr>
            <w:tcW w:w="440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2960" w:type="dxa"/>
            <w:vAlign w:val="bottom"/>
            <w:tcBorders>
              <w:bottom w:val="single" w:sz="8" w:color="auto"/>
            </w:tcBorders>
          </w:tcPr>
          <w:p>
            <w:pPr>
              <w:jc w:val="right"/>
              <w:ind w:right="294"/>
              <w:spacing w:after="0" w:line="186" w:lineRule="exact"/>
              <w:rPr>
                <w:sz w:val="20"/>
                <w:szCs w:val="20"/>
                <w:color w:val="auto"/>
              </w:rPr>
            </w:pPr>
            <w:r>
              <w:rPr>
                <w:rFonts w:ascii="Arial" w:cs="Arial" w:eastAsia="Arial" w:hAnsi="Arial"/>
                <w:sz w:val="17"/>
                <w:szCs w:val="17"/>
                <w:b w:val="1"/>
                <w:bCs w:val="1"/>
                <w:color w:val="auto"/>
              </w:rPr>
              <w:t>$46,905</w:t>
            </w:r>
          </w:p>
        </w:tc>
        <w:tc>
          <w:tcPr>
            <w:tcW w:w="1380" w:type="dxa"/>
            <w:vAlign w:val="bottom"/>
            <w:tcBorders>
              <w:bottom w:val="single" w:sz="8" w:color="auto"/>
            </w:tcBorders>
          </w:tcPr>
          <w:p>
            <w:pPr>
              <w:jc w:val="right"/>
              <w:ind w:right="194"/>
              <w:spacing w:after="0" w:line="186" w:lineRule="exact"/>
              <w:rPr>
                <w:sz w:val="20"/>
                <w:szCs w:val="20"/>
                <w:color w:val="auto"/>
              </w:rPr>
            </w:pPr>
            <w:r>
              <w:rPr>
                <w:rFonts w:ascii="Arial" w:cs="Arial" w:eastAsia="Arial" w:hAnsi="Arial"/>
                <w:sz w:val="17"/>
                <w:szCs w:val="17"/>
                <w:color w:val="auto"/>
              </w:rPr>
              <w:t>$51,287</w:t>
            </w:r>
          </w:p>
        </w:tc>
        <w:tc>
          <w:tcPr>
            <w:tcW w:w="1640" w:type="dxa"/>
            <w:vAlign w:val="bottom"/>
            <w:tcBorders>
              <w:bottom w:val="single" w:sz="8" w:color="auto"/>
            </w:tcBorders>
          </w:tcPr>
          <w:p>
            <w:pPr>
              <w:jc w:val="right"/>
              <w:ind w:right="354"/>
              <w:spacing w:after="0" w:line="186" w:lineRule="exact"/>
              <w:rPr>
                <w:sz w:val="20"/>
                <w:szCs w:val="20"/>
                <w:color w:val="auto"/>
              </w:rPr>
            </w:pPr>
            <w:r>
              <w:rPr>
                <w:rFonts w:ascii="Arial" w:cs="Arial" w:eastAsia="Arial" w:hAnsi="Arial"/>
                <w:sz w:val="17"/>
                <w:szCs w:val="17"/>
                <w:b w:val="1"/>
                <w:bCs w:val="1"/>
                <w:color w:val="auto"/>
              </w:rPr>
              <w:t>$99,152</w:t>
            </w:r>
          </w:p>
        </w:tc>
        <w:tc>
          <w:tcPr>
            <w:tcW w:w="10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$101,956</w:t>
            </w:r>
          </w:p>
        </w:tc>
        <w:tc>
          <w:tcPr>
            <w:tcW w:w="20" w:type="dxa"/>
            <w:vAlign w:val="bottom"/>
            <w:tcBorders>
              <w:bottom w:val="single" w:sz="8" w:color="auto"/>
            </w:tcBorders>
          </w:tcPr>
          <w:p>
            <w:pPr>
              <w:spacing w:after="0"/>
              <w:rPr>
                <w:sz w:val="16"/>
                <w:szCs w:val="16"/>
                <w:color w:val="auto"/>
              </w:rPr>
            </w:pPr>
          </w:p>
        </w:tc>
      </w:tr>
      <w:tr>
        <w:trPr>
          <w:trHeight w:val="186"/>
        </w:trPr>
        <w:tc>
          <w:tcPr>
            <w:tcW w:w="440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 of Net sales</w:t>
            </w:r>
          </w:p>
        </w:tc>
        <w:tc>
          <w:tcPr>
            <w:tcW w:w="2960" w:type="dxa"/>
            <w:vAlign w:val="bottom"/>
            <w:tcBorders>
              <w:bottom w:val="single" w:sz="8" w:color="auto"/>
            </w:tcBorders>
          </w:tcPr>
          <w:p>
            <w:pPr>
              <w:jc w:val="right"/>
              <w:ind w:right="294"/>
              <w:spacing w:after="0" w:line="186" w:lineRule="exact"/>
              <w:rPr>
                <w:sz w:val="20"/>
                <w:szCs w:val="20"/>
                <w:color w:val="auto"/>
              </w:rPr>
            </w:pPr>
            <w:r>
              <w:rPr>
                <w:rFonts w:ascii="Arial" w:cs="Arial" w:eastAsia="Arial" w:hAnsi="Arial"/>
                <w:sz w:val="17"/>
                <w:szCs w:val="17"/>
                <w:b w:val="1"/>
                <w:bCs w:val="1"/>
                <w:color w:val="auto"/>
              </w:rPr>
              <w:t>18.3%</w:t>
            </w:r>
          </w:p>
        </w:tc>
        <w:tc>
          <w:tcPr>
            <w:tcW w:w="1380" w:type="dxa"/>
            <w:vAlign w:val="bottom"/>
            <w:tcBorders>
              <w:bottom w:val="single" w:sz="8" w:color="auto"/>
            </w:tcBorders>
          </w:tcPr>
          <w:p>
            <w:pPr>
              <w:jc w:val="right"/>
              <w:ind w:right="194"/>
              <w:spacing w:after="0" w:line="186" w:lineRule="exact"/>
              <w:rPr>
                <w:sz w:val="20"/>
                <w:szCs w:val="20"/>
                <w:color w:val="auto"/>
              </w:rPr>
            </w:pPr>
            <w:r>
              <w:rPr>
                <w:rFonts w:ascii="Arial" w:cs="Arial" w:eastAsia="Arial" w:hAnsi="Arial"/>
                <w:sz w:val="17"/>
                <w:szCs w:val="17"/>
                <w:color w:val="auto"/>
              </w:rPr>
              <w:t>23.8%</w:t>
            </w:r>
          </w:p>
        </w:tc>
        <w:tc>
          <w:tcPr>
            <w:tcW w:w="1640" w:type="dxa"/>
            <w:vAlign w:val="bottom"/>
            <w:tcBorders>
              <w:bottom w:val="single" w:sz="8" w:color="auto"/>
            </w:tcBorders>
          </w:tcPr>
          <w:p>
            <w:pPr>
              <w:jc w:val="right"/>
              <w:ind w:right="354"/>
              <w:spacing w:after="0" w:line="186" w:lineRule="exact"/>
              <w:rPr>
                <w:sz w:val="20"/>
                <w:szCs w:val="20"/>
                <w:color w:val="auto"/>
              </w:rPr>
            </w:pPr>
            <w:r>
              <w:rPr>
                <w:rFonts w:ascii="Arial" w:cs="Arial" w:eastAsia="Arial" w:hAnsi="Arial"/>
                <w:sz w:val="17"/>
                <w:szCs w:val="17"/>
                <w:b w:val="1"/>
                <w:bCs w:val="1"/>
                <w:color w:val="auto"/>
              </w:rPr>
              <w:t>20.4%</w:t>
            </w:r>
          </w:p>
        </w:tc>
        <w:tc>
          <w:tcPr>
            <w:tcW w:w="10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24.6%</w:t>
            </w:r>
          </w:p>
        </w:tc>
        <w:tc>
          <w:tcPr>
            <w:tcW w:w="20" w:type="dxa"/>
            <w:vAlign w:val="bottom"/>
            <w:tcBorders>
              <w:bottom w:val="single" w:sz="8" w:color="auto"/>
            </w:tcBorders>
          </w:tcPr>
          <w:p>
            <w:pPr>
              <w:spacing w:after="0"/>
              <w:rPr>
                <w:sz w:val="16"/>
                <w:szCs w:val="16"/>
                <w:color w:val="auto"/>
              </w:rPr>
            </w:pPr>
          </w:p>
        </w:tc>
      </w:tr>
    </w:tbl>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214" w:lineRule="exact"/>
        <w:rPr>
          <w:sz w:val="20"/>
          <w:szCs w:val="20"/>
          <w:color w:val="auto"/>
        </w:rPr>
      </w:pPr>
    </w:p>
    <w:p>
      <w:pPr>
        <w:ind w:right="120" w:firstLine="620"/>
        <w:spacing w:after="0" w:line="250" w:lineRule="auto"/>
        <w:rPr>
          <w:sz w:val="20"/>
          <w:szCs w:val="20"/>
          <w:color w:val="auto"/>
        </w:rPr>
      </w:pPr>
      <w:r>
        <w:rPr>
          <w:rFonts w:ascii="Arial" w:cs="Arial" w:eastAsia="Arial" w:hAnsi="Arial"/>
          <w:sz w:val="17"/>
          <w:szCs w:val="17"/>
          <w:color w:val="auto"/>
        </w:rPr>
        <w:t>The decrease in STG&amp;R expenses in the second quarter of 2018, compared to the same period in 2017, was principally due to the net effect of the following individually significant items:</w:t>
      </w:r>
    </w:p>
    <w:p>
      <w:pPr>
        <w:spacing w:after="0" w:line="186" w:lineRule="exact"/>
        <w:rPr>
          <w:sz w:val="20"/>
          <w:szCs w:val="20"/>
          <w:color w:val="auto"/>
        </w:rPr>
      </w:pPr>
    </w:p>
    <w:p>
      <w:pPr>
        <w:ind w:left="1240" w:right="100" w:hanging="308"/>
        <w:spacing w:after="0" w:line="250"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MC, revaluation of nonfunctional currency assets and liabilities resulted in second-quarter gains of $2.3 million in 2018, and losses of $1.7 million in 2017.</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6" w:name="page47"/>
    <w:bookmarkEnd w:id="46"/>
    <w:p>
      <w:pPr>
        <w:ind w:right="120" w:firstLine="620"/>
        <w:spacing w:after="0" w:line="250" w:lineRule="auto"/>
        <w:rPr>
          <w:sz w:val="20"/>
          <w:szCs w:val="20"/>
          <w:color w:val="auto"/>
        </w:rPr>
      </w:pPr>
      <w:r>
        <w:rPr>
          <w:rFonts w:ascii="Arial" w:cs="Arial" w:eastAsia="Arial" w:hAnsi="Arial"/>
          <w:sz w:val="17"/>
          <w:szCs w:val="17"/>
          <w:color w:val="auto"/>
        </w:rPr>
        <w:t>The decrease in STG&amp;R expenses in the first six months of 2018, compared to the same period in 2017, was principally due to the net effect of the following individually significant items:</w:t>
      </w:r>
    </w:p>
    <w:p>
      <w:pPr>
        <w:spacing w:after="0" w:line="148" w:lineRule="exact"/>
        <w:rPr>
          <w:sz w:val="20"/>
          <w:szCs w:val="20"/>
          <w:color w:val="auto"/>
        </w:rPr>
      </w:pPr>
    </w:p>
    <w:p>
      <w:pPr>
        <w:ind w:left="1240" w:hanging="308"/>
        <w:spacing w:after="0" w:line="250"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MC, revaluation of nonfunctional currency assets and liabilities resulted in gains of $0.8 million in 2018, and losses of $3.3 million in 2017.</w:t>
      </w:r>
    </w:p>
    <w:p>
      <w:pPr>
        <w:spacing w:after="0" w:line="83" w:lineRule="exact"/>
        <w:rPr>
          <w:rFonts w:ascii="Arial" w:cs="Arial" w:eastAsia="Arial" w:hAnsi="Arial"/>
          <w:sz w:val="17"/>
          <w:szCs w:val="17"/>
          <w:color w:val="auto"/>
        </w:rPr>
      </w:pPr>
    </w:p>
    <w:p>
      <w:pPr>
        <w:ind w:left="1240" w:right="600" w:hanging="308"/>
        <w:spacing w:after="0" w:line="250"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Corporate STG&amp;R expenses increased by approximately $3.0 million principally due to higher costs for information systems to support continued growth in AEC.</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91" w:lineRule="exact"/>
        <w:rPr>
          <w:sz w:val="20"/>
          <w:szCs w:val="20"/>
          <w:color w:val="auto"/>
        </w:rPr>
      </w:pPr>
    </w:p>
    <w:p>
      <w:pPr>
        <w:ind w:right="300" w:firstLine="620"/>
        <w:spacing w:after="0" w:line="250" w:lineRule="auto"/>
        <w:rPr>
          <w:sz w:val="20"/>
          <w:szCs w:val="20"/>
          <w:color w:val="auto"/>
        </w:rPr>
      </w:pPr>
      <w:r>
        <w:rPr>
          <w:rFonts w:ascii="Arial" w:cs="Arial" w:eastAsia="Arial" w:hAnsi="Arial"/>
          <w:sz w:val="17"/>
          <w:szCs w:val="17"/>
          <w:color w:val="auto"/>
        </w:rPr>
        <w:t>The following table is a subset of the STG&amp;R expenses table above and summarizes expenses associated with internally funded research and development by business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gridSpan w:val="2"/>
          </w:tcPr>
          <w:p>
            <w:pPr>
              <w:jc w:val="right"/>
              <w:ind w:right="154"/>
              <w:spacing w:after="0" w:line="184" w:lineRule="exact"/>
              <w:rPr>
                <w:sz w:val="20"/>
                <w:szCs w:val="20"/>
                <w:color w:val="auto"/>
              </w:rPr>
            </w:pPr>
            <w:r>
              <w:rPr>
                <w:rFonts w:ascii="Arial" w:cs="Arial" w:eastAsia="Arial" w:hAnsi="Arial"/>
                <w:sz w:val="17"/>
                <w:szCs w:val="17"/>
                <w:b w:val="1"/>
                <w:bCs w:val="1"/>
                <w:color w:val="auto"/>
              </w:rPr>
              <w:t>Three months ended</w:t>
            </w:r>
          </w:p>
        </w:tc>
        <w:tc>
          <w:tcPr>
            <w:tcW w:w="80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2"/>
          </w:tcPr>
          <w:p>
            <w:pPr>
              <w:jc w:val="right"/>
              <w:ind w:right="53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3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80" w:type="dxa"/>
            <w:vAlign w:val="bottom"/>
          </w:tcPr>
          <w:p>
            <w:pPr>
              <w:jc w:val="right"/>
              <w:ind w:right="654"/>
              <w:spacing w:after="0" w:line="194" w:lineRule="exact"/>
              <w:rPr>
                <w:sz w:val="20"/>
                <w:szCs w:val="20"/>
                <w:color w:val="auto"/>
              </w:rPr>
            </w:pPr>
            <w:r>
              <w:rPr>
                <w:rFonts w:ascii="Arial" w:cs="Arial" w:eastAsia="Arial" w:hAnsi="Arial"/>
                <w:sz w:val="17"/>
                <w:szCs w:val="17"/>
                <w:b w:val="1"/>
                <w:bCs w:val="1"/>
                <w:color w:val="auto"/>
              </w:rPr>
              <w:t>June 30,</w:t>
            </w:r>
          </w:p>
        </w:tc>
        <w:tc>
          <w:tcPr>
            <w:tcW w:w="800" w:type="dxa"/>
            <w:vAlign w:val="bottom"/>
          </w:tcPr>
          <w:p>
            <w:pPr>
              <w:spacing w:after="0"/>
              <w:rPr>
                <w:sz w:val="16"/>
                <w:szCs w:val="16"/>
                <w:color w:val="auto"/>
              </w:rPr>
            </w:pPr>
          </w:p>
        </w:tc>
        <w:tc>
          <w:tcPr>
            <w:tcW w:w="15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2018</w:t>
            </w: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3720" w:type="dxa"/>
            <w:vAlign w:val="bottom"/>
          </w:tcPr>
          <w:p>
            <w:pPr>
              <w:spacing w:after="0" w:line="163" w:lineRule="exact"/>
              <w:rPr>
                <w:sz w:val="20"/>
                <w:szCs w:val="20"/>
                <w:color w:val="auto"/>
              </w:rPr>
            </w:pPr>
            <w:r>
              <w:rPr>
                <w:rFonts w:ascii="Arial" w:cs="Arial" w:eastAsia="Arial" w:hAnsi="Arial"/>
                <w:sz w:val="17"/>
                <w:szCs w:val="17"/>
                <w:color w:val="auto"/>
              </w:rPr>
              <w:t>Machine Clothing</w:t>
            </w:r>
          </w:p>
        </w:tc>
        <w:tc>
          <w:tcPr>
            <w:tcW w:w="1760" w:type="dxa"/>
            <w:vAlign w:val="bottom"/>
          </w:tcPr>
          <w:p>
            <w:pPr>
              <w:spacing w:after="0"/>
              <w:rPr>
                <w:sz w:val="14"/>
                <w:szCs w:val="14"/>
                <w:color w:val="auto"/>
              </w:rPr>
            </w:pPr>
          </w:p>
        </w:tc>
        <w:tc>
          <w:tcPr>
            <w:tcW w:w="1580" w:type="dxa"/>
            <w:vAlign w:val="bottom"/>
          </w:tcPr>
          <w:p>
            <w:pPr>
              <w:jc w:val="right"/>
              <w:ind w:right="894"/>
              <w:spacing w:after="0" w:line="163" w:lineRule="exact"/>
              <w:rPr>
                <w:sz w:val="20"/>
                <w:szCs w:val="20"/>
                <w:color w:val="auto"/>
              </w:rPr>
            </w:pPr>
            <w:r>
              <w:rPr>
                <w:rFonts w:ascii="Arial" w:cs="Arial" w:eastAsia="Arial" w:hAnsi="Arial"/>
                <w:sz w:val="17"/>
                <w:szCs w:val="17"/>
                <w:b w:val="1"/>
                <w:bCs w:val="1"/>
                <w:color w:val="auto"/>
              </w:rPr>
              <w:t>$4,211</w:t>
            </w:r>
          </w:p>
        </w:tc>
        <w:tc>
          <w:tcPr>
            <w:tcW w:w="800" w:type="dxa"/>
            <w:vAlign w:val="bottom"/>
          </w:tcPr>
          <w:p>
            <w:pPr>
              <w:jc w:val="right"/>
              <w:ind w:right="154"/>
              <w:spacing w:after="0" w:line="163" w:lineRule="exact"/>
              <w:rPr>
                <w:sz w:val="20"/>
                <w:szCs w:val="20"/>
                <w:color w:val="auto"/>
              </w:rPr>
            </w:pPr>
            <w:r>
              <w:rPr>
                <w:rFonts w:ascii="Arial" w:cs="Arial" w:eastAsia="Arial" w:hAnsi="Arial"/>
                <w:sz w:val="17"/>
                <w:szCs w:val="17"/>
                <w:color w:val="auto"/>
              </w:rPr>
              <w:t>$4,525</w:t>
            </w:r>
          </w:p>
        </w:tc>
        <w:tc>
          <w:tcPr>
            <w:tcW w:w="1500" w:type="dxa"/>
            <w:vAlign w:val="bottom"/>
          </w:tcPr>
          <w:p>
            <w:pPr>
              <w:jc w:val="right"/>
              <w:ind w:right="334"/>
              <w:spacing w:after="0" w:line="163" w:lineRule="exact"/>
              <w:rPr>
                <w:sz w:val="20"/>
                <w:szCs w:val="20"/>
                <w:color w:val="auto"/>
              </w:rPr>
            </w:pPr>
            <w:r>
              <w:rPr>
                <w:rFonts w:ascii="Arial" w:cs="Arial" w:eastAsia="Arial" w:hAnsi="Arial"/>
                <w:sz w:val="17"/>
                <w:szCs w:val="17"/>
                <w:b w:val="1"/>
                <w:bCs w:val="1"/>
                <w:color w:val="auto"/>
              </w:rPr>
              <w:t>$8,629</w:t>
            </w:r>
          </w:p>
        </w:tc>
        <w:tc>
          <w:tcPr>
            <w:tcW w:w="920" w:type="dxa"/>
            <w:vAlign w:val="bottom"/>
          </w:tcPr>
          <w:p>
            <w:pPr>
              <w:jc w:val="right"/>
              <w:spacing w:after="0" w:line="163" w:lineRule="exact"/>
              <w:rPr>
                <w:sz w:val="20"/>
                <w:szCs w:val="20"/>
                <w:color w:val="auto"/>
              </w:rPr>
            </w:pPr>
            <w:r>
              <w:rPr>
                <w:rFonts w:ascii="Arial" w:cs="Arial" w:eastAsia="Arial" w:hAnsi="Arial"/>
                <w:sz w:val="17"/>
                <w:szCs w:val="17"/>
                <w:color w:val="auto"/>
              </w:rPr>
              <w:t>$9,044</w:t>
            </w:r>
          </w:p>
        </w:tc>
        <w:tc>
          <w:tcPr>
            <w:tcW w:w="20" w:type="dxa"/>
            <w:vAlign w:val="bottom"/>
          </w:tcPr>
          <w:p>
            <w:pPr>
              <w:spacing w:after="0"/>
              <w:rPr>
                <w:sz w:val="14"/>
                <w:szCs w:val="14"/>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Albany Engineered Composites</w:t>
            </w:r>
          </w:p>
        </w:tc>
        <w:tc>
          <w:tcPr>
            <w:tcW w:w="17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b w:val="1"/>
                <w:bCs w:val="1"/>
                <w:color w:val="auto"/>
              </w:rPr>
              <w:t>3,183</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2,778</w:t>
            </w:r>
          </w:p>
        </w:tc>
        <w:tc>
          <w:tcPr>
            <w:tcW w:w="15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6,331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5,854</w:t>
            </w:r>
          </w:p>
        </w:tc>
        <w:tc>
          <w:tcPr>
            <w:tcW w:w="20" w:type="dxa"/>
            <w:vAlign w:val="bottom"/>
            <w:tcBorders>
              <w:bottom w:val="single" w:sz="8" w:color="auto"/>
            </w:tcBorders>
          </w:tcPr>
          <w:p>
            <w:pPr>
              <w:spacing w:after="0"/>
              <w:rPr>
                <w:sz w:val="18"/>
                <w:szCs w:val="18"/>
                <w:color w:val="auto"/>
              </w:rPr>
            </w:pPr>
          </w:p>
        </w:tc>
      </w:tr>
      <w:tr>
        <w:trPr>
          <w:trHeight w:val="186"/>
        </w:trPr>
        <w:tc>
          <w:tcPr>
            <w:tcW w:w="37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94"/>
              <w:spacing w:after="0" w:line="186" w:lineRule="exact"/>
              <w:rPr>
                <w:sz w:val="20"/>
                <w:szCs w:val="20"/>
                <w:color w:val="auto"/>
              </w:rPr>
            </w:pPr>
            <w:r>
              <w:rPr>
                <w:rFonts w:ascii="Arial" w:cs="Arial" w:eastAsia="Arial" w:hAnsi="Arial"/>
                <w:sz w:val="17"/>
                <w:szCs w:val="17"/>
                <w:b w:val="1"/>
                <w:bCs w:val="1"/>
                <w:color w:val="auto"/>
              </w:rPr>
              <w:t>$7,394</w:t>
            </w:r>
          </w:p>
        </w:tc>
        <w:tc>
          <w:tcPr>
            <w:tcW w:w="800" w:type="dxa"/>
            <w:vAlign w:val="bottom"/>
            <w:tcBorders>
              <w:bottom w:val="single" w:sz="8" w:color="auto"/>
            </w:tcBorders>
          </w:tcPr>
          <w:p>
            <w:pPr>
              <w:jc w:val="right"/>
              <w:ind w:right="154"/>
              <w:spacing w:after="0" w:line="186" w:lineRule="exact"/>
              <w:rPr>
                <w:sz w:val="20"/>
                <w:szCs w:val="20"/>
                <w:color w:val="auto"/>
              </w:rPr>
            </w:pPr>
            <w:r>
              <w:rPr>
                <w:rFonts w:ascii="Arial" w:cs="Arial" w:eastAsia="Arial" w:hAnsi="Arial"/>
                <w:sz w:val="17"/>
                <w:szCs w:val="17"/>
                <w:color w:val="auto"/>
              </w:rPr>
              <w:t>$7,303</w:t>
            </w:r>
          </w:p>
        </w:tc>
        <w:tc>
          <w:tcPr>
            <w:tcW w:w="1500" w:type="dxa"/>
            <w:vAlign w:val="bottom"/>
            <w:tcBorders>
              <w:bottom w:val="single" w:sz="8" w:color="auto"/>
            </w:tcBorders>
          </w:tcPr>
          <w:p>
            <w:pPr>
              <w:jc w:val="right"/>
              <w:ind w:right="334"/>
              <w:spacing w:after="0" w:line="186" w:lineRule="exact"/>
              <w:rPr>
                <w:sz w:val="20"/>
                <w:szCs w:val="20"/>
                <w:color w:val="auto"/>
              </w:rPr>
            </w:pPr>
            <w:r>
              <w:rPr>
                <w:rFonts w:ascii="Arial" w:cs="Arial" w:eastAsia="Arial" w:hAnsi="Arial"/>
                <w:sz w:val="17"/>
                <w:szCs w:val="17"/>
                <w:b w:val="1"/>
                <w:bCs w:val="1"/>
                <w:color w:val="auto"/>
              </w:rPr>
              <w:t>$14,960</w:t>
            </w:r>
          </w:p>
        </w:tc>
        <w:tc>
          <w:tcPr>
            <w:tcW w:w="9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$14,898</w:t>
            </w:r>
          </w:p>
        </w:tc>
        <w:tc>
          <w:tcPr>
            <w:tcW w:w="20" w:type="dxa"/>
            <w:vAlign w:val="bottom"/>
            <w:tcBorders>
              <w:bottom w:val="single" w:sz="8" w:color="auto"/>
            </w:tcBorders>
          </w:tcPr>
          <w:p>
            <w:pPr>
              <w:spacing w:after="0"/>
              <w:rPr>
                <w:sz w:val="16"/>
                <w:szCs w:val="16"/>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w:t>
      </w:r>
    </w:p>
    <w:p>
      <w:pPr>
        <w:spacing w:after="0" w:line="200" w:lineRule="exact"/>
        <w:rPr>
          <w:sz w:val="20"/>
          <w:szCs w:val="20"/>
          <w:color w:val="auto"/>
        </w:rPr>
      </w:pPr>
    </w:p>
    <w:p>
      <w:pPr>
        <w:spacing w:after="0" w:line="259" w:lineRule="exact"/>
        <w:rPr>
          <w:sz w:val="20"/>
          <w:szCs w:val="20"/>
          <w:color w:val="auto"/>
        </w:rPr>
      </w:pPr>
    </w:p>
    <w:p>
      <w:pPr>
        <w:ind w:right="40" w:firstLine="620"/>
        <w:spacing w:after="0" w:line="250" w:lineRule="auto"/>
        <w:rPr>
          <w:sz w:val="20"/>
          <w:szCs w:val="20"/>
          <w:color w:val="auto"/>
        </w:rPr>
      </w:pPr>
      <w:r>
        <w:rPr>
          <w:rFonts w:ascii="Arial" w:cs="Arial" w:eastAsia="Arial" w:hAnsi="Arial"/>
          <w:sz w:val="17"/>
          <w:szCs w:val="17"/>
          <w:color w:val="auto"/>
        </w:rPr>
        <w:t>In addition to the items discussed above affecting gross profit, and STG&amp;R expenses, operating income was affected by restructuring costs of $11.2 million in the first six months of 2018 and $4.7 million for the same period in 2017.</w:t>
      </w:r>
    </w:p>
    <w:p>
      <w:pPr>
        <w:spacing w:after="0" w:line="200" w:lineRule="exact"/>
        <w:rPr>
          <w:sz w:val="20"/>
          <w:szCs w:val="20"/>
          <w:color w:val="auto"/>
        </w:rPr>
      </w:pPr>
    </w:p>
    <w:p>
      <w:pPr>
        <w:spacing w:after="0" w:line="3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restructuring expenses by business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gridSpan w:val="2"/>
          </w:tcPr>
          <w:p>
            <w:pPr>
              <w:jc w:val="right"/>
              <w:ind w:right="174"/>
              <w:spacing w:after="0" w:line="184" w:lineRule="exact"/>
              <w:rPr>
                <w:sz w:val="20"/>
                <w:szCs w:val="20"/>
                <w:color w:val="auto"/>
              </w:rPr>
            </w:pPr>
            <w:r>
              <w:rPr>
                <w:rFonts w:ascii="Arial" w:cs="Arial" w:eastAsia="Arial" w:hAnsi="Arial"/>
                <w:sz w:val="17"/>
                <w:szCs w:val="17"/>
                <w:b w:val="1"/>
                <w:bCs w:val="1"/>
                <w:color w:val="auto"/>
              </w:rPr>
              <w:t>Three months ended</w:t>
            </w:r>
          </w:p>
        </w:tc>
        <w:tc>
          <w:tcPr>
            <w:tcW w:w="80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2"/>
          </w:tcPr>
          <w:p>
            <w:pPr>
              <w:jc w:val="right"/>
              <w:ind w:right="51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3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80" w:type="dxa"/>
            <w:vAlign w:val="bottom"/>
          </w:tcPr>
          <w:p>
            <w:pPr>
              <w:jc w:val="right"/>
              <w:ind w:right="654"/>
              <w:spacing w:after="0" w:line="194" w:lineRule="exact"/>
              <w:rPr>
                <w:sz w:val="20"/>
                <w:szCs w:val="20"/>
                <w:color w:val="auto"/>
              </w:rPr>
            </w:pPr>
            <w:r>
              <w:rPr>
                <w:rFonts w:ascii="Arial" w:cs="Arial" w:eastAsia="Arial" w:hAnsi="Arial"/>
                <w:sz w:val="17"/>
                <w:szCs w:val="17"/>
                <w:b w:val="1"/>
                <w:bCs w:val="1"/>
                <w:color w:val="auto"/>
              </w:rPr>
              <w:t>June 30,</w:t>
            </w:r>
          </w:p>
        </w:tc>
        <w:tc>
          <w:tcPr>
            <w:tcW w:w="800" w:type="dxa"/>
            <w:vAlign w:val="bottom"/>
          </w:tcPr>
          <w:p>
            <w:pPr>
              <w:spacing w:after="0"/>
              <w:rPr>
                <w:sz w:val="16"/>
                <w:szCs w:val="16"/>
                <w:color w:val="auto"/>
              </w:rPr>
            </w:pPr>
          </w:p>
        </w:tc>
        <w:tc>
          <w:tcPr>
            <w:tcW w:w="15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2018</w:t>
            </w: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3720" w:type="dxa"/>
            <w:vAlign w:val="bottom"/>
          </w:tcPr>
          <w:p>
            <w:pPr>
              <w:spacing w:after="0" w:line="163" w:lineRule="exact"/>
              <w:rPr>
                <w:sz w:val="20"/>
                <w:szCs w:val="20"/>
                <w:color w:val="auto"/>
              </w:rPr>
            </w:pPr>
            <w:r>
              <w:rPr>
                <w:rFonts w:ascii="Arial" w:cs="Arial" w:eastAsia="Arial" w:hAnsi="Arial"/>
                <w:sz w:val="17"/>
                <w:szCs w:val="17"/>
                <w:color w:val="auto"/>
              </w:rPr>
              <w:t>Machine Clothing</w:t>
            </w:r>
          </w:p>
        </w:tc>
        <w:tc>
          <w:tcPr>
            <w:tcW w:w="1760" w:type="dxa"/>
            <w:vAlign w:val="bottom"/>
          </w:tcPr>
          <w:p>
            <w:pPr>
              <w:spacing w:after="0"/>
              <w:rPr>
                <w:sz w:val="14"/>
                <w:szCs w:val="14"/>
                <w:color w:val="auto"/>
              </w:rPr>
            </w:pPr>
          </w:p>
        </w:tc>
        <w:tc>
          <w:tcPr>
            <w:tcW w:w="1580" w:type="dxa"/>
            <w:vAlign w:val="bottom"/>
          </w:tcPr>
          <w:p>
            <w:pPr>
              <w:jc w:val="right"/>
              <w:ind w:right="894"/>
              <w:spacing w:after="0" w:line="163" w:lineRule="exact"/>
              <w:rPr>
                <w:sz w:val="20"/>
                <w:szCs w:val="20"/>
                <w:color w:val="auto"/>
              </w:rPr>
            </w:pPr>
            <w:r>
              <w:rPr>
                <w:rFonts w:ascii="Arial" w:cs="Arial" w:eastAsia="Arial" w:hAnsi="Arial"/>
                <w:sz w:val="17"/>
                <w:szCs w:val="17"/>
                <w:b w:val="1"/>
                <w:bCs w:val="1"/>
                <w:color w:val="auto"/>
              </w:rPr>
              <w:t>$1,800</w:t>
            </w:r>
          </w:p>
        </w:tc>
        <w:tc>
          <w:tcPr>
            <w:tcW w:w="800" w:type="dxa"/>
            <w:vAlign w:val="bottom"/>
          </w:tcPr>
          <w:p>
            <w:pPr>
              <w:jc w:val="right"/>
              <w:ind w:right="154"/>
              <w:spacing w:after="0" w:line="163" w:lineRule="exact"/>
              <w:rPr>
                <w:sz w:val="20"/>
                <w:szCs w:val="20"/>
                <w:color w:val="auto"/>
              </w:rPr>
            </w:pPr>
            <w:r>
              <w:rPr>
                <w:rFonts w:ascii="Arial" w:cs="Arial" w:eastAsia="Arial" w:hAnsi="Arial"/>
                <w:sz w:val="17"/>
                <w:szCs w:val="17"/>
                <w:color w:val="auto"/>
              </w:rPr>
              <w:t>$805</w:t>
            </w:r>
          </w:p>
        </w:tc>
        <w:tc>
          <w:tcPr>
            <w:tcW w:w="1500" w:type="dxa"/>
            <w:vAlign w:val="bottom"/>
          </w:tcPr>
          <w:p>
            <w:pPr>
              <w:jc w:val="right"/>
              <w:ind w:right="334"/>
              <w:spacing w:after="0" w:line="163" w:lineRule="exact"/>
              <w:rPr>
                <w:sz w:val="20"/>
                <w:szCs w:val="20"/>
                <w:color w:val="auto"/>
              </w:rPr>
            </w:pPr>
            <w:r>
              <w:rPr>
                <w:rFonts w:ascii="Arial" w:cs="Arial" w:eastAsia="Arial" w:hAnsi="Arial"/>
                <w:sz w:val="17"/>
                <w:szCs w:val="17"/>
                <w:b w:val="1"/>
                <w:bCs w:val="1"/>
                <w:color w:val="auto"/>
              </w:rPr>
              <w:t>$10,152</w:t>
            </w:r>
          </w:p>
        </w:tc>
        <w:tc>
          <w:tcPr>
            <w:tcW w:w="920" w:type="dxa"/>
            <w:vAlign w:val="bottom"/>
          </w:tcPr>
          <w:p>
            <w:pPr>
              <w:jc w:val="right"/>
              <w:spacing w:after="0" w:line="163" w:lineRule="exact"/>
              <w:rPr>
                <w:sz w:val="20"/>
                <w:szCs w:val="20"/>
                <w:color w:val="auto"/>
              </w:rPr>
            </w:pPr>
            <w:r>
              <w:rPr>
                <w:rFonts w:ascii="Arial" w:cs="Arial" w:eastAsia="Arial" w:hAnsi="Arial"/>
                <w:sz w:val="17"/>
                <w:szCs w:val="17"/>
                <w:color w:val="auto"/>
              </w:rPr>
              <w:t>$916</w:t>
            </w:r>
          </w:p>
        </w:tc>
        <w:tc>
          <w:tcPr>
            <w:tcW w:w="20" w:type="dxa"/>
            <w:vAlign w:val="bottom"/>
          </w:tcPr>
          <w:p>
            <w:pPr>
              <w:spacing w:after="0"/>
              <w:rPr>
                <w:sz w:val="14"/>
                <w:szCs w:val="14"/>
                <w:color w:val="auto"/>
              </w:rPr>
            </w:pPr>
          </w:p>
        </w:tc>
      </w:tr>
      <w:tr>
        <w:trPr>
          <w:trHeight w:val="194"/>
        </w:trPr>
        <w:tc>
          <w:tcPr>
            <w:tcW w:w="372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1760" w:type="dxa"/>
            <w:vAlign w:val="bottom"/>
          </w:tcPr>
          <w:p>
            <w:pPr>
              <w:spacing w:after="0"/>
              <w:rPr>
                <w:sz w:val="16"/>
                <w:szCs w:val="16"/>
                <w:color w:val="auto"/>
              </w:rPr>
            </w:pPr>
          </w:p>
        </w:tc>
        <w:tc>
          <w:tcPr>
            <w:tcW w:w="1580" w:type="dxa"/>
            <w:vAlign w:val="bottom"/>
          </w:tcPr>
          <w:p>
            <w:pPr>
              <w:jc w:val="right"/>
              <w:ind w:right="894"/>
              <w:spacing w:after="0" w:line="194" w:lineRule="exact"/>
              <w:rPr>
                <w:sz w:val="20"/>
                <w:szCs w:val="20"/>
                <w:color w:val="auto"/>
              </w:rPr>
            </w:pPr>
            <w:r>
              <w:rPr>
                <w:rFonts w:ascii="Arial" w:cs="Arial" w:eastAsia="Arial" w:hAnsi="Arial"/>
                <w:sz w:val="17"/>
                <w:szCs w:val="17"/>
                <w:b w:val="1"/>
                <w:bCs w:val="1"/>
                <w:color w:val="auto"/>
              </w:rPr>
              <w:t>558</w:t>
            </w:r>
          </w:p>
        </w:tc>
        <w:tc>
          <w:tcPr>
            <w:tcW w:w="800" w:type="dxa"/>
            <w:vAlign w:val="bottom"/>
          </w:tcPr>
          <w:p>
            <w:pPr>
              <w:jc w:val="right"/>
              <w:ind w:right="154"/>
              <w:spacing w:after="0" w:line="194" w:lineRule="exact"/>
              <w:rPr>
                <w:sz w:val="20"/>
                <w:szCs w:val="20"/>
                <w:color w:val="auto"/>
              </w:rPr>
            </w:pPr>
            <w:r>
              <w:rPr>
                <w:rFonts w:ascii="Arial" w:cs="Arial" w:eastAsia="Arial" w:hAnsi="Arial"/>
                <w:sz w:val="17"/>
                <w:szCs w:val="17"/>
                <w:color w:val="auto"/>
              </w:rPr>
              <w:t>1,231</w:t>
            </w:r>
          </w:p>
        </w:tc>
        <w:tc>
          <w:tcPr>
            <w:tcW w:w="150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779</w:t>
            </w:r>
          </w:p>
        </w:tc>
        <w:tc>
          <w:tcPr>
            <w:tcW w:w="9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3,801</w:t>
            </w: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 expenses</w:t>
            </w:r>
          </w:p>
        </w:tc>
        <w:tc>
          <w:tcPr>
            <w:tcW w:w="17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b w:val="1"/>
                <w:bCs w:val="1"/>
                <w:color w:val="auto"/>
              </w:rPr>
              <w:t>231</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231</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186"/>
        </w:trPr>
        <w:tc>
          <w:tcPr>
            <w:tcW w:w="37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94"/>
              <w:spacing w:after="0" w:line="186" w:lineRule="exact"/>
              <w:rPr>
                <w:sz w:val="20"/>
                <w:szCs w:val="20"/>
                <w:color w:val="auto"/>
              </w:rPr>
            </w:pPr>
            <w:r>
              <w:rPr>
                <w:rFonts w:ascii="Arial" w:cs="Arial" w:eastAsia="Arial" w:hAnsi="Arial"/>
                <w:sz w:val="17"/>
                <w:szCs w:val="17"/>
                <w:b w:val="1"/>
                <w:bCs w:val="1"/>
                <w:color w:val="auto"/>
              </w:rPr>
              <w:t>$2,589</w:t>
            </w:r>
          </w:p>
        </w:tc>
        <w:tc>
          <w:tcPr>
            <w:tcW w:w="800" w:type="dxa"/>
            <w:vAlign w:val="bottom"/>
            <w:tcBorders>
              <w:bottom w:val="single" w:sz="8" w:color="auto"/>
            </w:tcBorders>
          </w:tcPr>
          <w:p>
            <w:pPr>
              <w:jc w:val="right"/>
              <w:ind w:right="154"/>
              <w:spacing w:after="0" w:line="186" w:lineRule="exact"/>
              <w:rPr>
                <w:sz w:val="20"/>
                <w:szCs w:val="20"/>
                <w:color w:val="auto"/>
              </w:rPr>
            </w:pPr>
            <w:r>
              <w:rPr>
                <w:rFonts w:ascii="Arial" w:cs="Arial" w:eastAsia="Arial" w:hAnsi="Arial"/>
                <w:sz w:val="17"/>
                <w:szCs w:val="17"/>
                <w:color w:val="auto"/>
              </w:rPr>
              <w:t>$2,036</w:t>
            </w:r>
          </w:p>
        </w:tc>
        <w:tc>
          <w:tcPr>
            <w:tcW w:w="1500" w:type="dxa"/>
            <w:vAlign w:val="bottom"/>
            <w:tcBorders>
              <w:bottom w:val="single" w:sz="8" w:color="auto"/>
            </w:tcBorders>
          </w:tcPr>
          <w:p>
            <w:pPr>
              <w:jc w:val="right"/>
              <w:ind w:right="334"/>
              <w:spacing w:after="0" w:line="186" w:lineRule="exact"/>
              <w:rPr>
                <w:sz w:val="20"/>
                <w:szCs w:val="20"/>
                <w:color w:val="auto"/>
              </w:rPr>
            </w:pPr>
            <w:r>
              <w:rPr>
                <w:rFonts w:ascii="Arial" w:cs="Arial" w:eastAsia="Arial" w:hAnsi="Arial"/>
                <w:sz w:val="17"/>
                <w:szCs w:val="17"/>
                <w:b w:val="1"/>
                <w:bCs w:val="1"/>
                <w:color w:val="auto"/>
              </w:rPr>
              <w:t>$11,162</w:t>
            </w:r>
          </w:p>
        </w:tc>
        <w:tc>
          <w:tcPr>
            <w:tcW w:w="94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$4,717</w:t>
            </w:r>
          </w:p>
        </w:tc>
      </w:tr>
    </w:tbl>
    <w:p>
      <w:pPr>
        <w:spacing w:after="0" w:line="361" w:lineRule="exact"/>
        <w:rPr>
          <w:sz w:val="20"/>
          <w:szCs w:val="20"/>
          <w:color w:val="auto"/>
        </w:rPr>
      </w:pPr>
    </w:p>
    <w:p>
      <w:pPr>
        <w:ind w:right="140" w:firstLine="620"/>
        <w:spacing w:after="0" w:line="241" w:lineRule="auto"/>
        <w:rPr>
          <w:sz w:val="20"/>
          <w:szCs w:val="20"/>
          <w:color w:val="auto"/>
        </w:rPr>
      </w:pPr>
      <w:r>
        <w:rPr>
          <w:rFonts w:ascii="Arial" w:cs="Arial" w:eastAsia="Arial" w:hAnsi="Arial"/>
          <w:sz w:val="17"/>
          <w:szCs w:val="17"/>
          <w:color w:val="auto"/>
        </w:rPr>
        <w:t>In the first quarter of 2018, the Company’s proposal to close its Machine Clothing production facility in Sélestat, France was approved by the French Labor Ministry. The restructuring program was driven by the Company’s need to balance manufacturing capacity with demand. In the first six months of 2018, we recorded restructuring expense of $ 8.6 million, which includes our estimate of the severance and outplacement costs for the approximately 50 positions that will be terminated under this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7" w:name="page48"/>
    <w:bookmarkEnd w:id="47"/>
    <w:p>
      <w:pPr>
        <w:ind w:right="60"/>
        <w:spacing w:after="0" w:line="241" w:lineRule="auto"/>
        <w:rPr>
          <w:sz w:val="20"/>
          <w:szCs w:val="20"/>
          <w:color w:val="auto"/>
        </w:rPr>
      </w:pPr>
      <w:r>
        <w:rPr>
          <w:rFonts w:ascii="Arial" w:cs="Arial" w:eastAsia="Arial" w:hAnsi="Arial"/>
          <w:sz w:val="17"/>
          <w:szCs w:val="17"/>
          <w:color w:val="auto"/>
        </w:rPr>
        <w:t>plan. To date, we have recorded $9.7 million of restructuring charges related to this action. The Company continues to assess property, plant and equipment in that location to determine if equipment will be transferred to other facilities, or if the value of the assets can be recovered through a sale. Depending on the outcome of that assessment, additional restructuring charges could be recorded in future periods. Annual cost savings associated with this action will principally result in lower cost of goods sold in 2018.</w:t>
      </w:r>
    </w:p>
    <w:p>
      <w:pPr>
        <w:spacing w:after="0" w:line="157" w:lineRule="exact"/>
        <w:rPr>
          <w:sz w:val="20"/>
          <w:szCs w:val="20"/>
          <w:color w:val="auto"/>
        </w:rPr>
      </w:pPr>
    </w:p>
    <w:p>
      <w:pPr>
        <w:ind w:right="300" w:firstLine="620"/>
        <w:spacing w:after="0" w:line="243" w:lineRule="auto"/>
        <w:rPr>
          <w:sz w:val="20"/>
          <w:szCs w:val="20"/>
          <w:color w:val="auto"/>
        </w:rPr>
      </w:pPr>
      <w:r>
        <w:rPr>
          <w:rFonts w:ascii="Arial" w:cs="Arial" w:eastAsia="Arial" w:hAnsi="Arial"/>
          <w:sz w:val="17"/>
          <w:szCs w:val="17"/>
          <w:color w:val="auto"/>
        </w:rPr>
        <w:t>AEC restructuring charges in the first six months of 2018 and 2017 principally relate to work force reductions in Salt Lake City, Utah and Rochester, New Hampshire. To date, we have recorded $5.8 million of restructuring charges related to these actions. Cost savings associated with this action will result, principally, in lower costs of goods sold in 2018.</w:t>
      </w:r>
    </w:p>
    <w:p>
      <w:pPr>
        <w:spacing w:after="0" w:line="168" w:lineRule="exact"/>
        <w:rPr>
          <w:sz w:val="20"/>
          <w:szCs w:val="20"/>
          <w:color w:val="auto"/>
        </w:rPr>
      </w:pPr>
    </w:p>
    <w:p>
      <w:pPr>
        <w:ind w:right="480" w:firstLine="620"/>
        <w:spacing w:after="0" w:line="250" w:lineRule="auto"/>
        <w:rPr>
          <w:sz w:val="20"/>
          <w:szCs w:val="20"/>
          <w:color w:val="auto"/>
        </w:rPr>
      </w:pPr>
      <w:r>
        <w:rPr>
          <w:rFonts w:ascii="Arial" w:cs="Arial" w:eastAsia="Arial" w:hAnsi="Arial"/>
          <w:sz w:val="17"/>
          <w:szCs w:val="17"/>
          <w:color w:val="auto"/>
        </w:rPr>
        <w:t>For more information on our restructuring charges, see Note 5 to the Consolidated Financial Statements in Item 1, which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operating income/(loss) by business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Borders>
              <w:top w:val="single" w:sz="8" w:color="auto"/>
            </w:tcBorders>
          </w:tcPr>
          <w:p>
            <w:pPr>
              <w:spacing w:after="0"/>
              <w:rPr>
                <w:sz w:val="15"/>
                <w:szCs w:val="15"/>
                <w:color w:val="auto"/>
              </w:rPr>
            </w:pPr>
          </w:p>
        </w:tc>
        <w:tc>
          <w:tcPr>
            <w:tcW w:w="4620" w:type="dxa"/>
            <w:vAlign w:val="bottom"/>
            <w:tcBorders>
              <w:top w:val="single" w:sz="8" w:color="auto"/>
            </w:tcBorders>
            <w:gridSpan w:val="2"/>
          </w:tcPr>
          <w:p>
            <w:pPr>
              <w:jc w:val="right"/>
              <w:ind w:right="714"/>
              <w:spacing w:after="0" w:line="184" w:lineRule="exact"/>
              <w:rPr>
                <w:sz w:val="20"/>
                <w:szCs w:val="20"/>
                <w:color w:val="auto"/>
              </w:rPr>
            </w:pPr>
            <w:r>
              <w:rPr>
                <w:rFonts w:ascii="Arial" w:cs="Arial" w:eastAsia="Arial" w:hAnsi="Arial"/>
                <w:sz w:val="17"/>
                <w:szCs w:val="17"/>
                <w:b w:val="1"/>
                <w:bCs w:val="1"/>
                <w:color w:val="auto"/>
              </w:rPr>
              <w:t>Three months ended</w:t>
            </w:r>
          </w:p>
        </w:tc>
        <w:tc>
          <w:tcPr>
            <w:tcW w:w="2280" w:type="dxa"/>
            <w:vAlign w:val="bottom"/>
            <w:tcBorders>
              <w:top w:val="single" w:sz="8" w:color="auto"/>
            </w:tcBorders>
            <w:gridSpan w:val="2"/>
          </w:tcPr>
          <w:p>
            <w:pPr>
              <w:jc w:val="right"/>
              <w:ind w:right="41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4520" w:type="dxa"/>
            <w:vAlign w:val="bottom"/>
          </w:tcPr>
          <w:p>
            <w:pPr>
              <w:spacing w:after="0"/>
              <w:rPr>
                <w:sz w:val="16"/>
                <w:szCs w:val="16"/>
                <w:color w:val="auto"/>
              </w:rPr>
            </w:pPr>
          </w:p>
        </w:tc>
        <w:tc>
          <w:tcPr>
            <w:tcW w:w="34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1180" w:type="dxa"/>
            <w:vAlign w:val="bottom"/>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440" w:type="dxa"/>
            <w:vAlign w:val="bottom"/>
            <w:tcBorders>
              <w:bottom w:val="single" w:sz="8" w:color="auto"/>
            </w:tcBorders>
          </w:tcPr>
          <w:p>
            <w:pPr>
              <w:jc w:val="right"/>
              <w:ind w:right="874"/>
              <w:spacing w:after="0"/>
              <w:rPr>
                <w:sz w:val="20"/>
                <w:szCs w:val="20"/>
                <w:color w:val="auto"/>
              </w:rPr>
            </w:pPr>
            <w:r>
              <w:rPr>
                <w:rFonts w:ascii="Arial" w:cs="Arial" w:eastAsia="Arial" w:hAnsi="Arial"/>
                <w:sz w:val="17"/>
                <w:szCs w:val="17"/>
                <w:b w:val="1"/>
                <w:bCs w:val="1"/>
                <w:color w:val="auto"/>
              </w:rPr>
              <w:t>2018</w:t>
            </w: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2017</w:t>
            </w:r>
          </w:p>
        </w:tc>
        <w:tc>
          <w:tcPr>
            <w:tcW w:w="14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2018</w:t>
            </w: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4520" w:type="dxa"/>
            <w:vAlign w:val="bottom"/>
          </w:tcPr>
          <w:p>
            <w:pPr>
              <w:spacing w:after="0" w:line="163" w:lineRule="exact"/>
              <w:rPr>
                <w:sz w:val="20"/>
                <w:szCs w:val="20"/>
                <w:color w:val="auto"/>
              </w:rPr>
            </w:pPr>
            <w:r>
              <w:rPr>
                <w:rFonts w:ascii="Arial" w:cs="Arial" w:eastAsia="Arial" w:hAnsi="Arial"/>
                <w:sz w:val="17"/>
                <w:szCs w:val="17"/>
                <w:color w:val="auto"/>
              </w:rPr>
              <w:t>Machine Clothing</w:t>
            </w:r>
          </w:p>
        </w:tc>
        <w:tc>
          <w:tcPr>
            <w:tcW w:w="3440" w:type="dxa"/>
            <w:vAlign w:val="bottom"/>
          </w:tcPr>
          <w:p>
            <w:pPr>
              <w:jc w:val="right"/>
              <w:ind w:right="314"/>
              <w:spacing w:after="0" w:line="163" w:lineRule="exact"/>
              <w:rPr>
                <w:sz w:val="20"/>
                <w:szCs w:val="20"/>
                <w:color w:val="auto"/>
              </w:rPr>
            </w:pPr>
            <w:r>
              <w:rPr>
                <w:rFonts w:ascii="Arial" w:cs="Arial" w:eastAsia="Arial" w:hAnsi="Arial"/>
                <w:sz w:val="17"/>
                <w:szCs w:val="17"/>
                <w:b w:val="1"/>
                <w:bCs w:val="1"/>
                <w:color w:val="auto"/>
              </w:rPr>
              <w:t>$50,843</w:t>
            </w:r>
          </w:p>
        </w:tc>
        <w:tc>
          <w:tcPr>
            <w:tcW w:w="1180" w:type="dxa"/>
            <w:vAlign w:val="bottom"/>
          </w:tcPr>
          <w:p>
            <w:pPr>
              <w:jc w:val="right"/>
              <w:ind w:right="134"/>
              <w:spacing w:after="0" w:line="163" w:lineRule="exact"/>
              <w:rPr>
                <w:sz w:val="20"/>
                <w:szCs w:val="20"/>
                <w:color w:val="auto"/>
              </w:rPr>
            </w:pPr>
            <w:r>
              <w:rPr>
                <w:rFonts w:ascii="Arial" w:cs="Arial" w:eastAsia="Arial" w:hAnsi="Arial"/>
                <w:sz w:val="17"/>
                <w:szCs w:val="17"/>
                <w:color w:val="auto"/>
              </w:rPr>
              <w:t>$38,425</w:t>
            </w:r>
          </w:p>
        </w:tc>
        <w:tc>
          <w:tcPr>
            <w:tcW w:w="1440" w:type="dxa"/>
            <w:vAlign w:val="bottom"/>
          </w:tcPr>
          <w:p>
            <w:pPr>
              <w:jc w:val="right"/>
              <w:ind w:right="314"/>
              <w:spacing w:after="0" w:line="163" w:lineRule="exact"/>
              <w:rPr>
                <w:sz w:val="20"/>
                <w:szCs w:val="20"/>
                <w:color w:val="auto"/>
              </w:rPr>
            </w:pPr>
            <w:r>
              <w:rPr>
                <w:rFonts w:ascii="Arial" w:cs="Arial" w:eastAsia="Arial" w:hAnsi="Arial"/>
                <w:sz w:val="17"/>
                <w:szCs w:val="17"/>
                <w:b w:val="1"/>
                <w:bCs w:val="1"/>
                <w:color w:val="auto"/>
              </w:rPr>
              <w:t>$81,613</w:t>
            </w:r>
          </w:p>
        </w:tc>
        <w:tc>
          <w:tcPr>
            <w:tcW w:w="840" w:type="dxa"/>
            <w:vAlign w:val="bottom"/>
          </w:tcPr>
          <w:p>
            <w:pPr>
              <w:jc w:val="right"/>
              <w:spacing w:after="0" w:line="163" w:lineRule="exact"/>
              <w:rPr>
                <w:sz w:val="20"/>
                <w:szCs w:val="20"/>
                <w:color w:val="auto"/>
              </w:rPr>
            </w:pPr>
            <w:r>
              <w:rPr>
                <w:rFonts w:ascii="Arial" w:cs="Arial" w:eastAsia="Arial" w:hAnsi="Arial"/>
                <w:sz w:val="17"/>
                <w:szCs w:val="17"/>
                <w:color w:val="auto"/>
              </w:rPr>
              <w:t>$76,688</w:t>
            </w:r>
          </w:p>
        </w:tc>
        <w:tc>
          <w:tcPr>
            <w:tcW w:w="20" w:type="dxa"/>
            <w:vAlign w:val="bottom"/>
          </w:tcPr>
          <w:p>
            <w:pPr>
              <w:spacing w:after="0"/>
              <w:rPr>
                <w:sz w:val="14"/>
                <w:szCs w:val="14"/>
                <w:color w:val="auto"/>
              </w:rPr>
            </w:pPr>
          </w:p>
        </w:tc>
      </w:tr>
      <w:tr>
        <w:trPr>
          <w:trHeight w:val="194"/>
        </w:trPr>
        <w:tc>
          <w:tcPr>
            <w:tcW w:w="4520" w:type="dxa"/>
            <w:vAlign w:val="bottom"/>
          </w:tcPr>
          <w:p>
            <w:pPr>
              <w:spacing w:after="0" w:line="194" w:lineRule="exact"/>
              <w:rPr>
                <w:sz w:val="20"/>
                <w:szCs w:val="20"/>
                <w:color w:val="auto"/>
              </w:rPr>
            </w:pPr>
            <w:r>
              <w:rPr>
                <w:rFonts w:ascii="Arial" w:cs="Arial" w:eastAsia="Arial" w:hAnsi="Arial"/>
                <w:sz w:val="17"/>
                <w:szCs w:val="17"/>
                <w:color w:val="auto"/>
              </w:rPr>
              <w:t>Albany Engineered Composites</w:t>
            </w:r>
          </w:p>
        </w:tc>
        <w:tc>
          <w:tcPr>
            <w:tcW w:w="3440" w:type="dxa"/>
            <w:vAlign w:val="bottom"/>
          </w:tcPr>
          <w:p>
            <w:pPr>
              <w:jc w:val="right"/>
              <w:ind w:right="314"/>
              <w:spacing w:after="0" w:line="194" w:lineRule="exact"/>
              <w:rPr>
                <w:sz w:val="20"/>
                <w:szCs w:val="20"/>
                <w:color w:val="auto"/>
              </w:rPr>
            </w:pPr>
            <w:r>
              <w:rPr>
                <w:rFonts w:ascii="Arial" w:cs="Arial" w:eastAsia="Arial" w:hAnsi="Arial"/>
                <w:sz w:val="17"/>
                <w:szCs w:val="17"/>
                <w:b w:val="1"/>
                <w:bCs w:val="1"/>
                <w:color w:val="auto"/>
              </w:rPr>
              <w:t>4,092</w:t>
            </w:r>
          </w:p>
        </w:tc>
        <w:tc>
          <w:tcPr>
            <w:tcW w:w="118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(17,828)</w:t>
            </w:r>
          </w:p>
        </w:tc>
        <w:tc>
          <w:tcPr>
            <w:tcW w:w="1440" w:type="dxa"/>
            <w:vAlign w:val="bottom"/>
          </w:tcPr>
          <w:p>
            <w:pPr>
              <w:jc w:val="right"/>
              <w:ind w:right="314"/>
              <w:spacing w:after="0" w:line="194" w:lineRule="exact"/>
              <w:rPr>
                <w:sz w:val="20"/>
                <w:szCs w:val="20"/>
                <w:color w:val="auto"/>
              </w:rPr>
            </w:pPr>
            <w:r>
              <w:rPr>
                <w:rFonts w:ascii="Arial" w:cs="Arial" w:eastAsia="Arial" w:hAnsi="Arial"/>
                <w:sz w:val="17"/>
                <w:szCs w:val="17"/>
                <w:b w:val="1"/>
                <w:bCs w:val="1"/>
                <w:color w:val="auto"/>
              </w:rPr>
              <w:t>6,366</w:t>
            </w:r>
          </w:p>
        </w:tc>
        <w:tc>
          <w:tcPr>
            <w:tcW w:w="8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(22,942)</w:t>
            </w:r>
          </w:p>
        </w:tc>
      </w:tr>
      <w:tr>
        <w:trPr>
          <w:trHeight w:val="216"/>
        </w:trPr>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 expenses</w:t>
            </w:r>
          </w:p>
        </w:tc>
        <w:tc>
          <w:tcPr>
            <w:tcW w:w="34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(12,251)</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(10,742)</w:t>
            </w: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(24,464)</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(21,213)</w:t>
            </w:r>
          </w:p>
        </w:tc>
      </w:tr>
      <w:tr>
        <w:trPr>
          <w:trHeight w:val="186"/>
        </w:trPr>
        <w:tc>
          <w:tcPr>
            <w:tcW w:w="45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Total</w:t>
            </w:r>
          </w:p>
        </w:tc>
        <w:tc>
          <w:tcPr>
            <w:tcW w:w="3440" w:type="dxa"/>
            <w:vAlign w:val="bottom"/>
            <w:tcBorders>
              <w:bottom w:val="single" w:sz="8" w:color="auto"/>
            </w:tcBorders>
          </w:tcPr>
          <w:p>
            <w:pPr>
              <w:jc w:val="right"/>
              <w:ind w:right="314"/>
              <w:spacing w:after="0" w:line="186" w:lineRule="exact"/>
              <w:rPr>
                <w:sz w:val="20"/>
                <w:szCs w:val="20"/>
                <w:color w:val="auto"/>
              </w:rPr>
            </w:pPr>
            <w:r>
              <w:rPr>
                <w:rFonts w:ascii="Arial" w:cs="Arial" w:eastAsia="Arial" w:hAnsi="Arial"/>
                <w:sz w:val="17"/>
                <w:szCs w:val="17"/>
                <w:b w:val="1"/>
                <w:bCs w:val="1"/>
                <w:color w:val="auto"/>
              </w:rPr>
              <w:t>$42,684</w:t>
            </w:r>
          </w:p>
        </w:tc>
        <w:tc>
          <w:tcPr>
            <w:tcW w:w="118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color w:val="auto"/>
              </w:rPr>
              <w:t>$9,855</w:t>
            </w:r>
          </w:p>
        </w:tc>
        <w:tc>
          <w:tcPr>
            <w:tcW w:w="1440" w:type="dxa"/>
            <w:vAlign w:val="bottom"/>
            <w:tcBorders>
              <w:bottom w:val="single" w:sz="8" w:color="auto"/>
            </w:tcBorders>
          </w:tcPr>
          <w:p>
            <w:pPr>
              <w:jc w:val="right"/>
              <w:ind w:right="314"/>
              <w:spacing w:after="0" w:line="186" w:lineRule="exact"/>
              <w:rPr>
                <w:sz w:val="20"/>
                <w:szCs w:val="20"/>
                <w:color w:val="auto"/>
              </w:rPr>
            </w:pPr>
            <w:r>
              <w:rPr>
                <w:rFonts w:ascii="Arial" w:cs="Arial" w:eastAsia="Arial" w:hAnsi="Arial"/>
                <w:sz w:val="17"/>
                <w:szCs w:val="17"/>
                <w:b w:val="1"/>
                <w:bCs w:val="1"/>
                <w:color w:val="auto"/>
              </w:rPr>
              <w:t>$63,515</w:t>
            </w:r>
          </w:p>
        </w:tc>
        <w:tc>
          <w:tcPr>
            <w:tcW w:w="860" w:type="dxa"/>
            <w:vAlign w:val="bottom"/>
            <w:tcBorders>
              <w:bottom w:val="single" w:sz="8" w:color="auto"/>
            </w:tcBorders>
            <w:gridSpan w:val="2"/>
          </w:tcPr>
          <w:p>
            <w:pPr>
              <w:jc w:val="right"/>
              <w:ind w:right="20"/>
              <w:spacing w:after="0" w:line="186" w:lineRule="exact"/>
              <w:rPr>
                <w:sz w:val="20"/>
                <w:szCs w:val="20"/>
                <w:color w:val="auto"/>
              </w:rPr>
            </w:pPr>
            <w:r>
              <w:rPr>
                <w:rFonts w:ascii="Arial" w:cs="Arial" w:eastAsia="Arial" w:hAnsi="Arial"/>
                <w:sz w:val="17"/>
                <w:szCs w:val="17"/>
                <w:color w:val="auto"/>
              </w:rPr>
              <w:t>$32,533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Earnings Items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gridSpan w:val="2"/>
          </w:tcPr>
          <w:p>
            <w:pPr>
              <w:jc w:val="right"/>
              <w:ind w:right="194"/>
              <w:spacing w:after="0" w:line="184" w:lineRule="exact"/>
              <w:rPr>
                <w:sz w:val="20"/>
                <w:szCs w:val="20"/>
                <w:color w:val="auto"/>
              </w:rPr>
            </w:pPr>
            <w:r>
              <w:rPr>
                <w:rFonts w:ascii="Arial" w:cs="Arial" w:eastAsia="Arial" w:hAnsi="Arial"/>
                <w:sz w:val="17"/>
                <w:szCs w:val="17"/>
                <w:b w:val="1"/>
                <w:bCs w:val="1"/>
                <w:color w:val="auto"/>
              </w:rPr>
              <w:t>Three months ended June 30,</w:t>
            </w:r>
          </w:p>
        </w:tc>
        <w:tc>
          <w:tcPr>
            <w:tcW w:w="2260" w:type="dxa"/>
            <w:vAlign w:val="bottom"/>
            <w:tcBorders>
              <w:top w:val="single" w:sz="8" w:color="auto"/>
            </w:tcBorders>
            <w:gridSpan w:val="2"/>
          </w:tcPr>
          <w:p>
            <w:pPr>
              <w:jc w:val="right"/>
              <w:spacing w:after="0" w:line="184" w:lineRule="exact"/>
              <w:rPr>
                <w:sz w:val="20"/>
                <w:szCs w:val="20"/>
                <w:color w:val="auto"/>
              </w:rPr>
            </w:pPr>
            <w:r>
              <w:rPr>
                <w:rFonts w:ascii="Arial" w:cs="Arial" w:eastAsia="Arial" w:hAnsi="Arial"/>
                <w:sz w:val="17"/>
                <w:szCs w:val="17"/>
                <w:b w:val="1"/>
                <w:bCs w:val="1"/>
                <w:color w:val="auto"/>
              </w:rPr>
              <w:t>Six months ended June 30,</w:t>
            </w:r>
          </w:p>
        </w:tc>
        <w:tc>
          <w:tcPr>
            <w:tcW w:w="20" w:type="dxa"/>
            <w:vAlign w:val="bottom"/>
          </w:tcPr>
          <w:p>
            <w:pPr>
              <w:spacing w:after="0"/>
              <w:rPr>
                <w:sz w:val="15"/>
                <w:szCs w:val="15"/>
                <w:color w:val="auto"/>
              </w:rPr>
            </w:pPr>
          </w:p>
        </w:tc>
      </w:tr>
      <w:tr>
        <w:trPr>
          <w:trHeight w:val="216"/>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58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2018</w:t>
            </w: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2017</w:t>
            </w: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5440" w:type="dxa"/>
            <w:vAlign w:val="bottom"/>
          </w:tcPr>
          <w:p>
            <w:pPr>
              <w:spacing w:after="0" w:line="163" w:lineRule="exact"/>
              <w:rPr>
                <w:sz w:val="20"/>
                <w:szCs w:val="20"/>
                <w:color w:val="auto"/>
              </w:rPr>
            </w:pPr>
            <w:r>
              <w:rPr>
                <w:rFonts w:ascii="Arial" w:cs="Arial" w:eastAsia="Arial" w:hAnsi="Arial"/>
                <w:sz w:val="17"/>
                <w:szCs w:val="17"/>
                <w:color w:val="auto"/>
              </w:rPr>
              <w:t>Interest expense, net</w:t>
            </w:r>
          </w:p>
        </w:tc>
        <w:tc>
          <w:tcPr>
            <w:tcW w:w="2580" w:type="dxa"/>
            <w:vAlign w:val="bottom"/>
          </w:tcPr>
          <w:p>
            <w:pPr>
              <w:jc w:val="right"/>
              <w:ind w:right="154"/>
              <w:spacing w:after="0" w:line="163" w:lineRule="exact"/>
              <w:rPr>
                <w:sz w:val="20"/>
                <w:szCs w:val="20"/>
                <w:color w:val="auto"/>
              </w:rPr>
            </w:pPr>
            <w:r>
              <w:rPr>
                <w:rFonts w:ascii="Arial" w:cs="Arial" w:eastAsia="Arial" w:hAnsi="Arial"/>
                <w:sz w:val="17"/>
                <w:szCs w:val="17"/>
                <w:b w:val="1"/>
                <w:bCs w:val="1"/>
                <w:color w:val="auto"/>
              </w:rPr>
              <w:t>$4,621</w:t>
            </w:r>
          </w:p>
        </w:tc>
        <w:tc>
          <w:tcPr>
            <w:tcW w:w="1140" w:type="dxa"/>
            <w:vAlign w:val="bottom"/>
          </w:tcPr>
          <w:p>
            <w:pPr>
              <w:jc w:val="right"/>
              <w:spacing w:after="0" w:line="163" w:lineRule="exact"/>
              <w:rPr>
                <w:sz w:val="20"/>
                <w:szCs w:val="20"/>
                <w:color w:val="auto"/>
              </w:rPr>
            </w:pPr>
            <w:r>
              <w:rPr>
                <w:rFonts w:ascii="Arial" w:cs="Arial" w:eastAsia="Arial" w:hAnsi="Arial"/>
                <w:sz w:val="17"/>
                <w:szCs w:val="17"/>
                <w:color w:val="auto"/>
              </w:rPr>
              <w:t>$4,285</w:t>
            </w:r>
          </w:p>
        </w:tc>
        <w:tc>
          <w:tcPr>
            <w:tcW w:w="1320" w:type="dxa"/>
            <w:vAlign w:val="bottom"/>
          </w:tcPr>
          <w:p>
            <w:pPr>
              <w:jc w:val="right"/>
              <w:ind w:right="114"/>
              <w:spacing w:after="0" w:line="163" w:lineRule="exact"/>
              <w:rPr>
                <w:sz w:val="20"/>
                <w:szCs w:val="20"/>
                <w:color w:val="auto"/>
              </w:rPr>
            </w:pPr>
            <w:r>
              <w:rPr>
                <w:rFonts w:ascii="Arial" w:cs="Arial" w:eastAsia="Arial" w:hAnsi="Arial"/>
                <w:sz w:val="17"/>
                <w:szCs w:val="17"/>
                <w:b w:val="1"/>
                <w:bCs w:val="1"/>
                <w:color w:val="auto"/>
              </w:rPr>
              <w:t>$8,909</w:t>
            </w:r>
          </w:p>
        </w:tc>
        <w:tc>
          <w:tcPr>
            <w:tcW w:w="940" w:type="dxa"/>
            <w:vAlign w:val="bottom"/>
          </w:tcPr>
          <w:p>
            <w:pPr>
              <w:jc w:val="right"/>
              <w:spacing w:after="0" w:line="163" w:lineRule="exact"/>
              <w:rPr>
                <w:sz w:val="20"/>
                <w:szCs w:val="20"/>
                <w:color w:val="auto"/>
              </w:rPr>
            </w:pPr>
            <w:r>
              <w:rPr>
                <w:rFonts w:ascii="Arial" w:cs="Arial" w:eastAsia="Arial" w:hAnsi="Arial"/>
                <w:sz w:val="17"/>
                <w:szCs w:val="17"/>
                <w:color w:val="auto"/>
              </w:rPr>
              <w:t>$8,613</w:t>
            </w:r>
          </w:p>
        </w:tc>
        <w:tc>
          <w:tcPr>
            <w:tcW w:w="20" w:type="dxa"/>
            <w:vAlign w:val="bottom"/>
          </w:tcPr>
          <w:p>
            <w:pPr>
              <w:spacing w:after="0"/>
              <w:rPr>
                <w:sz w:val="14"/>
                <w:szCs w:val="14"/>
                <w:color w:val="auto"/>
              </w:rPr>
            </w:pPr>
          </w:p>
        </w:tc>
      </w:tr>
      <w:tr>
        <w:trPr>
          <w:trHeight w:val="194"/>
        </w:trPr>
        <w:tc>
          <w:tcPr>
            <w:tcW w:w="5440" w:type="dxa"/>
            <w:vAlign w:val="bottom"/>
          </w:tcPr>
          <w:p>
            <w:pPr>
              <w:spacing w:after="0" w:line="194" w:lineRule="exact"/>
              <w:rPr>
                <w:sz w:val="20"/>
                <w:szCs w:val="20"/>
                <w:color w:val="auto"/>
              </w:rPr>
            </w:pPr>
            <w:r>
              <w:rPr>
                <w:rFonts w:ascii="Arial" w:cs="Arial" w:eastAsia="Arial" w:hAnsi="Arial"/>
                <w:sz w:val="17"/>
                <w:szCs w:val="17"/>
                <w:color w:val="auto"/>
              </w:rPr>
              <w:t>Other expense, net</w:t>
            </w:r>
          </w:p>
        </w:tc>
        <w:tc>
          <w:tcPr>
            <w:tcW w:w="2580" w:type="dxa"/>
            <w:vAlign w:val="bottom"/>
          </w:tcPr>
          <w:p>
            <w:pPr>
              <w:jc w:val="right"/>
              <w:ind w:right="154"/>
              <w:spacing w:after="0" w:line="194" w:lineRule="exact"/>
              <w:rPr>
                <w:sz w:val="20"/>
                <w:szCs w:val="20"/>
                <w:color w:val="auto"/>
              </w:rPr>
            </w:pPr>
            <w:r>
              <w:rPr>
                <w:rFonts w:ascii="Arial" w:cs="Arial" w:eastAsia="Arial" w:hAnsi="Arial"/>
                <w:sz w:val="17"/>
                <w:szCs w:val="17"/>
                <w:b w:val="1"/>
                <w:bCs w:val="1"/>
                <w:color w:val="auto"/>
              </w:rPr>
              <w:t>726</w:t>
            </w: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2,558</w:t>
            </w:r>
          </w:p>
        </w:tc>
        <w:tc>
          <w:tcPr>
            <w:tcW w:w="1320" w:type="dxa"/>
            <w:vAlign w:val="bottom"/>
          </w:tcPr>
          <w:p>
            <w:pPr>
              <w:jc w:val="right"/>
              <w:ind w:right="114"/>
              <w:spacing w:after="0" w:line="194" w:lineRule="exact"/>
              <w:rPr>
                <w:sz w:val="20"/>
                <w:szCs w:val="20"/>
                <w:color w:val="auto"/>
              </w:rPr>
            </w:pPr>
            <w:r>
              <w:rPr>
                <w:rFonts w:ascii="Arial" w:cs="Arial" w:eastAsia="Arial" w:hAnsi="Arial"/>
                <w:sz w:val="17"/>
                <w:szCs w:val="17"/>
                <w:b w:val="1"/>
                <w:bCs w:val="1"/>
                <w:color w:val="auto"/>
              </w:rPr>
              <w:t>2,178</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3,384</w:t>
            </w:r>
          </w:p>
        </w:tc>
        <w:tc>
          <w:tcPr>
            <w:tcW w:w="20" w:type="dxa"/>
            <w:vAlign w:val="bottom"/>
          </w:tcPr>
          <w:p>
            <w:pPr>
              <w:spacing w:after="0"/>
              <w:rPr>
                <w:sz w:val="16"/>
                <w:szCs w:val="16"/>
                <w:color w:val="auto"/>
              </w:rPr>
            </w:pPr>
          </w:p>
        </w:tc>
      </w:tr>
      <w:tr>
        <w:trPr>
          <w:trHeight w:val="194"/>
        </w:trPr>
        <w:tc>
          <w:tcPr>
            <w:tcW w:w="5440" w:type="dxa"/>
            <w:vAlign w:val="bottom"/>
          </w:tcPr>
          <w:p>
            <w:pPr>
              <w:spacing w:after="0" w:line="194" w:lineRule="exact"/>
              <w:rPr>
                <w:sz w:val="20"/>
                <w:szCs w:val="20"/>
                <w:color w:val="auto"/>
              </w:rPr>
            </w:pPr>
            <w:r>
              <w:rPr>
                <w:rFonts w:ascii="Arial" w:cs="Arial" w:eastAsia="Arial" w:hAnsi="Arial"/>
                <w:sz w:val="17"/>
                <w:szCs w:val="17"/>
                <w:color w:val="auto"/>
              </w:rPr>
              <w:t>Income tax expense</w:t>
            </w:r>
          </w:p>
        </w:tc>
        <w:tc>
          <w:tcPr>
            <w:tcW w:w="2580" w:type="dxa"/>
            <w:vAlign w:val="bottom"/>
          </w:tcPr>
          <w:p>
            <w:pPr>
              <w:jc w:val="right"/>
              <w:ind w:right="154"/>
              <w:spacing w:after="0" w:line="194" w:lineRule="exact"/>
              <w:rPr>
                <w:sz w:val="20"/>
                <w:szCs w:val="20"/>
                <w:color w:val="auto"/>
              </w:rPr>
            </w:pPr>
            <w:r>
              <w:rPr>
                <w:rFonts w:ascii="Arial" w:cs="Arial" w:eastAsia="Arial" w:hAnsi="Arial"/>
                <w:sz w:val="17"/>
                <w:szCs w:val="17"/>
                <w:b w:val="1"/>
                <w:bCs w:val="1"/>
                <w:color w:val="auto"/>
              </w:rPr>
              <w:t>7,031</w:t>
            </w: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1,779</w:t>
            </w:r>
          </w:p>
        </w:tc>
        <w:tc>
          <w:tcPr>
            <w:tcW w:w="1320" w:type="dxa"/>
            <w:vAlign w:val="bottom"/>
          </w:tcPr>
          <w:p>
            <w:pPr>
              <w:jc w:val="right"/>
              <w:ind w:right="114"/>
              <w:spacing w:after="0" w:line="194" w:lineRule="exact"/>
              <w:rPr>
                <w:sz w:val="20"/>
                <w:szCs w:val="20"/>
                <w:color w:val="auto"/>
              </w:rPr>
            </w:pPr>
            <w:r>
              <w:rPr>
                <w:rFonts w:ascii="Arial" w:cs="Arial" w:eastAsia="Arial" w:hAnsi="Arial"/>
                <w:sz w:val="17"/>
                <w:szCs w:val="17"/>
                <w:b w:val="1"/>
                <w:bCs w:val="1"/>
                <w:color w:val="auto"/>
              </w:rPr>
              <w:t>11,640</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8,329</w:t>
            </w:r>
          </w:p>
        </w:tc>
        <w:tc>
          <w:tcPr>
            <w:tcW w:w="20" w:type="dxa"/>
            <w:vAlign w:val="bottom"/>
          </w:tcPr>
          <w:p>
            <w:pPr>
              <w:spacing w:after="0"/>
              <w:rPr>
                <w:sz w:val="16"/>
                <w:szCs w:val="16"/>
                <w:color w:val="auto"/>
              </w:rPr>
            </w:pPr>
          </w:p>
        </w:tc>
      </w:tr>
      <w:tr>
        <w:trPr>
          <w:trHeight w:val="216"/>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income/(loss) attributable to the noncontrolling interest</w:t>
            </w:r>
          </w:p>
        </w:tc>
        <w:tc>
          <w:tcPr>
            <w:tcW w:w="25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(59)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178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20" w:type="dxa"/>
            <w:vAlign w:val="bottom"/>
            <w:tcBorders>
              <w:bottom w:val="single" w:sz="8" w:color="auto"/>
            </w:tcBorders>
          </w:tcPr>
          <w:p>
            <w:pPr>
              <w:spacing w:after="0"/>
              <w:rPr>
                <w:sz w:val="18"/>
                <w:szCs w:val="18"/>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227" w:lineRule="exact"/>
        <w:rPr>
          <w:sz w:val="20"/>
          <w:szCs w:val="20"/>
          <w:color w:val="auto"/>
        </w:rPr>
      </w:pPr>
    </w:p>
    <w:p>
      <w:pPr>
        <w:ind w:right="440" w:firstLine="620"/>
        <w:spacing w:after="0" w:line="250" w:lineRule="auto"/>
        <w:rPr>
          <w:sz w:val="20"/>
          <w:szCs w:val="20"/>
          <w:color w:val="auto"/>
        </w:rPr>
      </w:pPr>
      <w:r>
        <w:rPr>
          <w:rFonts w:ascii="Arial" w:cs="Arial" w:eastAsia="Arial" w:hAnsi="Arial"/>
          <w:sz w:val="17"/>
          <w:szCs w:val="17"/>
          <w:color w:val="auto"/>
        </w:rPr>
        <w:t>Interest expense, net, increased in 2018, principally due to an increase in average debt outstanding. The higher debt balances related to funding expansion of the AEC business. See the Capital Resources section for further discussion of borrowings and interest rates.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Expense, net</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decrease in Other expense, net included the following individually significant items: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Three month comparison</w:t>
      </w:r>
    </w:p>
    <w:p>
      <w:pPr>
        <w:spacing w:after="0" w:line="278" w:lineRule="exact"/>
        <w:rPr>
          <w:sz w:val="20"/>
          <w:szCs w:val="20"/>
          <w:color w:val="auto"/>
        </w:rPr>
      </w:pPr>
    </w:p>
    <w:p>
      <w:pPr>
        <w:ind w:left="1240" w:right="180" w:hanging="308"/>
        <w:spacing w:after="0" w:line="250"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second quarter of each year, revaluation of nonfunctional currency cash and intercompany balances resulted in a negligible gain in 2018 and a loss of $1.9 million in 2017.</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291" w:lineRule="exact"/>
        <w:rPr>
          <w:sz w:val="20"/>
          <w:szCs w:val="20"/>
          <w:color w:val="auto"/>
        </w:rPr>
      </w:pPr>
    </w:p>
    <w:p>
      <w:pPr>
        <w:ind w:left="1240" w:right="220" w:hanging="308"/>
        <w:spacing w:after="0" w:line="250"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first six months of each year, revaluation nonfunctional currency cash and intercompany balances resulted in a loss of $0.7 million in 2018, and a loss of $2.0 million in 2017.</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85"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The Company has operations which constitute a taxable presence in 18 countries outside of the United States. Countries outside of the United States had income tax rates that were both above and below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291" w:lineRule="exact"/>
        <w:rPr>
          <w:sz w:val="20"/>
          <w:szCs w:val="20"/>
          <w:color w:val="auto"/>
        </w:rPr>
      </w:pPr>
    </w:p>
    <w:p>
      <w:pPr>
        <w:jc w:val="both"/>
        <w:ind w:right="60" w:firstLine="620"/>
        <w:spacing w:after="0" w:line="243" w:lineRule="auto"/>
        <w:rPr>
          <w:sz w:val="20"/>
          <w:szCs w:val="20"/>
          <w:color w:val="auto"/>
        </w:rPr>
      </w:pPr>
      <w:r>
        <w:rPr>
          <w:rFonts w:ascii="Arial" w:cs="Arial" w:eastAsia="Arial" w:hAnsi="Arial"/>
          <w:sz w:val="17"/>
          <w:szCs w:val="17"/>
          <w:color w:val="auto"/>
        </w:rPr>
        <w:t>The Company’s effective tax rates for the second quarter of 2018 and 2017 were 18.8% and 59.1%,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155"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Significant items that impacted the tax rate in the second quarter of 2018 included the following (percentages reflect the effect of each item as a percentage of Income before income taxes):</w:t>
      </w:r>
    </w:p>
    <w:p>
      <w:pPr>
        <w:spacing w:after="0" w:line="148" w:lineRule="exact"/>
        <w:rPr>
          <w:sz w:val="20"/>
          <w:szCs w:val="20"/>
          <w:color w:val="auto"/>
        </w:rPr>
      </w:pPr>
    </w:p>
    <w:p>
      <w:pPr>
        <w:ind w:left="1560" w:hanging="318"/>
        <w:spacing w:after="0"/>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income tax rate on continuing operations, excluding discrete items, was 30.1%.</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($0.2) million [-0.6%] tax benefit related to the true-up of prior years’ estimated taxes.</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($1.1) million [-2.9%] tax benefit from the impact of the mandatory repatriations.</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Expense of $2.4 million [6.5%] due to changes of uncertain tax positions.</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($5.0) million [-13.4%] tax benefit due to a change in a valuation allowance.</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($0.4) million [-0.9%] tax benefit for other tax adjustments.</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Significant items that impacted the second quarter of 2017 tax rate included the following:</w:t>
      </w:r>
    </w:p>
    <w:p>
      <w:pPr>
        <w:spacing w:after="0" w:line="166" w:lineRule="exact"/>
        <w:rPr>
          <w:sz w:val="20"/>
          <w:szCs w:val="20"/>
          <w:color w:val="auto"/>
        </w:rPr>
      </w:pPr>
    </w:p>
    <w:p>
      <w:pPr>
        <w:ind w:left="1560" w:hanging="318"/>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income tax rate on continuing operations, excluding discrete items, was 32.8%.</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Expense of $0.5 million [16.3%] due to changes of uncertain tax positions.</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Expense of $0.2 million [6.3%] related to the true-up of prior years’ estimated taxes.</w:t>
      </w:r>
    </w:p>
    <w:p>
      <w:pPr>
        <w:spacing w:after="0" w:line="11" w:lineRule="exact"/>
        <w:rPr>
          <w:rFonts w:ascii="Arial" w:cs="Arial" w:eastAsia="Arial" w:hAnsi="Arial"/>
          <w:sz w:val="17"/>
          <w:szCs w:val="17"/>
          <w:color w:val="auto"/>
        </w:rPr>
      </w:pPr>
    </w:p>
    <w:p>
      <w:pPr>
        <w:ind w:left="1560" w:hanging="318"/>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Expense of $0.1 million [3.7%] for other tax adjustments.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380"/>
          </w:cols>
          <w:pgMar w:left="240" w:top="452" w:right="279" w:bottom="1440" w:gutter="0" w:footer="0" w:header="0"/>
        </w:sectPr>
      </w:pPr>
    </w:p>
    <w:bookmarkStart w:id="49" w:name="page50"/>
    <w:bookmarkEnd w:id="49"/>
    <w:p>
      <w:pPr>
        <w:ind w:firstLine="620"/>
        <w:spacing w:after="0" w:line="243" w:lineRule="auto"/>
        <w:rPr>
          <w:sz w:val="20"/>
          <w:szCs w:val="20"/>
          <w:color w:val="auto"/>
        </w:rPr>
      </w:pPr>
      <w:r>
        <w:rPr>
          <w:rFonts w:ascii="Arial" w:cs="Arial" w:eastAsia="Arial" w:hAnsi="Arial"/>
          <w:sz w:val="17"/>
          <w:szCs w:val="17"/>
          <w:color w:val="auto"/>
        </w:rPr>
        <w:t>The Company’s effective tax rates for the first half of 2018 and 2017 were 22.2% and 40.6%,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168" w:lineRule="exact"/>
        <w:rPr>
          <w:sz w:val="20"/>
          <w:szCs w:val="20"/>
          <w:color w:val="auto"/>
        </w:rPr>
      </w:pPr>
    </w:p>
    <w:p>
      <w:pPr>
        <w:ind w:right="20" w:firstLine="620"/>
        <w:spacing w:after="0" w:line="250" w:lineRule="auto"/>
        <w:rPr>
          <w:sz w:val="20"/>
          <w:szCs w:val="20"/>
          <w:color w:val="auto"/>
        </w:rPr>
      </w:pPr>
      <w:r>
        <w:rPr>
          <w:rFonts w:ascii="Arial" w:cs="Arial" w:eastAsia="Arial" w:hAnsi="Arial"/>
          <w:sz w:val="17"/>
          <w:szCs w:val="17"/>
          <w:color w:val="auto"/>
        </w:rPr>
        <w:t>Significant items that impacted the tax rate in the first six months of 2018 included the following (percentages reflect the effect of each item as a percentage of Income before income taxes):</w:t>
      </w:r>
    </w:p>
    <w:p>
      <w:pPr>
        <w:spacing w:after="0" w:line="148" w:lineRule="exact"/>
        <w:rPr>
          <w:sz w:val="20"/>
          <w:szCs w:val="20"/>
          <w:color w:val="auto"/>
        </w:rPr>
      </w:pPr>
    </w:p>
    <w:p>
      <w:pPr>
        <w:ind w:left="1120" w:hanging="36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income tax rate on continuing operations, excluding discrete items, was 30.1%.</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($0.3) million [-0.5%] tax benefit related to the true-up of prior years’ estimated taxes.</w:t>
      </w:r>
    </w:p>
    <w:p>
      <w:pPr>
        <w:spacing w:after="0" w:line="88" w:lineRule="exact"/>
        <w:rPr>
          <w:rFonts w:ascii="Arial" w:cs="Arial" w:eastAsia="Arial" w:hAnsi="Arial"/>
          <w:sz w:val="17"/>
          <w:szCs w:val="17"/>
          <w:color w:val="auto"/>
        </w:rPr>
      </w:pPr>
    </w:p>
    <w:p>
      <w:pPr>
        <w:ind w:left="1120" w:hanging="36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($1.1) million [-2.1%] tax benefit from the impact of the mandatory repatriations.</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Expense of 2.4 million [4.7%] due to changes of uncertain tax positions.</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($5.0) million [-9.5%] tax benefit due to changes in valuation allowance.</w:t>
      </w:r>
    </w:p>
    <w:p>
      <w:pPr>
        <w:spacing w:after="0" w:line="88" w:lineRule="exact"/>
        <w:rPr>
          <w:rFonts w:ascii="Arial" w:cs="Arial" w:eastAsia="Arial" w:hAnsi="Arial"/>
          <w:sz w:val="17"/>
          <w:szCs w:val="17"/>
          <w:color w:val="auto"/>
        </w:rPr>
      </w:pPr>
    </w:p>
    <w:p>
      <w:pPr>
        <w:ind w:left="1120" w:hanging="36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($0.3) million [-0.5%] net tax benefit for other tax adjustments.</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items that impacted the tax rate in the first six months of 2017 included the following:</w:t>
      </w:r>
    </w:p>
    <w:p>
      <w:pPr>
        <w:spacing w:after="0" w:line="166" w:lineRule="exact"/>
        <w:rPr>
          <w:sz w:val="20"/>
          <w:szCs w:val="20"/>
          <w:color w:val="auto"/>
        </w:rPr>
      </w:pPr>
    </w:p>
    <w:p>
      <w:pPr>
        <w:ind w:left="1120" w:hanging="36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income tax rate on continuing operations, excluding discrete items, was 32.8%.</w:t>
      </w:r>
    </w:p>
    <w:p>
      <w:pPr>
        <w:spacing w:after="0" w:line="88" w:lineRule="exact"/>
        <w:rPr>
          <w:rFonts w:ascii="Arial" w:cs="Arial" w:eastAsia="Arial" w:hAnsi="Arial"/>
          <w:sz w:val="17"/>
          <w:szCs w:val="17"/>
          <w:color w:val="auto"/>
        </w:rPr>
      </w:pPr>
    </w:p>
    <w:p>
      <w:pPr>
        <w:ind w:left="1120" w:hanging="36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Expense of $0.5 million [2.4%] due to changes of uncertain tax positions.</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Expense of $1.0 million [4.7%] related to the true-up of prior years’ estimated taxes.</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Expense of $0.1 million [0.7%] for other tax adjustments.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 Segment</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Machine Clothing is our primary business segment and accounted for 70% of our consolidated revenues during the first six months of 2018.</w:t>
      </w:r>
    </w:p>
    <w:p>
      <w:pPr>
        <w:spacing w:after="0"/>
        <w:rPr>
          <w:sz w:val="20"/>
          <w:szCs w:val="20"/>
          <w:color w:val="auto"/>
        </w:rPr>
      </w:pPr>
      <w:r>
        <w:rPr>
          <w:rFonts w:ascii="Arial" w:cs="Arial" w:eastAsia="Arial" w:hAnsi="Arial"/>
          <w:sz w:val="17"/>
          <w:szCs w:val="17"/>
          <w:color w:val="auto"/>
        </w:rPr>
        <w:t>Machine Clothing products are purchased primarily by manufacturers of paper and paperboard.</w:t>
      </w:r>
    </w:p>
    <w:p>
      <w:pPr>
        <w:spacing w:after="0" w:line="166" w:lineRule="exact"/>
        <w:rPr>
          <w:sz w:val="20"/>
          <w:szCs w:val="20"/>
          <w:color w:val="auto"/>
        </w:rPr>
      </w:pPr>
    </w:p>
    <w:p>
      <w:pPr>
        <w:ind w:right="100" w:firstLine="620"/>
        <w:spacing w:after="0" w:line="243" w:lineRule="auto"/>
        <w:rPr>
          <w:sz w:val="20"/>
          <w:szCs w:val="20"/>
          <w:color w:val="auto"/>
        </w:rPr>
      </w:pPr>
      <w:r>
        <w:rPr>
          <w:rFonts w:ascii="Arial" w:cs="Arial" w:eastAsia="Arial" w:hAnsi="Arial"/>
          <w:sz w:val="17"/>
          <w:szCs w:val="17"/>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155"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We feel we are now well-positioned in key markets, with high-quality, low -cost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69" w:lineRule="exact"/>
        <w:rPr>
          <w:sz w:val="20"/>
          <w:szCs w:val="20"/>
          <w:color w:val="auto"/>
        </w:rPr>
      </w:pPr>
    </w:p>
    <w:p>
      <w:pPr>
        <w:ind w:right="100" w:firstLine="620"/>
        <w:spacing w:after="0" w:line="243" w:lineRule="auto"/>
        <w:rPr>
          <w:sz w:val="20"/>
          <w:szCs w:val="20"/>
          <w:color w:val="auto"/>
        </w:rPr>
      </w:pPr>
      <w:r>
        <w:rPr>
          <w:rFonts w:ascii="Arial" w:cs="Arial" w:eastAsia="Arial" w:hAnsi="Arial"/>
          <w:sz w:val="17"/>
          <w:szCs w:val="17"/>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00"/>
          </w:cols>
          <w:pgMar w:left="240" w:top="642" w:right="259" w:bottom="1440" w:gutter="0" w:footer="0" w:header="0"/>
        </w:sectPr>
      </w:pPr>
    </w:p>
    <w:bookmarkStart w:id="50" w:name="page51"/>
    <w:bookmarkEnd w:id="50"/>
    <w:p>
      <w:pPr>
        <w:ind w:right="960" w:firstLine="620"/>
        <w:spacing w:after="0" w:line="250" w:lineRule="auto"/>
        <w:rPr>
          <w:sz w:val="20"/>
          <w:szCs w:val="20"/>
          <w:color w:val="auto"/>
        </w:rPr>
      </w:pPr>
      <w:r>
        <w:rPr>
          <w:rFonts w:ascii="Arial" w:cs="Arial" w:eastAsia="Arial" w:hAnsi="Arial"/>
          <w:sz w:val="17"/>
          <w:szCs w:val="17"/>
          <w:color w:val="auto"/>
        </w:rPr>
        <w:t>We have incurred significant restructuring charges in recent periods as we reduced Machine Clothing manufacturing capacity and administrative positions in the United States, Germany and France.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b w:val="1"/>
                <w:bCs w:val="1"/>
                <w:color w:val="auto"/>
              </w:rPr>
              <w:t>Three months ended</w:t>
            </w:r>
          </w:p>
        </w:tc>
        <w:tc>
          <w:tcPr>
            <w:tcW w:w="120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2"/>
          </w:tcPr>
          <w:p>
            <w:pPr>
              <w:jc w:val="right"/>
              <w:ind w:right="53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4460" w:type="dxa"/>
            <w:vAlign w:val="bottom"/>
          </w:tcPr>
          <w:p>
            <w:pPr>
              <w:spacing w:after="0"/>
              <w:rPr>
                <w:sz w:val="16"/>
                <w:szCs w:val="16"/>
                <w:color w:val="auto"/>
              </w:rPr>
            </w:pPr>
          </w:p>
        </w:tc>
        <w:tc>
          <w:tcPr>
            <w:tcW w:w="3280" w:type="dxa"/>
            <w:vAlign w:val="bottom"/>
          </w:tcPr>
          <w:p>
            <w:pPr>
              <w:jc w:val="right"/>
              <w:ind w:right="214"/>
              <w:spacing w:after="0" w:line="194" w:lineRule="exact"/>
              <w:rPr>
                <w:sz w:val="20"/>
                <w:szCs w:val="20"/>
                <w:color w:val="auto"/>
              </w:rPr>
            </w:pPr>
            <w:r>
              <w:rPr>
                <w:rFonts w:ascii="Arial" w:cs="Arial" w:eastAsia="Arial" w:hAnsi="Arial"/>
                <w:sz w:val="17"/>
                <w:szCs w:val="17"/>
                <w:b w:val="1"/>
                <w:bCs w:val="1"/>
                <w:color w:val="auto"/>
              </w:rPr>
              <w:t>June 30,</w:t>
            </w:r>
          </w:p>
        </w:tc>
        <w:tc>
          <w:tcPr>
            <w:tcW w:w="120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percentages)</w:t>
            </w:r>
          </w:p>
        </w:tc>
        <w:tc>
          <w:tcPr>
            <w:tcW w:w="3280" w:type="dxa"/>
            <w:vAlign w:val="bottom"/>
            <w:tcBorders>
              <w:bottom w:val="single" w:sz="8" w:color="auto"/>
            </w:tcBorders>
          </w:tcPr>
          <w:p>
            <w:pPr>
              <w:jc w:val="right"/>
              <w:ind w:right="1114"/>
              <w:spacing w:after="0"/>
              <w:rPr>
                <w:sz w:val="20"/>
                <w:szCs w:val="20"/>
                <w:color w:val="auto"/>
              </w:rPr>
            </w:pPr>
            <w:r>
              <w:rPr>
                <w:rFonts w:ascii="Arial" w:cs="Arial" w:eastAsia="Arial" w:hAnsi="Arial"/>
                <w:sz w:val="17"/>
                <w:szCs w:val="17"/>
                <w:b w:val="1"/>
                <w:bCs w:val="1"/>
                <w:color w:val="auto"/>
              </w:rPr>
              <w:t>2018</w:t>
            </w:r>
          </w:p>
        </w:tc>
        <w:tc>
          <w:tcPr>
            <w:tcW w:w="12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2017</w:t>
            </w:r>
          </w:p>
        </w:tc>
        <w:tc>
          <w:tcPr>
            <w:tcW w:w="154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rPr>
              <w:t>2018</w:t>
            </w: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4460" w:type="dxa"/>
            <w:vAlign w:val="bottom"/>
          </w:tcPr>
          <w:p>
            <w:pPr>
              <w:spacing w:after="0" w:line="163" w:lineRule="exact"/>
              <w:rPr>
                <w:sz w:val="20"/>
                <w:szCs w:val="20"/>
                <w:color w:val="auto"/>
              </w:rPr>
            </w:pPr>
            <w:r>
              <w:rPr>
                <w:rFonts w:ascii="Arial" w:cs="Arial" w:eastAsia="Arial" w:hAnsi="Arial"/>
                <w:sz w:val="17"/>
                <w:szCs w:val="17"/>
                <w:color w:val="auto"/>
              </w:rPr>
              <w:t>Net sales</w:t>
            </w:r>
          </w:p>
        </w:tc>
        <w:tc>
          <w:tcPr>
            <w:tcW w:w="3280" w:type="dxa"/>
            <w:vAlign w:val="bottom"/>
          </w:tcPr>
          <w:p>
            <w:pPr>
              <w:jc w:val="right"/>
              <w:ind w:right="454"/>
              <w:spacing w:after="0" w:line="163" w:lineRule="exact"/>
              <w:rPr>
                <w:sz w:val="20"/>
                <w:szCs w:val="20"/>
                <w:color w:val="auto"/>
              </w:rPr>
            </w:pPr>
            <w:r>
              <w:rPr>
                <w:rFonts w:ascii="Arial" w:cs="Arial" w:eastAsia="Arial" w:hAnsi="Arial"/>
                <w:sz w:val="17"/>
                <w:szCs w:val="17"/>
                <w:b w:val="1"/>
                <w:bCs w:val="1"/>
                <w:color w:val="auto"/>
              </w:rPr>
              <w:t>$162,635</w:t>
            </w:r>
          </w:p>
        </w:tc>
        <w:tc>
          <w:tcPr>
            <w:tcW w:w="1200" w:type="dxa"/>
            <w:vAlign w:val="bottom"/>
          </w:tcPr>
          <w:p>
            <w:pPr>
              <w:jc w:val="right"/>
              <w:ind w:right="174"/>
              <w:spacing w:after="0" w:line="163" w:lineRule="exact"/>
              <w:rPr>
                <w:sz w:val="20"/>
                <w:szCs w:val="20"/>
                <w:color w:val="auto"/>
              </w:rPr>
            </w:pPr>
            <w:r>
              <w:rPr>
                <w:rFonts w:ascii="Arial" w:cs="Arial" w:eastAsia="Arial" w:hAnsi="Arial"/>
                <w:sz w:val="17"/>
                <w:szCs w:val="17"/>
                <w:color w:val="auto"/>
              </w:rPr>
              <w:t>$146,572</w:t>
            </w:r>
          </w:p>
        </w:tc>
        <w:tc>
          <w:tcPr>
            <w:tcW w:w="1540" w:type="dxa"/>
            <w:vAlign w:val="bottom"/>
          </w:tcPr>
          <w:p>
            <w:pPr>
              <w:jc w:val="right"/>
              <w:ind w:right="334"/>
              <w:spacing w:after="0" w:line="163" w:lineRule="exact"/>
              <w:rPr>
                <w:sz w:val="20"/>
                <w:szCs w:val="20"/>
                <w:color w:val="auto"/>
              </w:rPr>
            </w:pPr>
            <w:r>
              <w:rPr>
                <w:rFonts w:ascii="Arial" w:cs="Arial" w:eastAsia="Arial" w:hAnsi="Arial"/>
                <w:sz w:val="17"/>
                <w:szCs w:val="17"/>
                <w:b w:val="1"/>
                <w:bCs w:val="1"/>
                <w:color w:val="auto"/>
              </w:rPr>
              <w:t>$310,786</w:t>
            </w:r>
          </w:p>
        </w:tc>
        <w:tc>
          <w:tcPr>
            <w:tcW w:w="940" w:type="dxa"/>
            <w:vAlign w:val="bottom"/>
          </w:tcPr>
          <w:p>
            <w:pPr>
              <w:jc w:val="right"/>
              <w:spacing w:after="0" w:line="163" w:lineRule="exact"/>
              <w:rPr>
                <w:sz w:val="20"/>
                <w:szCs w:val="20"/>
                <w:color w:val="auto"/>
              </w:rPr>
            </w:pPr>
            <w:r>
              <w:rPr>
                <w:rFonts w:ascii="Arial" w:cs="Arial" w:eastAsia="Arial" w:hAnsi="Arial"/>
                <w:sz w:val="17"/>
                <w:szCs w:val="17"/>
                <w:color w:val="auto"/>
              </w:rPr>
              <w:t>289,399</w:t>
            </w:r>
          </w:p>
        </w:tc>
        <w:tc>
          <w:tcPr>
            <w:tcW w:w="20" w:type="dxa"/>
            <w:vAlign w:val="bottom"/>
          </w:tcPr>
          <w:p>
            <w:pPr>
              <w:spacing w:after="0"/>
              <w:rPr>
                <w:sz w:val="14"/>
                <w:szCs w:val="14"/>
                <w:color w:val="auto"/>
              </w:rPr>
            </w:pPr>
          </w:p>
        </w:tc>
      </w:tr>
      <w:tr>
        <w:trPr>
          <w:trHeight w:val="194"/>
        </w:trPr>
        <w:tc>
          <w:tcPr>
            <w:tcW w:w="4460" w:type="dxa"/>
            <w:vAlign w:val="bottom"/>
          </w:tcPr>
          <w:p>
            <w:pPr>
              <w:spacing w:after="0" w:line="194" w:lineRule="exact"/>
              <w:rPr>
                <w:sz w:val="20"/>
                <w:szCs w:val="20"/>
                <w:color w:val="auto"/>
              </w:rPr>
            </w:pPr>
            <w:r>
              <w:rPr>
                <w:rFonts w:ascii="Arial" w:cs="Arial" w:eastAsia="Arial" w:hAnsi="Arial"/>
                <w:sz w:val="17"/>
                <w:szCs w:val="17"/>
                <w:color w:val="auto"/>
              </w:rPr>
              <w:t>Gross profit</w:t>
            </w:r>
          </w:p>
        </w:tc>
        <w:tc>
          <w:tcPr>
            <w:tcW w:w="3280" w:type="dxa"/>
            <w:vAlign w:val="bottom"/>
          </w:tcPr>
          <w:p>
            <w:pPr>
              <w:jc w:val="right"/>
              <w:ind w:right="454"/>
              <w:spacing w:after="0" w:line="194" w:lineRule="exact"/>
              <w:rPr>
                <w:sz w:val="20"/>
                <w:szCs w:val="20"/>
                <w:color w:val="auto"/>
              </w:rPr>
            </w:pPr>
            <w:r>
              <w:rPr>
                <w:rFonts w:ascii="Arial" w:cs="Arial" w:eastAsia="Arial" w:hAnsi="Arial"/>
                <w:sz w:val="17"/>
                <w:szCs w:val="17"/>
                <w:b w:val="1"/>
                <w:bCs w:val="1"/>
                <w:color w:val="auto"/>
              </w:rPr>
              <w:t>79,607</w:t>
            </w:r>
          </w:p>
        </w:tc>
        <w:tc>
          <w:tcPr>
            <w:tcW w:w="12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70,832</w:t>
            </w:r>
          </w:p>
        </w:tc>
        <w:tc>
          <w:tcPr>
            <w:tcW w:w="154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149,788</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140,050</w:t>
            </w:r>
          </w:p>
        </w:tc>
      </w:tr>
      <w:tr>
        <w:trPr>
          <w:trHeight w:val="194"/>
        </w:trPr>
        <w:tc>
          <w:tcPr>
            <w:tcW w:w="4460" w:type="dxa"/>
            <w:vAlign w:val="bottom"/>
          </w:tcPr>
          <w:p>
            <w:pPr>
              <w:spacing w:after="0" w:line="194" w:lineRule="exact"/>
              <w:rPr>
                <w:sz w:val="20"/>
                <w:szCs w:val="20"/>
                <w:color w:val="auto"/>
              </w:rPr>
            </w:pPr>
            <w:r>
              <w:rPr>
                <w:rFonts w:ascii="Arial" w:cs="Arial" w:eastAsia="Arial" w:hAnsi="Arial"/>
                <w:sz w:val="17"/>
                <w:szCs w:val="17"/>
                <w:color w:val="auto"/>
              </w:rPr>
              <w:t>% of net sales</w:t>
            </w:r>
          </w:p>
        </w:tc>
        <w:tc>
          <w:tcPr>
            <w:tcW w:w="3280" w:type="dxa"/>
            <w:vAlign w:val="bottom"/>
          </w:tcPr>
          <w:p>
            <w:pPr>
              <w:jc w:val="right"/>
              <w:ind w:right="454"/>
              <w:spacing w:after="0" w:line="194" w:lineRule="exact"/>
              <w:rPr>
                <w:sz w:val="20"/>
                <w:szCs w:val="20"/>
                <w:color w:val="auto"/>
              </w:rPr>
            </w:pPr>
            <w:r>
              <w:rPr>
                <w:rFonts w:ascii="Arial" w:cs="Arial" w:eastAsia="Arial" w:hAnsi="Arial"/>
                <w:sz w:val="17"/>
                <w:szCs w:val="17"/>
                <w:b w:val="1"/>
                <w:bCs w:val="1"/>
                <w:color w:val="auto"/>
              </w:rPr>
              <w:t>48.9%</w:t>
            </w:r>
          </w:p>
        </w:tc>
        <w:tc>
          <w:tcPr>
            <w:tcW w:w="12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48.3%</w:t>
            </w:r>
          </w:p>
        </w:tc>
        <w:tc>
          <w:tcPr>
            <w:tcW w:w="154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48.2%</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48.4%</w:t>
            </w:r>
          </w:p>
        </w:tc>
      </w:tr>
      <w:tr>
        <w:trPr>
          <w:trHeight w:val="194"/>
        </w:trPr>
        <w:tc>
          <w:tcPr>
            <w:tcW w:w="4460" w:type="dxa"/>
            <w:vAlign w:val="bottom"/>
          </w:tcPr>
          <w:p>
            <w:pPr>
              <w:spacing w:after="0" w:line="194" w:lineRule="exact"/>
              <w:rPr>
                <w:sz w:val="20"/>
                <w:szCs w:val="20"/>
                <w:color w:val="auto"/>
              </w:rPr>
            </w:pPr>
            <w:r>
              <w:rPr>
                <w:rFonts w:ascii="Arial" w:cs="Arial" w:eastAsia="Arial" w:hAnsi="Arial"/>
                <w:sz w:val="17"/>
                <w:szCs w:val="17"/>
                <w:color w:val="auto"/>
              </w:rPr>
              <w:t>STG&amp;R expenses</w:t>
            </w:r>
          </w:p>
        </w:tc>
        <w:tc>
          <w:tcPr>
            <w:tcW w:w="3280" w:type="dxa"/>
            <w:vAlign w:val="bottom"/>
          </w:tcPr>
          <w:p>
            <w:pPr>
              <w:jc w:val="right"/>
              <w:ind w:right="454"/>
              <w:spacing w:after="0" w:line="194" w:lineRule="exact"/>
              <w:rPr>
                <w:sz w:val="20"/>
                <w:szCs w:val="20"/>
                <w:color w:val="auto"/>
              </w:rPr>
            </w:pPr>
            <w:r>
              <w:rPr>
                <w:rFonts w:ascii="Arial" w:cs="Arial" w:eastAsia="Arial" w:hAnsi="Arial"/>
                <w:sz w:val="17"/>
                <w:szCs w:val="17"/>
                <w:b w:val="1"/>
                <w:bCs w:val="1"/>
                <w:color w:val="auto"/>
              </w:rPr>
              <w:t>26,963</w:t>
            </w:r>
          </w:p>
        </w:tc>
        <w:tc>
          <w:tcPr>
            <w:tcW w:w="12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31,602</w:t>
            </w:r>
          </w:p>
        </w:tc>
        <w:tc>
          <w:tcPr>
            <w:tcW w:w="154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58,027</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62,447</w:t>
            </w: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Operating income</w:t>
            </w:r>
          </w:p>
        </w:tc>
        <w:tc>
          <w:tcPr>
            <w:tcW w:w="3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50,843</w:t>
            </w:r>
          </w:p>
        </w:tc>
        <w:tc>
          <w:tcPr>
            <w:tcW w:w="12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38,425</w:t>
            </w: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81,613</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76,688</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85" w:lineRule="exact"/>
        <w:rPr>
          <w:sz w:val="20"/>
          <w:szCs w:val="20"/>
          <w:color w:val="auto"/>
        </w:rPr>
      </w:pPr>
    </w:p>
    <w:p>
      <w:pPr>
        <w:ind w:left="1120" w:hanging="368"/>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sales increased by 11.0%.</w:t>
      </w:r>
    </w:p>
    <w:p>
      <w:pPr>
        <w:spacing w:after="0" w:line="88" w:lineRule="exact"/>
        <w:rPr>
          <w:rFonts w:ascii="Arial" w:cs="Arial" w:eastAsia="Arial" w:hAnsi="Arial"/>
          <w:sz w:val="17"/>
          <w:szCs w:val="17"/>
          <w:color w:val="auto"/>
        </w:rPr>
      </w:pPr>
    </w:p>
    <w:p>
      <w:pPr>
        <w:ind w:left="1120" w:right="340" w:hanging="368"/>
        <w:spacing w:after="0" w:line="250"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currency translation rates had the effect of increasing second-quarter 2018 sales by $3.1 million compared to the same period in 2017. That currency translation effect was principally due to the euro and Chinese renminbi strengthening in 2018.</w:t>
      </w:r>
    </w:p>
    <w:p>
      <w:pPr>
        <w:spacing w:after="0" w:line="44" w:lineRule="exact"/>
        <w:rPr>
          <w:rFonts w:ascii="Arial" w:cs="Arial" w:eastAsia="Arial" w:hAnsi="Arial"/>
          <w:sz w:val="17"/>
          <w:szCs w:val="17"/>
          <w:color w:val="auto"/>
        </w:rPr>
      </w:pPr>
    </w:p>
    <w:p>
      <w:pPr>
        <w:ind w:left="1120" w:right="640" w:hanging="368"/>
        <w:spacing w:after="0" w:line="250"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 Net sales in MC increased 8.8%. Excluding the additional effect of adopting ASC 606, Net sales increased 8.2%, principally due to global growth in sales for the packaging and tissue grades.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98" w:lineRule="exact"/>
        <w:rPr>
          <w:sz w:val="20"/>
          <w:szCs w:val="20"/>
          <w:color w:val="auto"/>
        </w:rPr>
      </w:pPr>
    </w:p>
    <w:p>
      <w:pPr>
        <w:ind w:left="1120" w:hanging="368"/>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sales increased by 7.4%.</w:t>
      </w:r>
    </w:p>
    <w:p>
      <w:pPr>
        <w:spacing w:after="0" w:line="75" w:lineRule="exact"/>
        <w:rPr>
          <w:rFonts w:ascii="Arial" w:cs="Arial" w:eastAsia="Arial" w:hAnsi="Arial"/>
          <w:sz w:val="17"/>
          <w:szCs w:val="17"/>
          <w:color w:val="auto"/>
        </w:rPr>
      </w:pPr>
    </w:p>
    <w:p>
      <w:pPr>
        <w:ind w:left="1120" w:right="340" w:hanging="368"/>
        <w:spacing w:after="0" w:line="250"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currency translation rates had the effect of increasing the first six months of 2018 sales by $9.9 million compared to the same period in 2017. That currency translation effect was principally due to the euro and Chinese renminbi strengthening in 2018.</w:t>
      </w:r>
    </w:p>
    <w:p>
      <w:pPr>
        <w:spacing w:after="0" w:line="44" w:lineRule="exact"/>
        <w:rPr>
          <w:rFonts w:ascii="Arial" w:cs="Arial" w:eastAsia="Arial" w:hAnsi="Arial"/>
          <w:sz w:val="17"/>
          <w:szCs w:val="17"/>
          <w:color w:val="auto"/>
        </w:rPr>
      </w:pPr>
    </w:p>
    <w:p>
      <w:pPr>
        <w:ind w:left="1120" w:right="640" w:hanging="368"/>
        <w:spacing w:after="0" w:line="250"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 Net sales in MC increased 4.0%. Excluding the additional effect of adopting ASC 606, Net sales increased 2.2%, principally due to global growth in sales for the packaging and tissue grades.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278" w:lineRule="exact"/>
        <w:rPr>
          <w:sz w:val="20"/>
          <w:szCs w:val="20"/>
          <w:color w:val="auto"/>
        </w:rPr>
      </w:pPr>
    </w:p>
    <w:p>
      <w:pPr>
        <w:ind w:left="1120" w:hanging="368"/>
        <w:spacing w:after="0"/>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increase in MC gross profit was principally due to higher sales.</w:t>
      </w:r>
    </w:p>
    <w:p>
      <w:pPr>
        <w:spacing w:after="0" w:line="88" w:lineRule="exact"/>
        <w:rPr>
          <w:rFonts w:ascii="Arial" w:cs="Arial" w:eastAsia="Arial" w:hAnsi="Arial"/>
          <w:sz w:val="17"/>
          <w:szCs w:val="17"/>
          <w:color w:val="auto"/>
        </w:rPr>
      </w:pPr>
    </w:p>
    <w:p>
      <w:pPr>
        <w:ind w:left="1120" w:hanging="368"/>
        <w:spacing w:after="0"/>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increase in MC gross profit as a percentage of sales was principally due to strong capacity utilization.</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currency translation rates did not have a significant effect on gross profit for the second quarter of 2018.</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Six month comparison</w:t>
      </w:r>
    </w:p>
    <w:p>
      <w:pPr>
        <w:spacing w:after="0" w:line="278" w:lineRule="exact"/>
        <w:rPr>
          <w:sz w:val="20"/>
          <w:szCs w:val="20"/>
          <w:color w:val="auto"/>
        </w:rPr>
      </w:pPr>
    </w:p>
    <w:p>
      <w:pPr>
        <w:ind w:left="1120" w:hanging="368"/>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increase in MC gross profit was principally due to higher sales.</w:t>
      </w:r>
    </w:p>
    <w:p>
      <w:pPr>
        <w:spacing w:after="0" w:line="88" w:lineRule="exact"/>
        <w:rPr>
          <w:rFonts w:ascii="Arial" w:cs="Arial" w:eastAsia="Arial" w:hAnsi="Arial"/>
          <w:sz w:val="17"/>
          <w:szCs w:val="17"/>
          <w:color w:val="auto"/>
        </w:rPr>
      </w:pPr>
    </w:p>
    <w:p>
      <w:pPr>
        <w:ind w:left="1120" w:hanging="368"/>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increase in MC gross profit as a percentage of sales was principally due to strong capacity utilization.</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currency translation rates did not have a significant effect on gross profit for the first six months of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in operating income was principally due to the net effect of the following individually significant items:</w:t>
      </w:r>
    </w:p>
    <w:p>
      <w:pPr>
        <w:spacing w:after="0" w:line="372" w:lineRule="exact"/>
        <w:rPr>
          <w:sz w:val="20"/>
          <w:szCs w:val="20"/>
          <w:color w:val="auto"/>
        </w:rPr>
      </w:pPr>
    </w:p>
    <w:p>
      <w:pPr>
        <w:ind w:left="1120" w:hanging="368"/>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Gross profit increased $8.8 million due to increased sales, including the impact of ASC 606, as described above.</w:t>
      </w:r>
    </w:p>
    <w:p>
      <w:pPr>
        <w:spacing w:after="0" w:line="269" w:lineRule="exact"/>
        <w:rPr>
          <w:rFonts w:ascii="Arial" w:cs="Arial" w:eastAsia="Arial" w:hAnsi="Arial"/>
          <w:sz w:val="17"/>
          <w:szCs w:val="17"/>
          <w:color w:val="auto"/>
        </w:rPr>
      </w:pPr>
    </w:p>
    <w:p>
      <w:pPr>
        <w:ind w:left="1120" w:hanging="368"/>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STG&amp;R expenses decreased $4.6 million due to:</w:t>
      </w:r>
    </w:p>
    <w:p>
      <w:pPr>
        <w:spacing w:after="0" w:line="75" w:lineRule="exact"/>
        <w:rPr>
          <w:rFonts w:ascii="Arial" w:cs="Arial" w:eastAsia="Arial" w:hAnsi="Arial"/>
          <w:sz w:val="17"/>
          <w:szCs w:val="17"/>
          <w:color w:val="auto"/>
        </w:rPr>
      </w:pPr>
    </w:p>
    <w:p>
      <w:pPr>
        <w:ind w:left="1520" w:right="300" w:hanging="374"/>
        <w:spacing w:after="0" w:line="227"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In MC, revaluation of nonfunctional currency assets and liabilities resulted in second-quarter gains of $2.3 million in 2018, and</w:t>
      </w:r>
      <w:r>
        <w:rPr>
          <w:rFonts w:ascii="Courier New" w:cs="Courier New" w:eastAsia="Courier New" w:hAnsi="Courier New"/>
          <w:sz w:val="17"/>
          <w:szCs w:val="17"/>
          <w:color w:val="auto"/>
        </w:rPr>
        <w:t xml:space="preserve"> </w:t>
      </w:r>
      <w:r>
        <w:rPr>
          <w:rFonts w:ascii="Arial" w:cs="Arial" w:eastAsia="Arial" w:hAnsi="Arial"/>
          <w:sz w:val="17"/>
          <w:szCs w:val="17"/>
          <w:color w:val="auto"/>
        </w:rPr>
        <w:t>losses of $1.7 million in 2017.</w:t>
      </w:r>
    </w:p>
    <w:p>
      <w:pPr>
        <w:spacing w:after="0" w:line="260" w:lineRule="exact"/>
        <w:rPr>
          <w:rFonts w:ascii="Arial" w:cs="Arial" w:eastAsia="Arial" w:hAnsi="Arial"/>
          <w:sz w:val="17"/>
          <w:szCs w:val="17"/>
          <w:color w:val="auto"/>
        </w:rPr>
      </w:pPr>
    </w:p>
    <w:p>
      <w:pPr>
        <w:ind w:left="1120" w:hanging="368"/>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Restructuring charges were $1.8 million in the second-quarter of 2018, compared to $0.8 million in the same period in 2017.</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in operating income was principally due to the net effect of the following individually significant items:</w:t>
      </w:r>
    </w:p>
    <w:p>
      <w:pPr>
        <w:spacing w:after="0" w:line="372" w:lineRule="exact"/>
        <w:rPr>
          <w:sz w:val="20"/>
          <w:szCs w:val="20"/>
          <w:color w:val="auto"/>
        </w:rPr>
      </w:pPr>
    </w:p>
    <w:p>
      <w:pPr>
        <w:ind w:left="1120" w:hanging="368"/>
        <w:spacing w:after="0"/>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Gross profit increased $9.7 million due to increased sales, including the impact of ASC 606, as described above.</w:t>
      </w:r>
    </w:p>
    <w:p>
      <w:pPr>
        <w:spacing w:after="0" w:line="75" w:lineRule="exact"/>
        <w:rPr>
          <w:rFonts w:ascii="Arial" w:cs="Arial" w:eastAsia="Arial" w:hAnsi="Arial"/>
          <w:sz w:val="17"/>
          <w:szCs w:val="17"/>
          <w:color w:val="auto"/>
        </w:rPr>
      </w:pPr>
    </w:p>
    <w:p>
      <w:pPr>
        <w:ind w:left="1120" w:hanging="368"/>
        <w:spacing w:after="0"/>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STG&amp;R expenses decreased $4.4 million due to:</w:t>
      </w:r>
    </w:p>
    <w:p>
      <w:pPr>
        <w:spacing w:after="0" w:line="75" w:lineRule="exact"/>
        <w:rPr>
          <w:rFonts w:ascii="Arial" w:cs="Arial" w:eastAsia="Arial" w:hAnsi="Arial"/>
          <w:sz w:val="17"/>
          <w:szCs w:val="17"/>
          <w:color w:val="auto"/>
        </w:rPr>
      </w:pPr>
    </w:p>
    <w:p>
      <w:pPr>
        <w:ind w:left="1520" w:right="400" w:hanging="374"/>
        <w:spacing w:after="0" w:line="227"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In MC, revaluation of nonfunctional currency assets and liabilities resulted in gains of $0.8 million in 2018, and losses of $3.3</w:t>
      </w:r>
      <w:r>
        <w:rPr>
          <w:rFonts w:ascii="Courier New" w:cs="Courier New" w:eastAsia="Courier New" w:hAnsi="Courier New"/>
          <w:sz w:val="17"/>
          <w:szCs w:val="17"/>
          <w:color w:val="auto"/>
        </w:rPr>
        <w:t xml:space="preserve"> </w:t>
      </w:r>
      <w:r>
        <w:rPr>
          <w:rFonts w:ascii="Arial" w:cs="Arial" w:eastAsia="Arial" w:hAnsi="Arial"/>
          <w:sz w:val="17"/>
          <w:szCs w:val="17"/>
          <w:color w:val="auto"/>
        </w:rPr>
        <w:t>million in 2017.</w:t>
      </w:r>
    </w:p>
    <w:p>
      <w:pPr>
        <w:spacing w:after="0" w:line="66" w:lineRule="exact"/>
        <w:rPr>
          <w:rFonts w:ascii="Arial" w:cs="Arial" w:eastAsia="Arial" w:hAnsi="Arial"/>
          <w:sz w:val="17"/>
          <w:szCs w:val="17"/>
          <w:color w:val="auto"/>
        </w:rPr>
      </w:pPr>
    </w:p>
    <w:p>
      <w:pPr>
        <w:ind w:left="1120" w:hanging="368"/>
        <w:spacing w:after="0"/>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Restructuring charges were $10.2 million in the first six months of 2018, compared to $0.9 million in the same period in 2017.</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 Segment</w:t>
      </w:r>
    </w:p>
    <w:p>
      <w:pPr>
        <w:spacing w:after="0" w:line="200" w:lineRule="exact"/>
        <w:rPr>
          <w:sz w:val="20"/>
          <w:szCs w:val="20"/>
          <w:color w:val="auto"/>
        </w:rPr>
      </w:pPr>
    </w:p>
    <w:p>
      <w:pPr>
        <w:spacing w:after="0" w:line="259"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and defense industries. AEC’s largest program relates to CFM International’s LEAP engine. AEC, through ASC, is the exclusive supplier of advanced composite fan blades and cases for this program under a long-term supply contract. Other significant AEC programs include components for the F-35 Joint Strike Fighter, fuselage frames for the Boeing 787, and the fan case for the GE9X engine.</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360"/>
          </w:cols>
          <w:pgMar w:left="240" w:top="646"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4560" w:type="dxa"/>
            <w:vAlign w:val="bottom"/>
            <w:tcBorders>
              <w:top w:val="single" w:sz="8" w:color="auto"/>
            </w:tcBorders>
          </w:tcPr>
          <w:p>
            <w:pPr>
              <w:spacing w:after="0"/>
              <w:rPr>
                <w:sz w:val="15"/>
                <w:szCs w:val="15"/>
                <w:color w:val="auto"/>
              </w:rPr>
            </w:pPr>
          </w:p>
        </w:tc>
        <w:tc>
          <w:tcPr>
            <w:tcW w:w="4380" w:type="dxa"/>
            <w:vAlign w:val="bottom"/>
            <w:tcBorders>
              <w:top w:val="single" w:sz="8" w:color="auto"/>
            </w:tcBorders>
            <w:gridSpan w:val="2"/>
          </w:tcPr>
          <w:p>
            <w:pPr>
              <w:jc w:val="right"/>
              <w:ind w:right="854"/>
              <w:spacing w:after="0" w:line="184" w:lineRule="exact"/>
              <w:rPr>
                <w:sz w:val="20"/>
                <w:szCs w:val="20"/>
                <w:color w:val="auto"/>
              </w:rPr>
            </w:pPr>
            <w:r>
              <w:rPr>
                <w:rFonts w:ascii="Arial" w:cs="Arial" w:eastAsia="Arial" w:hAnsi="Arial"/>
                <w:sz w:val="17"/>
                <w:szCs w:val="17"/>
                <w:b w:val="1"/>
                <w:bCs w:val="1"/>
                <w:color w:val="auto"/>
              </w:rPr>
              <w:t>Three months ended</w:t>
            </w:r>
          </w:p>
        </w:tc>
        <w:tc>
          <w:tcPr>
            <w:tcW w:w="2480" w:type="dxa"/>
            <w:vAlign w:val="bottom"/>
            <w:tcBorders>
              <w:top w:val="single" w:sz="8" w:color="auto"/>
            </w:tcBorders>
            <w:gridSpan w:val="2"/>
          </w:tcPr>
          <w:p>
            <w:pPr>
              <w:jc w:val="right"/>
              <w:ind w:right="534"/>
              <w:spacing w:after="0" w:line="184" w:lineRule="exact"/>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5"/>
                <w:szCs w:val="15"/>
                <w:color w:val="auto"/>
              </w:rPr>
            </w:pPr>
          </w:p>
        </w:tc>
      </w:tr>
      <w:tr>
        <w:trPr>
          <w:trHeight w:val="194"/>
        </w:trPr>
        <w:tc>
          <w:tcPr>
            <w:tcW w:w="4560" w:type="dxa"/>
            <w:vAlign w:val="bottom"/>
          </w:tcPr>
          <w:p>
            <w:pPr>
              <w:spacing w:after="0"/>
              <w:rPr>
                <w:sz w:val="16"/>
                <w:szCs w:val="16"/>
                <w:color w:val="auto"/>
              </w:rPr>
            </w:pPr>
          </w:p>
        </w:tc>
        <w:tc>
          <w:tcPr>
            <w:tcW w:w="3060" w:type="dxa"/>
            <w:vAlign w:val="bottom"/>
          </w:tcPr>
          <w:p>
            <w:pPr>
              <w:jc w:val="right"/>
              <w:ind w:right="34"/>
              <w:spacing w:after="0" w:line="194" w:lineRule="exact"/>
              <w:rPr>
                <w:sz w:val="20"/>
                <w:szCs w:val="20"/>
                <w:color w:val="auto"/>
              </w:rPr>
            </w:pPr>
            <w:r>
              <w:rPr>
                <w:rFonts w:ascii="Arial" w:cs="Arial" w:eastAsia="Arial" w:hAnsi="Arial"/>
                <w:sz w:val="17"/>
                <w:szCs w:val="17"/>
                <w:b w:val="1"/>
                <w:bCs w:val="1"/>
                <w:color w:val="auto"/>
              </w:rPr>
              <w:t>June 30,</w:t>
            </w:r>
          </w:p>
        </w:tc>
        <w:tc>
          <w:tcPr>
            <w:tcW w:w="132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percentages)</w:t>
            </w:r>
          </w:p>
        </w:tc>
        <w:tc>
          <w:tcPr>
            <w:tcW w:w="306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b w:val="1"/>
                <w:bCs w:val="1"/>
                <w:color w:val="auto"/>
              </w:rPr>
              <w:t>2018</w:t>
            </w:r>
          </w:p>
        </w:tc>
        <w:tc>
          <w:tcPr>
            <w:tcW w:w="13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2017</w:t>
            </w:r>
          </w:p>
        </w:tc>
        <w:tc>
          <w:tcPr>
            <w:tcW w:w="154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rPr>
              <w:t>2018</w:t>
            </w: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8"/>
                <w:szCs w:val="18"/>
                <w:color w:val="auto"/>
              </w:rPr>
            </w:pPr>
          </w:p>
        </w:tc>
      </w:tr>
      <w:tr>
        <w:trPr>
          <w:trHeight w:val="164"/>
        </w:trPr>
        <w:tc>
          <w:tcPr>
            <w:tcW w:w="4560" w:type="dxa"/>
            <w:vAlign w:val="bottom"/>
          </w:tcPr>
          <w:p>
            <w:pPr>
              <w:spacing w:after="0" w:line="163" w:lineRule="exact"/>
              <w:rPr>
                <w:sz w:val="20"/>
                <w:szCs w:val="20"/>
                <w:color w:val="auto"/>
              </w:rPr>
            </w:pPr>
            <w:r>
              <w:rPr>
                <w:rFonts w:ascii="Arial" w:cs="Arial" w:eastAsia="Arial" w:hAnsi="Arial"/>
                <w:sz w:val="17"/>
                <w:szCs w:val="17"/>
                <w:color w:val="auto"/>
              </w:rPr>
              <w:t>Net sales</w:t>
            </w:r>
          </w:p>
        </w:tc>
        <w:tc>
          <w:tcPr>
            <w:tcW w:w="3060" w:type="dxa"/>
            <w:vAlign w:val="bottom"/>
          </w:tcPr>
          <w:p>
            <w:pPr>
              <w:jc w:val="right"/>
              <w:ind w:right="334"/>
              <w:spacing w:after="0" w:line="163" w:lineRule="exact"/>
              <w:rPr>
                <w:sz w:val="20"/>
                <w:szCs w:val="20"/>
                <w:color w:val="auto"/>
              </w:rPr>
            </w:pPr>
            <w:r>
              <w:rPr>
                <w:rFonts w:ascii="Arial" w:cs="Arial" w:eastAsia="Arial" w:hAnsi="Arial"/>
                <w:sz w:val="17"/>
                <w:szCs w:val="17"/>
                <w:b w:val="1"/>
                <w:bCs w:val="1"/>
                <w:color w:val="auto"/>
              </w:rPr>
              <w:t>$93,590</w:t>
            </w:r>
          </w:p>
        </w:tc>
        <w:tc>
          <w:tcPr>
            <w:tcW w:w="1320" w:type="dxa"/>
            <w:vAlign w:val="bottom"/>
          </w:tcPr>
          <w:p>
            <w:pPr>
              <w:jc w:val="right"/>
              <w:ind w:right="174"/>
              <w:spacing w:after="0" w:line="163" w:lineRule="exact"/>
              <w:rPr>
                <w:sz w:val="20"/>
                <w:szCs w:val="20"/>
                <w:color w:val="auto"/>
              </w:rPr>
            </w:pPr>
            <w:r>
              <w:rPr>
                <w:rFonts w:ascii="Arial" w:cs="Arial" w:eastAsia="Arial" w:hAnsi="Arial"/>
                <w:sz w:val="17"/>
                <w:szCs w:val="17"/>
                <w:color w:val="auto"/>
              </w:rPr>
              <w:t>$68,999</w:t>
            </w:r>
          </w:p>
        </w:tc>
        <w:tc>
          <w:tcPr>
            <w:tcW w:w="1540" w:type="dxa"/>
            <w:vAlign w:val="bottom"/>
          </w:tcPr>
          <w:p>
            <w:pPr>
              <w:jc w:val="right"/>
              <w:ind w:right="334"/>
              <w:spacing w:after="0" w:line="163" w:lineRule="exact"/>
              <w:rPr>
                <w:sz w:val="20"/>
                <w:szCs w:val="20"/>
                <w:color w:val="auto"/>
              </w:rPr>
            </w:pPr>
            <w:r>
              <w:rPr>
                <w:rFonts w:ascii="Arial" w:cs="Arial" w:eastAsia="Arial" w:hAnsi="Arial"/>
                <w:sz w:val="17"/>
                <w:szCs w:val="17"/>
                <w:b w:val="1"/>
                <w:bCs w:val="1"/>
                <w:color w:val="auto"/>
              </w:rPr>
              <w:t>$175,420</w:t>
            </w:r>
          </w:p>
        </w:tc>
        <w:tc>
          <w:tcPr>
            <w:tcW w:w="940" w:type="dxa"/>
            <w:vAlign w:val="bottom"/>
          </w:tcPr>
          <w:p>
            <w:pPr>
              <w:jc w:val="right"/>
              <w:spacing w:after="0" w:line="163" w:lineRule="exact"/>
              <w:rPr>
                <w:sz w:val="20"/>
                <w:szCs w:val="20"/>
                <w:color w:val="auto"/>
              </w:rPr>
            </w:pPr>
            <w:r>
              <w:rPr>
                <w:rFonts w:ascii="Arial" w:cs="Arial" w:eastAsia="Arial" w:hAnsi="Arial"/>
                <w:sz w:val="17"/>
                <w:szCs w:val="17"/>
                <w:color w:val="auto"/>
              </w:rPr>
              <w:t>$125,449</w:t>
            </w:r>
          </w:p>
        </w:tc>
        <w:tc>
          <w:tcPr>
            <w:tcW w:w="20" w:type="dxa"/>
            <w:vAlign w:val="bottom"/>
          </w:tcPr>
          <w:p>
            <w:pPr>
              <w:spacing w:after="0"/>
              <w:rPr>
                <w:sz w:val="14"/>
                <w:szCs w:val="14"/>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7"/>
                <w:szCs w:val="17"/>
                <w:color w:val="auto"/>
              </w:rPr>
              <w:t>Gross profit</w:t>
            </w:r>
          </w:p>
        </w:tc>
        <w:tc>
          <w:tcPr>
            <w:tcW w:w="306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12,626</w:t>
            </w:r>
          </w:p>
        </w:tc>
        <w:tc>
          <w:tcPr>
            <w:tcW w:w="13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(7,599)</w:t>
            </w:r>
          </w:p>
        </w:tc>
        <w:tc>
          <w:tcPr>
            <w:tcW w:w="154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24,150</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(766)</w:t>
            </w:r>
          </w:p>
        </w:tc>
        <w:tc>
          <w:tcPr>
            <w:tcW w:w="20" w:type="dxa"/>
            <w:vAlign w:val="bottom"/>
          </w:tcPr>
          <w:p>
            <w:pPr>
              <w:spacing w:after="0"/>
              <w:rPr>
                <w:sz w:val="16"/>
                <w:szCs w:val="16"/>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7"/>
                <w:szCs w:val="17"/>
                <w:color w:val="auto"/>
              </w:rPr>
              <w:t>% of net sales</w:t>
            </w:r>
          </w:p>
        </w:tc>
        <w:tc>
          <w:tcPr>
            <w:tcW w:w="306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13.5%</w:t>
            </w:r>
          </w:p>
        </w:tc>
        <w:tc>
          <w:tcPr>
            <w:tcW w:w="13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-11.0%</w:t>
            </w:r>
          </w:p>
        </w:tc>
        <w:tc>
          <w:tcPr>
            <w:tcW w:w="154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13.8%</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-0.6%</w:t>
            </w:r>
          </w:p>
        </w:tc>
        <w:tc>
          <w:tcPr>
            <w:tcW w:w="20" w:type="dxa"/>
            <w:vAlign w:val="bottom"/>
          </w:tcPr>
          <w:p>
            <w:pPr>
              <w:spacing w:after="0"/>
              <w:rPr>
                <w:sz w:val="16"/>
                <w:szCs w:val="16"/>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7"/>
                <w:szCs w:val="17"/>
                <w:color w:val="auto"/>
              </w:rPr>
              <w:t>STG&amp;R expenses</w:t>
            </w:r>
          </w:p>
        </w:tc>
        <w:tc>
          <w:tcPr>
            <w:tcW w:w="306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7,976</w:t>
            </w:r>
          </w:p>
        </w:tc>
        <w:tc>
          <w:tcPr>
            <w:tcW w:w="13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8,998</w:t>
            </w:r>
          </w:p>
        </w:tc>
        <w:tc>
          <w:tcPr>
            <w:tcW w:w="154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17,004</w:t>
            </w:r>
          </w:p>
        </w:tc>
        <w:tc>
          <w:tcPr>
            <w:tcW w:w="9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18,374</w:t>
            </w: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Operating income/(loss)</w:t>
            </w:r>
          </w:p>
        </w:tc>
        <w:tc>
          <w:tcPr>
            <w:tcW w:w="30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4,092</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(17,828)</w:t>
            </w: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6,366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(22,942)</w:t>
            </w:r>
          </w:p>
        </w:tc>
        <w:tc>
          <w:tcPr>
            <w:tcW w:w="20" w:type="dxa"/>
            <w:vAlign w:val="bottom"/>
            <w:tcBorders>
              <w:bottom w:val="single" w:sz="8" w:color="auto"/>
            </w:tcBorders>
          </w:tcPr>
          <w:p>
            <w:pPr>
              <w:spacing w:after="0"/>
              <w:rPr>
                <w:sz w:val="18"/>
                <w:szCs w:val="18"/>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in net sales was principally due to the net effect of the following individually significant items:</w:t>
      </w:r>
    </w:p>
    <w:p>
      <w:pPr>
        <w:spacing w:after="0" w:line="166" w:lineRule="exact"/>
        <w:rPr>
          <w:sz w:val="20"/>
          <w:szCs w:val="20"/>
          <w:color w:val="auto"/>
        </w:rPr>
      </w:pPr>
    </w:p>
    <w:p>
      <w:pPr>
        <w:ind w:left="1240" w:right="220" w:hanging="308"/>
        <w:spacing w:after="0" w:line="250"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 Net sales increased 33.9%. Excluding the additional effect of adopting ASC 606, Net sales increased 35.7%, primarily driven by growth in the LEAP, Boeing 787, F-35, and CH-53K programs.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in net sales was principally due to the net effect of the following individually significant items:</w:t>
      </w:r>
    </w:p>
    <w:p>
      <w:pPr>
        <w:spacing w:after="0" w:line="179" w:lineRule="exact"/>
        <w:rPr>
          <w:sz w:val="20"/>
          <w:szCs w:val="20"/>
          <w:color w:val="auto"/>
        </w:rPr>
      </w:pPr>
    </w:p>
    <w:p>
      <w:pPr>
        <w:ind w:left="1240" w:right="220" w:hanging="308"/>
        <w:spacing w:after="0" w:line="250"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 Net sales increased 37.0%. Excluding the additional effect of adopting ASC 606, Net sales increased 34.7%, primarily driven by growth in the LEAP, Boeing 787, F-35, and CH-53K programs.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 comparison</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in gross profit of $20.2 million was principally due to the net effect of the following individually significant items:</w:t>
      </w:r>
    </w:p>
    <w:p>
      <w:pPr>
        <w:spacing w:after="0" w:line="372" w:lineRule="exact"/>
        <w:rPr>
          <w:sz w:val="20"/>
          <w:szCs w:val="20"/>
          <w:color w:val="auto"/>
        </w:rPr>
      </w:pPr>
    </w:p>
    <w:p>
      <w:pPr>
        <w:ind w:left="2180" w:right="80" w:hanging="318"/>
        <w:spacing w:after="0" w:line="237" w:lineRule="auto"/>
        <w:tabs>
          <w:tab w:leader="none" w:pos="2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second quarter of 2017, the Company recorded a $15.8 million charge to Cost of goods sold related to revisions in the estimated profitability of two contracts.</w:t>
      </w:r>
    </w:p>
    <w:p>
      <w:pPr>
        <w:spacing w:after="0" w:line="1" w:lineRule="exact"/>
        <w:rPr>
          <w:rFonts w:ascii="Arial" w:cs="Arial" w:eastAsia="Arial" w:hAnsi="Arial"/>
          <w:sz w:val="17"/>
          <w:szCs w:val="17"/>
          <w:color w:val="auto"/>
        </w:rPr>
      </w:pPr>
    </w:p>
    <w:p>
      <w:pPr>
        <w:ind w:left="2180" w:hanging="318"/>
        <w:spacing w:after="0"/>
        <w:tabs>
          <w:tab w:leader="none" w:pos="2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increase in net sales, as described above, and improved labor productivity.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 comparison</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in gross profit of $24.9 million was principally due to the net effect of the following individually significant items:</w:t>
      </w:r>
    </w:p>
    <w:p>
      <w:pPr>
        <w:spacing w:after="0" w:line="359" w:lineRule="exact"/>
        <w:rPr>
          <w:sz w:val="20"/>
          <w:szCs w:val="20"/>
          <w:color w:val="auto"/>
        </w:rPr>
      </w:pPr>
    </w:p>
    <w:p>
      <w:pPr>
        <w:ind w:left="2180" w:right="80" w:hanging="318"/>
        <w:spacing w:after="0" w:line="237" w:lineRule="auto"/>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second quarter of 2017, the Company recorded a $15.8 million charge to Cost of goods sold related to revisions in the estimated profitability of two contracts.</w:t>
      </w:r>
    </w:p>
    <w:p>
      <w:pPr>
        <w:spacing w:after="0" w:line="1" w:lineRule="exact"/>
        <w:rPr>
          <w:rFonts w:ascii="Arial" w:cs="Arial" w:eastAsia="Arial" w:hAnsi="Arial"/>
          <w:sz w:val="17"/>
          <w:szCs w:val="17"/>
          <w:color w:val="auto"/>
        </w:rPr>
      </w:pPr>
    </w:p>
    <w:p>
      <w:pPr>
        <w:ind w:left="2180" w:hanging="318"/>
        <w:spacing w:after="0"/>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increase in net sales, as described above, and improved labor productivity.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Long-term contracts</w:t>
      </w:r>
    </w:p>
    <w:p>
      <w:pPr>
        <w:spacing w:after="0" w:line="98" w:lineRule="exact"/>
        <w:rPr>
          <w:sz w:val="20"/>
          <w:szCs w:val="20"/>
          <w:color w:val="auto"/>
        </w:rPr>
      </w:pPr>
    </w:p>
    <w:p>
      <w:pPr>
        <w:ind w:right="20" w:firstLine="620"/>
        <w:spacing w:after="0" w:line="243" w:lineRule="auto"/>
        <w:rPr>
          <w:sz w:val="20"/>
          <w:szCs w:val="20"/>
          <w:color w:val="auto"/>
        </w:rPr>
      </w:pPr>
      <w:r>
        <w:rPr>
          <w:rFonts w:ascii="Arial" w:cs="Arial" w:eastAsia="Arial" w:hAnsi="Arial"/>
          <w:sz w:val="17"/>
          <w:szCs w:val="17"/>
          <w:color w:val="auto"/>
        </w:rPr>
        <w:t>AEC has contracts with certain customers, including its contract for the LEAP program, where revenue is determined by a cost-plus fee agreement. Revenue earned under these arrangements accounted for approximately 50 and 45 percent of segment revenue for the first six months of 2018 and 2017, respectively.</w:t>
      </w:r>
    </w:p>
    <w:p>
      <w:pPr>
        <w:spacing w:after="0" w:line="155" w:lineRule="exact"/>
        <w:rPr>
          <w:sz w:val="20"/>
          <w:szCs w:val="20"/>
          <w:color w:val="auto"/>
        </w:rPr>
      </w:pPr>
    </w:p>
    <w:p>
      <w:pPr>
        <w:ind w:firstLine="620"/>
        <w:spacing w:after="0" w:line="241" w:lineRule="auto"/>
        <w:rPr>
          <w:sz w:val="20"/>
          <w:szCs w:val="20"/>
          <w:color w:val="auto"/>
        </w:rPr>
      </w:pPr>
      <w:r>
        <w:rPr>
          <w:rFonts w:ascii="Arial" w:cs="Arial" w:eastAsia="Arial" w:hAnsi="Arial"/>
          <w:sz w:val="17"/>
          <w:szCs w:val="17"/>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w:t>
      </w:r>
    </w:p>
    <w:p>
      <w:pPr>
        <w:spacing w:after="0" w:line="157" w:lineRule="exact"/>
        <w:rPr>
          <w:sz w:val="20"/>
          <w:szCs w:val="20"/>
          <w:color w:val="auto"/>
        </w:rPr>
      </w:pPr>
    </w:p>
    <w:p>
      <w:pPr>
        <w:jc w:val="both"/>
        <w:ind w:right="240" w:firstLine="620"/>
        <w:spacing w:after="0" w:line="243" w:lineRule="auto"/>
        <w:rPr>
          <w:sz w:val="20"/>
          <w:szCs w:val="20"/>
          <w:color w:val="auto"/>
        </w:rPr>
      </w:pPr>
      <w:r>
        <w:rPr>
          <w:rFonts w:ascii="Arial" w:cs="Arial" w:eastAsia="Arial" w:hAnsi="Arial"/>
          <w:sz w:val="17"/>
          <w:szCs w:val="17"/>
          <w:color w:val="auto"/>
        </w:rPr>
        <w:t>Changes in contract estimates resulted in a decrease to gross profit of $1.6 million for the first six months of 2018. In the first six months of 2017, we recorded the $ 15.8 million charge associated with the revision in the estimated profitability of the BR 725 and A380 contracts. Changes in other contract estimates in the first six months of 2017 resulted in a decrease to gross profit of $0.4 million.</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Income/(Loss)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and Six month comparison</w:t>
      </w:r>
    </w:p>
    <w:p>
      <w:pPr>
        <w:spacing w:after="0" w:line="278" w:lineRule="exact"/>
        <w:rPr>
          <w:sz w:val="20"/>
          <w:szCs w:val="20"/>
          <w:color w:val="auto"/>
        </w:rPr>
      </w:pPr>
    </w:p>
    <w:p>
      <w:pPr>
        <w:ind w:right="700" w:firstLine="620"/>
        <w:spacing w:after="0" w:line="250" w:lineRule="auto"/>
        <w:rPr>
          <w:sz w:val="20"/>
          <w:szCs w:val="20"/>
          <w:color w:val="auto"/>
        </w:rPr>
      </w:pPr>
      <w:r>
        <w:rPr>
          <w:rFonts w:ascii="Arial" w:cs="Arial" w:eastAsia="Arial" w:hAnsi="Arial"/>
          <w:sz w:val="17"/>
          <w:szCs w:val="17"/>
          <w:color w:val="auto"/>
        </w:rPr>
        <w:t>The increase in operating income of $21.9 million in the second quarter of 2018 and $29.3 million for the first six months of 2018 was principally due to the net effect of the following individually significant items:</w:t>
      </w:r>
    </w:p>
    <w:p>
      <w:pPr>
        <w:spacing w:after="0" w:line="161" w:lineRule="exact"/>
        <w:rPr>
          <w:sz w:val="20"/>
          <w:szCs w:val="20"/>
          <w:color w:val="auto"/>
        </w:rPr>
      </w:pPr>
    </w:p>
    <w:p>
      <w:pPr>
        <w:ind w:left="1120" w:right="60" w:hanging="368"/>
        <w:spacing w:after="0" w:line="250"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second quarter of 2017, the Company recorded a $15.8 million charge to Cost of goods sold related to revisions in the estimated profitability of two contracts.</w:t>
      </w:r>
    </w:p>
    <w:p>
      <w:pPr>
        <w:spacing w:after="0" w:line="238" w:lineRule="exact"/>
        <w:rPr>
          <w:rFonts w:ascii="Arial" w:cs="Arial" w:eastAsia="Arial" w:hAnsi="Arial"/>
          <w:sz w:val="17"/>
          <w:szCs w:val="17"/>
          <w:color w:val="auto"/>
        </w:rPr>
      </w:pPr>
    </w:p>
    <w:p>
      <w:pPr>
        <w:ind w:left="1120" w:hanging="368"/>
        <w:spacing w:after="0"/>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AEC operating income increased due to higher sales and strong productivity, as described above.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Summary</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800" w:type="dxa"/>
            <w:vAlign w:val="bottom"/>
            <w:tcBorders>
              <w:top w:val="single" w:sz="8" w:color="auto"/>
            </w:tcBorders>
          </w:tcPr>
          <w:p>
            <w:pPr>
              <w:spacing w:after="0"/>
              <w:rPr>
                <w:sz w:val="15"/>
                <w:szCs w:val="15"/>
                <w:color w:val="auto"/>
              </w:rPr>
            </w:pPr>
          </w:p>
        </w:tc>
        <w:tc>
          <w:tcPr>
            <w:tcW w:w="4600" w:type="dxa"/>
            <w:vAlign w:val="bottom"/>
            <w:tcBorders>
              <w:top w:val="single" w:sz="8" w:color="auto"/>
            </w:tcBorders>
            <w:gridSpan w:val="2"/>
          </w:tcPr>
          <w:p>
            <w:pPr>
              <w:jc w:val="right"/>
              <w:ind w:right="794"/>
              <w:spacing w:after="0" w:line="184" w:lineRule="exact"/>
              <w:rPr>
                <w:sz w:val="20"/>
                <w:szCs w:val="20"/>
                <w:color w:val="auto"/>
              </w:rPr>
            </w:pPr>
            <w:r>
              <w:rPr>
                <w:rFonts w:ascii="Arial" w:cs="Arial" w:eastAsia="Arial" w:hAnsi="Arial"/>
                <w:sz w:val="17"/>
                <w:szCs w:val="17"/>
                <w:b w:val="1"/>
                <w:bCs w:val="1"/>
                <w:color w:val="auto"/>
              </w:rPr>
              <w:t>Six months ended</w:t>
            </w: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3480" w:type="dxa"/>
            <w:vAlign w:val="bottom"/>
          </w:tcPr>
          <w:p>
            <w:pPr>
              <w:jc w:val="right"/>
              <w:ind w:right="34"/>
              <w:spacing w:after="0" w:line="194" w:lineRule="exact"/>
              <w:rPr>
                <w:sz w:val="20"/>
                <w:szCs w:val="20"/>
                <w:color w:val="auto"/>
              </w:rPr>
            </w:pPr>
            <w:r>
              <w:rPr>
                <w:rFonts w:ascii="Arial" w:cs="Arial" w:eastAsia="Arial" w:hAnsi="Arial"/>
                <w:sz w:val="17"/>
                <w:szCs w:val="17"/>
                <w:b w:val="1"/>
                <w:bCs w:val="1"/>
                <w:color w:val="auto"/>
              </w:rPr>
              <w:t>June 30,</w:t>
            </w:r>
          </w:p>
        </w:tc>
        <w:tc>
          <w:tcPr>
            <w:tcW w:w="1120" w:type="dxa"/>
            <w:vAlign w:val="bottom"/>
          </w:tcPr>
          <w:p>
            <w:pPr>
              <w:spacing w:after="0"/>
              <w:rPr>
                <w:sz w:val="16"/>
                <w:szCs w:val="16"/>
                <w:color w:val="auto"/>
              </w:rPr>
            </w:pPr>
          </w:p>
        </w:tc>
      </w:tr>
      <w:tr>
        <w:trPr>
          <w:trHeight w:val="216"/>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3480" w:type="dxa"/>
            <w:vAlign w:val="bottom"/>
            <w:tcBorders>
              <w:bottom w:val="single" w:sz="8" w:color="auto"/>
            </w:tcBorders>
          </w:tcPr>
          <w:p>
            <w:pPr>
              <w:jc w:val="right"/>
              <w:ind w:right="994"/>
              <w:spacing w:after="0"/>
              <w:rPr>
                <w:sz w:val="20"/>
                <w:szCs w:val="20"/>
                <w:color w:val="auto"/>
              </w:rPr>
            </w:pPr>
            <w:r>
              <w:rPr>
                <w:rFonts w:ascii="Arial" w:cs="Arial" w:eastAsia="Arial" w:hAnsi="Arial"/>
                <w:sz w:val="17"/>
                <w:szCs w:val="17"/>
                <w:b w:val="1"/>
                <w:bCs w:val="1"/>
                <w:color w:val="auto"/>
              </w:rPr>
              <w:t>2018</w:t>
            </w: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2017</w:t>
            </w:r>
          </w:p>
        </w:tc>
      </w:tr>
      <w:tr>
        <w:trPr>
          <w:trHeight w:val="164"/>
        </w:trPr>
        <w:tc>
          <w:tcPr>
            <w:tcW w:w="6820" w:type="dxa"/>
            <w:vAlign w:val="bottom"/>
            <w:gridSpan w:val="2"/>
          </w:tcPr>
          <w:p>
            <w:pPr>
              <w:spacing w:after="0" w:line="163" w:lineRule="exact"/>
              <w:rPr>
                <w:sz w:val="20"/>
                <w:szCs w:val="20"/>
                <w:color w:val="auto"/>
              </w:rPr>
            </w:pPr>
            <w:r>
              <w:rPr>
                <w:rFonts w:ascii="Arial" w:cs="Arial" w:eastAsia="Arial" w:hAnsi="Arial"/>
                <w:sz w:val="17"/>
                <w:szCs w:val="17"/>
                <w:color w:val="auto"/>
              </w:rPr>
              <w:t>Net income</w:t>
            </w:r>
          </w:p>
        </w:tc>
        <w:tc>
          <w:tcPr>
            <w:tcW w:w="3480" w:type="dxa"/>
            <w:vAlign w:val="bottom"/>
          </w:tcPr>
          <w:p>
            <w:pPr>
              <w:jc w:val="right"/>
              <w:ind w:right="474"/>
              <w:spacing w:after="0" w:line="163" w:lineRule="exact"/>
              <w:rPr>
                <w:sz w:val="20"/>
                <w:szCs w:val="20"/>
                <w:color w:val="auto"/>
              </w:rPr>
            </w:pPr>
            <w:r>
              <w:rPr>
                <w:rFonts w:ascii="Arial" w:cs="Arial" w:eastAsia="Arial" w:hAnsi="Arial"/>
                <w:sz w:val="17"/>
                <w:szCs w:val="17"/>
                <w:b w:val="1"/>
                <w:bCs w:val="1"/>
                <w:color w:val="auto"/>
              </w:rPr>
              <w:t>$40,788</w:t>
            </w:r>
          </w:p>
        </w:tc>
        <w:tc>
          <w:tcPr>
            <w:tcW w:w="1120" w:type="dxa"/>
            <w:vAlign w:val="bottom"/>
          </w:tcPr>
          <w:p>
            <w:pPr>
              <w:jc w:val="right"/>
              <w:ind w:right="14"/>
              <w:spacing w:after="0" w:line="163" w:lineRule="exact"/>
              <w:rPr>
                <w:sz w:val="20"/>
                <w:szCs w:val="20"/>
                <w:color w:val="auto"/>
              </w:rPr>
            </w:pPr>
            <w:r>
              <w:rPr>
                <w:rFonts w:ascii="Arial" w:cs="Arial" w:eastAsia="Arial" w:hAnsi="Arial"/>
                <w:sz w:val="17"/>
                <w:szCs w:val="17"/>
                <w:color w:val="auto"/>
              </w:rPr>
              <w:t>$12,207</w:t>
            </w:r>
          </w:p>
        </w:tc>
      </w:tr>
      <w:tr>
        <w:trPr>
          <w:trHeight w:val="194"/>
        </w:trPr>
        <w:tc>
          <w:tcPr>
            <w:tcW w:w="20" w:type="dxa"/>
            <w:vAlign w:val="bottom"/>
          </w:tcPr>
          <w:p>
            <w:pPr>
              <w:spacing w:after="0"/>
              <w:rPr>
                <w:sz w:val="16"/>
                <w:szCs w:val="16"/>
                <w:color w:val="auto"/>
              </w:rPr>
            </w:pPr>
          </w:p>
        </w:tc>
        <w:tc>
          <w:tcPr>
            <w:tcW w:w="6800" w:type="dxa"/>
            <w:vAlign w:val="bottom"/>
          </w:tcPr>
          <w:p>
            <w:pPr>
              <w:ind w:left="220"/>
              <w:spacing w:after="0" w:line="194" w:lineRule="exact"/>
              <w:rPr>
                <w:sz w:val="20"/>
                <w:szCs w:val="20"/>
                <w:color w:val="auto"/>
              </w:rPr>
            </w:pPr>
            <w:r>
              <w:rPr>
                <w:rFonts w:ascii="Arial" w:cs="Arial" w:eastAsia="Arial" w:hAnsi="Arial"/>
                <w:sz w:val="17"/>
                <w:szCs w:val="17"/>
                <w:color w:val="auto"/>
              </w:rPr>
              <w:t>Depreciation and amortization</w:t>
            </w:r>
          </w:p>
        </w:tc>
        <w:tc>
          <w:tcPr>
            <w:tcW w:w="3480" w:type="dxa"/>
            <w:vAlign w:val="bottom"/>
          </w:tcPr>
          <w:p>
            <w:pPr>
              <w:jc w:val="right"/>
              <w:ind w:right="474"/>
              <w:spacing w:after="0" w:line="194" w:lineRule="exact"/>
              <w:rPr>
                <w:sz w:val="20"/>
                <w:szCs w:val="20"/>
                <w:color w:val="auto"/>
              </w:rPr>
            </w:pPr>
            <w:r>
              <w:rPr>
                <w:rFonts w:ascii="Arial" w:cs="Arial" w:eastAsia="Arial" w:hAnsi="Arial"/>
                <w:sz w:val="17"/>
                <w:szCs w:val="17"/>
                <w:b w:val="1"/>
                <w:bCs w:val="1"/>
                <w:color w:val="auto"/>
              </w:rPr>
              <w:t>40,621</w:t>
            </w:r>
          </w:p>
        </w:tc>
        <w:tc>
          <w:tcPr>
            <w:tcW w:w="11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35,126</w:t>
            </w:r>
          </w:p>
        </w:tc>
      </w:tr>
      <w:tr>
        <w:trPr>
          <w:trHeight w:val="194"/>
        </w:trPr>
        <w:tc>
          <w:tcPr>
            <w:tcW w:w="20" w:type="dxa"/>
            <w:vAlign w:val="bottom"/>
          </w:tcPr>
          <w:p>
            <w:pPr>
              <w:spacing w:after="0"/>
              <w:rPr>
                <w:sz w:val="16"/>
                <w:szCs w:val="16"/>
                <w:color w:val="auto"/>
              </w:rPr>
            </w:pPr>
          </w:p>
        </w:tc>
        <w:tc>
          <w:tcPr>
            <w:tcW w:w="6800" w:type="dxa"/>
            <w:vAlign w:val="bottom"/>
          </w:tcPr>
          <w:p>
            <w:pPr>
              <w:ind w:left="220"/>
              <w:spacing w:after="0" w:line="194" w:lineRule="exact"/>
              <w:rPr>
                <w:sz w:val="20"/>
                <w:szCs w:val="20"/>
                <w:color w:val="auto"/>
              </w:rPr>
            </w:pPr>
            <w:r>
              <w:rPr>
                <w:rFonts w:ascii="Arial" w:cs="Arial" w:eastAsia="Arial" w:hAnsi="Arial"/>
                <w:sz w:val="17"/>
                <w:szCs w:val="17"/>
                <w:color w:val="auto"/>
              </w:rPr>
              <w:t>Changes in working capital</w:t>
            </w:r>
          </w:p>
        </w:tc>
        <w:tc>
          <w:tcPr>
            <w:tcW w:w="3480" w:type="dxa"/>
            <w:vAlign w:val="bottom"/>
          </w:tcPr>
          <w:p>
            <w:pPr>
              <w:jc w:val="right"/>
              <w:ind w:right="414"/>
              <w:spacing w:after="0" w:line="194" w:lineRule="exact"/>
              <w:rPr>
                <w:sz w:val="20"/>
                <w:szCs w:val="20"/>
                <w:color w:val="auto"/>
              </w:rPr>
            </w:pPr>
            <w:r>
              <w:rPr>
                <w:rFonts w:ascii="Arial" w:cs="Arial" w:eastAsia="Arial" w:hAnsi="Arial"/>
                <w:sz w:val="17"/>
                <w:szCs w:val="17"/>
                <w:b w:val="1"/>
                <w:bCs w:val="1"/>
                <w:color w:val="auto"/>
              </w:rPr>
              <w:t>(53,215)</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(37,743)</w:t>
            </w:r>
          </w:p>
        </w:tc>
      </w:tr>
      <w:tr>
        <w:trPr>
          <w:trHeight w:val="194"/>
        </w:trPr>
        <w:tc>
          <w:tcPr>
            <w:tcW w:w="20" w:type="dxa"/>
            <w:vAlign w:val="bottom"/>
          </w:tcPr>
          <w:p>
            <w:pPr>
              <w:spacing w:after="0"/>
              <w:rPr>
                <w:sz w:val="16"/>
                <w:szCs w:val="16"/>
                <w:color w:val="auto"/>
              </w:rPr>
            </w:pPr>
          </w:p>
        </w:tc>
        <w:tc>
          <w:tcPr>
            <w:tcW w:w="6800" w:type="dxa"/>
            <w:vAlign w:val="bottom"/>
          </w:tcPr>
          <w:p>
            <w:pPr>
              <w:ind w:left="220"/>
              <w:spacing w:after="0" w:line="194" w:lineRule="exact"/>
              <w:rPr>
                <w:sz w:val="20"/>
                <w:szCs w:val="20"/>
                <w:color w:val="auto"/>
              </w:rPr>
            </w:pPr>
            <w:r>
              <w:rPr>
                <w:rFonts w:ascii="Arial" w:cs="Arial" w:eastAsia="Arial" w:hAnsi="Arial"/>
                <w:sz w:val="17"/>
                <w:szCs w:val="17"/>
                <w:color w:val="auto"/>
              </w:rPr>
              <w:t>Changes in other noncurrent liabilities and deferred taxes</w:t>
            </w:r>
          </w:p>
        </w:tc>
        <w:tc>
          <w:tcPr>
            <w:tcW w:w="3480" w:type="dxa"/>
            <w:vAlign w:val="bottom"/>
          </w:tcPr>
          <w:p>
            <w:pPr>
              <w:jc w:val="right"/>
              <w:ind w:right="414"/>
              <w:spacing w:after="0" w:line="194" w:lineRule="exact"/>
              <w:rPr>
                <w:sz w:val="20"/>
                <w:szCs w:val="20"/>
                <w:color w:val="auto"/>
              </w:rPr>
            </w:pPr>
            <w:r>
              <w:rPr>
                <w:rFonts w:ascii="Arial" w:cs="Arial" w:eastAsia="Arial" w:hAnsi="Arial"/>
                <w:sz w:val="17"/>
                <w:szCs w:val="17"/>
                <w:b w:val="1"/>
                <w:bCs w:val="1"/>
                <w:color w:val="auto"/>
              </w:rPr>
              <w:t>(8,133)</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(9,711)</w:t>
            </w:r>
          </w:p>
        </w:tc>
      </w:tr>
      <w:tr>
        <w:trPr>
          <w:trHeight w:val="229"/>
        </w:trPr>
        <w:tc>
          <w:tcPr>
            <w:tcW w:w="20" w:type="dxa"/>
            <w:vAlign w:val="bottom"/>
          </w:tcPr>
          <w:p>
            <w:pPr>
              <w:spacing w:after="0"/>
              <w:rPr>
                <w:sz w:val="19"/>
                <w:szCs w:val="19"/>
                <w:color w:val="auto"/>
              </w:rPr>
            </w:pPr>
          </w:p>
        </w:tc>
        <w:tc>
          <w:tcPr>
            <w:tcW w:w="6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operating items</w:t>
            </w:r>
          </w:p>
        </w:tc>
        <w:tc>
          <w:tcPr>
            <w:tcW w:w="34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(3,321)</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3,938</w:t>
            </w:r>
          </w:p>
        </w:tc>
      </w:tr>
      <w:tr>
        <w:trPr>
          <w:trHeight w:val="164"/>
        </w:trPr>
        <w:tc>
          <w:tcPr>
            <w:tcW w:w="20" w:type="dxa"/>
            <w:vAlign w:val="bottom"/>
          </w:tcPr>
          <w:p>
            <w:pPr>
              <w:spacing w:after="0"/>
              <w:rPr>
                <w:sz w:val="14"/>
                <w:szCs w:val="14"/>
                <w:color w:val="auto"/>
              </w:rPr>
            </w:pPr>
          </w:p>
        </w:tc>
        <w:tc>
          <w:tcPr>
            <w:tcW w:w="6800" w:type="dxa"/>
            <w:vAlign w:val="bottom"/>
          </w:tcPr>
          <w:p>
            <w:pPr>
              <w:spacing w:after="0" w:line="163" w:lineRule="exact"/>
              <w:rPr>
                <w:sz w:val="20"/>
                <w:szCs w:val="20"/>
                <w:color w:val="auto"/>
              </w:rPr>
            </w:pPr>
            <w:r>
              <w:rPr>
                <w:rFonts w:ascii="Arial" w:cs="Arial" w:eastAsia="Arial" w:hAnsi="Arial"/>
                <w:sz w:val="17"/>
                <w:szCs w:val="17"/>
                <w:color w:val="auto"/>
              </w:rPr>
              <w:t>Net cash provided in operating activities</w:t>
            </w:r>
          </w:p>
        </w:tc>
        <w:tc>
          <w:tcPr>
            <w:tcW w:w="3480" w:type="dxa"/>
            <w:vAlign w:val="bottom"/>
          </w:tcPr>
          <w:p>
            <w:pPr>
              <w:jc w:val="right"/>
              <w:ind w:right="474"/>
              <w:spacing w:after="0" w:line="163" w:lineRule="exact"/>
              <w:rPr>
                <w:sz w:val="20"/>
                <w:szCs w:val="20"/>
                <w:color w:val="auto"/>
              </w:rPr>
            </w:pPr>
            <w:r>
              <w:rPr>
                <w:rFonts w:ascii="Arial" w:cs="Arial" w:eastAsia="Arial" w:hAnsi="Arial"/>
                <w:sz w:val="17"/>
                <w:szCs w:val="17"/>
                <w:b w:val="1"/>
                <w:bCs w:val="1"/>
                <w:color w:val="auto"/>
              </w:rPr>
              <w:t>16,740</w:t>
            </w:r>
          </w:p>
        </w:tc>
        <w:tc>
          <w:tcPr>
            <w:tcW w:w="1120" w:type="dxa"/>
            <w:vAlign w:val="bottom"/>
          </w:tcPr>
          <w:p>
            <w:pPr>
              <w:jc w:val="right"/>
              <w:ind w:right="14"/>
              <w:spacing w:after="0" w:line="163" w:lineRule="exact"/>
              <w:rPr>
                <w:sz w:val="20"/>
                <w:szCs w:val="20"/>
                <w:color w:val="auto"/>
              </w:rPr>
            </w:pPr>
            <w:r>
              <w:rPr>
                <w:rFonts w:ascii="Arial" w:cs="Arial" w:eastAsia="Arial" w:hAnsi="Arial"/>
                <w:sz w:val="17"/>
                <w:szCs w:val="17"/>
                <w:color w:val="auto"/>
              </w:rPr>
              <w:t>3,817</w:t>
            </w:r>
          </w:p>
        </w:tc>
      </w:tr>
      <w:tr>
        <w:trPr>
          <w:trHeight w:val="194"/>
        </w:trPr>
        <w:tc>
          <w:tcPr>
            <w:tcW w:w="6820" w:type="dxa"/>
            <w:vAlign w:val="bottom"/>
            <w:gridSpan w:val="2"/>
          </w:tcPr>
          <w:p>
            <w:pPr>
              <w:spacing w:after="0" w:line="194" w:lineRule="exact"/>
              <w:rPr>
                <w:sz w:val="20"/>
                <w:szCs w:val="20"/>
                <w:color w:val="auto"/>
              </w:rPr>
            </w:pPr>
            <w:r>
              <w:rPr>
                <w:rFonts w:ascii="Arial" w:cs="Arial" w:eastAsia="Arial" w:hAnsi="Arial"/>
                <w:sz w:val="17"/>
                <w:szCs w:val="17"/>
                <w:color w:val="auto"/>
              </w:rPr>
              <w:t>Net cash used in investing activities</w:t>
            </w:r>
          </w:p>
        </w:tc>
        <w:tc>
          <w:tcPr>
            <w:tcW w:w="3480" w:type="dxa"/>
            <w:vAlign w:val="bottom"/>
          </w:tcPr>
          <w:p>
            <w:pPr>
              <w:jc w:val="right"/>
              <w:ind w:right="414"/>
              <w:spacing w:after="0" w:line="194" w:lineRule="exact"/>
              <w:rPr>
                <w:sz w:val="20"/>
                <w:szCs w:val="20"/>
                <w:color w:val="auto"/>
              </w:rPr>
            </w:pPr>
            <w:r>
              <w:rPr>
                <w:rFonts w:ascii="Arial" w:cs="Arial" w:eastAsia="Arial" w:hAnsi="Arial"/>
                <w:sz w:val="17"/>
                <w:szCs w:val="17"/>
                <w:b w:val="1"/>
                <w:bCs w:val="1"/>
                <w:color w:val="auto"/>
              </w:rPr>
              <w:t>(39,175)</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(46,796)</w:t>
            </w:r>
          </w:p>
        </w:tc>
      </w:tr>
      <w:tr>
        <w:trPr>
          <w:trHeight w:val="194"/>
        </w:trPr>
        <w:tc>
          <w:tcPr>
            <w:tcW w:w="6820" w:type="dxa"/>
            <w:vAlign w:val="bottom"/>
            <w:gridSpan w:val="2"/>
          </w:tcPr>
          <w:p>
            <w:pPr>
              <w:spacing w:after="0" w:line="194" w:lineRule="exact"/>
              <w:rPr>
                <w:sz w:val="20"/>
                <w:szCs w:val="20"/>
                <w:color w:val="auto"/>
              </w:rPr>
            </w:pPr>
            <w:r>
              <w:rPr>
                <w:rFonts w:ascii="Arial" w:cs="Arial" w:eastAsia="Arial" w:hAnsi="Arial"/>
                <w:sz w:val="17"/>
                <w:szCs w:val="17"/>
                <w:color w:val="auto"/>
              </w:rPr>
              <w:t>Net cash used in financing activities</w:t>
            </w:r>
          </w:p>
        </w:tc>
        <w:tc>
          <w:tcPr>
            <w:tcW w:w="3480" w:type="dxa"/>
            <w:vAlign w:val="bottom"/>
          </w:tcPr>
          <w:p>
            <w:pPr>
              <w:jc w:val="right"/>
              <w:ind w:right="414"/>
              <w:spacing w:after="0" w:line="194" w:lineRule="exact"/>
              <w:rPr>
                <w:sz w:val="20"/>
                <w:szCs w:val="20"/>
                <w:color w:val="auto"/>
              </w:rPr>
            </w:pPr>
            <w:r>
              <w:rPr>
                <w:rFonts w:ascii="Arial" w:cs="Arial" w:eastAsia="Arial" w:hAnsi="Arial"/>
                <w:sz w:val="17"/>
                <w:szCs w:val="17"/>
                <w:b w:val="1"/>
                <w:bCs w:val="1"/>
                <w:color w:val="auto"/>
              </w:rPr>
              <w:t>(3,570)</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(998)</w:t>
            </w:r>
          </w:p>
        </w:tc>
      </w:tr>
      <w:tr>
        <w:trPr>
          <w:trHeight w:val="228"/>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34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(2,978)</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1,027</w:t>
            </w:r>
          </w:p>
        </w:tc>
      </w:tr>
      <w:tr>
        <w:trPr>
          <w:trHeight w:val="164"/>
        </w:trPr>
        <w:tc>
          <w:tcPr>
            <w:tcW w:w="6820" w:type="dxa"/>
            <w:vAlign w:val="bottom"/>
            <w:gridSpan w:val="2"/>
          </w:tcPr>
          <w:p>
            <w:pPr>
              <w:spacing w:after="0" w:line="164" w:lineRule="exact"/>
              <w:rPr>
                <w:sz w:val="20"/>
                <w:szCs w:val="20"/>
                <w:color w:val="auto"/>
              </w:rPr>
            </w:pPr>
            <w:r>
              <w:rPr>
                <w:rFonts w:ascii="Arial" w:cs="Arial" w:eastAsia="Arial" w:hAnsi="Arial"/>
                <w:sz w:val="17"/>
                <w:szCs w:val="17"/>
                <w:color w:val="auto"/>
              </w:rPr>
              <w:t>Decrease in cash and cash equivalents</w:t>
            </w:r>
          </w:p>
        </w:tc>
        <w:tc>
          <w:tcPr>
            <w:tcW w:w="3480" w:type="dxa"/>
            <w:vAlign w:val="bottom"/>
          </w:tcPr>
          <w:p>
            <w:pPr>
              <w:jc w:val="right"/>
              <w:ind w:right="414"/>
              <w:spacing w:after="0" w:line="164" w:lineRule="exact"/>
              <w:rPr>
                <w:sz w:val="20"/>
                <w:szCs w:val="20"/>
                <w:color w:val="auto"/>
              </w:rPr>
            </w:pPr>
            <w:r>
              <w:rPr>
                <w:rFonts w:ascii="Arial" w:cs="Arial" w:eastAsia="Arial" w:hAnsi="Arial"/>
                <w:sz w:val="17"/>
                <w:szCs w:val="17"/>
                <w:b w:val="1"/>
                <w:bCs w:val="1"/>
                <w:color w:val="auto"/>
              </w:rPr>
              <w:t>(28,983)</w:t>
            </w:r>
          </w:p>
        </w:tc>
        <w:tc>
          <w:tcPr>
            <w:tcW w:w="1120" w:type="dxa"/>
            <w:vAlign w:val="bottom"/>
          </w:tcPr>
          <w:p>
            <w:pPr>
              <w:jc w:val="right"/>
              <w:spacing w:after="0" w:line="164" w:lineRule="exact"/>
              <w:rPr>
                <w:sz w:val="20"/>
                <w:szCs w:val="20"/>
                <w:color w:val="auto"/>
              </w:rPr>
            </w:pPr>
            <w:r>
              <w:rPr>
                <w:rFonts w:ascii="Arial" w:cs="Arial" w:eastAsia="Arial" w:hAnsi="Arial"/>
                <w:sz w:val="17"/>
                <w:szCs w:val="17"/>
                <w:color w:val="auto"/>
              </w:rPr>
              <w:t>(42,950)</w:t>
            </w:r>
          </w:p>
        </w:tc>
      </w:tr>
      <w:tr>
        <w:trPr>
          <w:trHeight w:val="228"/>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Cash and cash equivalents at beginning of year</w:t>
            </w:r>
          </w:p>
        </w:tc>
        <w:tc>
          <w:tcPr>
            <w:tcW w:w="34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183,727</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181,742</w:t>
            </w:r>
          </w:p>
        </w:tc>
      </w:tr>
      <w:tr>
        <w:trPr>
          <w:trHeight w:val="200"/>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Cash and cash equivalents at end of period</w:t>
            </w:r>
          </w:p>
        </w:tc>
        <w:tc>
          <w:tcPr>
            <w:tcW w:w="34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$154,744</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$138,792</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200" w:lineRule="exact"/>
        <w:rPr>
          <w:sz w:val="20"/>
          <w:szCs w:val="20"/>
          <w:color w:val="auto"/>
        </w:rPr>
      </w:pPr>
    </w:p>
    <w:p>
      <w:pPr>
        <w:spacing w:after="0" w:line="246" w:lineRule="exact"/>
        <w:rPr>
          <w:sz w:val="20"/>
          <w:szCs w:val="20"/>
          <w:color w:val="auto"/>
        </w:rPr>
      </w:pPr>
    </w:p>
    <w:p>
      <w:pPr>
        <w:jc w:val="both"/>
        <w:ind w:right="300" w:firstLine="620"/>
        <w:spacing w:after="0" w:line="243" w:lineRule="auto"/>
        <w:rPr>
          <w:sz w:val="20"/>
          <w:szCs w:val="20"/>
          <w:color w:val="auto"/>
        </w:rPr>
      </w:pPr>
      <w:r>
        <w:rPr>
          <w:rFonts w:ascii="Arial" w:cs="Arial" w:eastAsia="Arial" w:hAnsi="Arial"/>
          <w:sz w:val="17"/>
          <w:szCs w:val="17"/>
          <w:color w:val="auto"/>
        </w:rPr>
        <w:t>Cash flow provided by operating activities was $ 16.7 million and $3.8 million for the first six months of 2018 and 2017. The net increase in cash provided by operating activities in 2018 was due to increased profitability in both MC and AEC, partially offset by increases in working capital. The increase in use of cash in 2018 for working capital was principally due to the ramp of several key programs in AEC.</w:t>
      </w:r>
    </w:p>
    <w:p>
      <w:pPr>
        <w:spacing w:after="0" w:line="168" w:lineRule="exact"/>
        <w:rPr>
          <w:sz w:val="20"/>
          <w:szCs w:val="20"/>
          <w:color w:val="auto"/>
        </w:rPr>
      </w:pPr>
    </w:p>
    <w:p>
      <w:pPr>
        <w:ind w:right="140" w:firstLine="620"/>
        <w:spacing w:after="0" w:line="250" w:lineRule="auto"/>
        <w:rPr>
          <w:sz w:val="20"/>
          <w:szCs w:val="20"/>
          <w:color w:val="auto"/>
        </w:rPr>
      </w:pPr>
      <w:r>
        <w:rPr>
          <w:rFonts w:ascii="Arial" w:cs="Arial" w:eastAsia="Arial" w:hAnsi="Arial"/>
          <w:sz w:val="17"/>
          <w:szCs w:val="17"/>
          <w:color w:val="auto"/>
        </w:rPr>
        <w:t>Cash paid for income taxes was $14.0 million and $18.3 million for the first six months of 2018 and 2017, respectively. The reduction in cash taxes paid is primarily due to lower Corporate income tax payments in 2018 compared to 2017 in jurisdictions like the US, Mexico and China.</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June 30, 2018, we had $154.7 million of cash and cash equivalents, of which $129.7 million was held by subsidiaries outside of the United</w:t>
      </w:r>
    </w:p>
    <w:p>
      <w:pPr>
        <w:spacing w:after="0"/>
        <w:rPr>
          <w:sz w:val="20"/>
          <w:szCs w:val="20"/>
          <w:color w:val="auto"/>
        </w:rPr>
      </w:pPr>
      <w:r>
        <w:rPr>
          <w:rFonts w:ascii="Arial" w:cs="Arial" w:eastAsia="Arial" w:hAnsi="Arial"/>
          <w:sz w:val="17"/>
          <w:szCs w:val="17"/>
          <w:color w:val="auto"/>
        </w:rPr>
        <w:t>States.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and Financing Activities</w:t>
      </w: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Capital expenditures for the first six months were $39.2 million in 2018 and $46.8 million in 2017.</w:t>
      </w:r>
    </w:p>
    <w:p>
      <w:pPr>
        <w:spacing w:after="0" w:line="179"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w:t>
      </w:r>
    </w:p>
    <w:p>
      <w:pPr>
        <w:spacing w:after="0" w:line="200" w:lineRule="exact"/>
        <w:rPr>
          <w:sz w:val="20"/>
          <w:szCs w:val="20"/>
          <w:color w:val="auto"/>
        </w:rPr>
      </w:pPr>
    </w:p>
    <w:p>
      <w:pPr>
        <w:spacing w:after="0" w:line="259"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June 30, 2018 was held by non-U.S. subsidiaries. Based on cash on hand and credit facilities, we anticipate that the Company has sufficient capital resources to operate for the foreseeable future. We were in compliance with all debt covenants as of June 30, 2018.</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623" w:right="239" w:bottom="1440" w:gutter="0" w:footer="0" w:header="0"/>
        </w:sectPr>
      </w:pPr>
    </w:p>
    <w:bookmarkStart w:id="55" w:name="page56"/>
    <w:bookmarkEnd w:id="55"/>
    <w:p>
      <w:pPr>
        <w:ind w:left="620"/>
        <w:spacing w:after="0"/>
        <w:rPr>
          <w:sz w:val="20"/>
          <w:szCs w:val="20"/>
          <w:color w:val="auto"/>
        </w:rPr>
      </w:pPr>
      <w:r>
        <w:rPr>
          <w:rFonts w:ascii="Arial" w:cs="Arial" w:eastAsia="Arial" w:hAnsi="Arial"/>
          <w:sz w:val="17"/>
          <w:szCs w:val="17"/>
          <w:color w:val="auto"/>
        </w:rPr>
        <w:t>On November 7, 2017, we entered into a $685 million unsecured Five-Year Revolving Credit Facility Agreement (the “Credit Agreement”)</w:t>
      </w:r>
    </w:p>
    <w:p>
      <w:pPr>
        <w:spacing w:after="0" w:line="237" w:lineRule="auto"/>
        <w:rPr>
          <w:sz w:val="20"/>
          <w:szCs w:val="20"/>
          <w:color w:val="auto"/>
        </w:rPr>
      </w:pPr>
      <w:r>
        <w:rPr>
          <w:rFonts w:ascii="Arial" w:cs="Arial" w:eastAsia="Arial" w:hAnsi="Arial"/>
          <w:sz w:val="17"/>
          <w:szCs w:val="17"/>
          <w:color w:val="auto"/>
        </w:rPr>
        <w:t>which amended and restated the prior $550 million Agreement, entered into on April 8, 2016 (the “Prior Agreement”). Under the Credit Agreement,</w:t>
      </w:r>
    </w:p>
    <w:p>
      <w:pPr>
        <w:spacing w:after="0" w:line="238" w:lineRule="auto"/>
        <w:rPr>
          <w:sz w:val="20"/>
          <w:szCs w:val="20"/>
          <w:color w:val="auto"/>
        </w:rPr>
      </w:pPr>
      <w:r>
        <w:rPr>
          <w:rFonts w:ascii="Arial" w:cs="Arial" w:eastAsia="Arial" w:hAnsi="Arial"/>
          <w:sz w:val="17"/>
          <w:szCs w:val="17"/>
          <w:color w:val="auto"/>
        </w:rPr>
        <w:t>$511 million of borrowings were outstanding as of June 30, 2018. The applicable interest rate for borrowings was LIBOR plus a spread, based on our</w:t>
      </w:r>
    </w:p>
    <w:p>
      <w:pPr>
        <w:spacing w:after="0" w:line="238" w:lineRule="auto"/>
        <w:rPr>
          <w:sz w:val="20"/>
          <w:szCs w:val="20"/>
          <w:color w:val="auto"/>
        </w:rPr>
      </w:pPr>
      <w:r>
        <w:rPr>
          <w:rFonts w:ascii="Arial" w:cs="Arial" w:eastAsia="Arial" w:hAnsi="Arial"/>
          <w:sz w:val="17"/>
          <w:szCs w:val="17"/>
          <w:color w:val="auto"/>
        </w:rPr>
        <w:t>leverage ratio at the time of borrowing. At the time of the last borrowing on June 18, 2018, the spread was 1.500%. The spread was based on a</w:t>
      </w:r>
    </w:p>
    <w:p>
      <w:pPr>
        <w:spacing w:after="0" w:line="237" w:lineRule="auto"/>
        <w:rPr>
          <w:sz w:val="20"/>
          <w:szCs w:val="20"/>
          <w:color w:val="auto"/>
        </w:rPr>
      </w:pPr>
      <w:r>
        <w:rPr>
          <w:rFonts w:ascii="Arial" w:cs="Arial" w:eastAsia="Arial" w:hAnsi="Arial"/>
          <w:sz w:val="17"/>
          <w:szCs w:val="17"/>
          <w:color w:val="auto"/>
        </w:rPr>
        <w:t>pricing grid, which ranged from 1.250% to 1.750%, based on our leverage ratio. Based on our maximum leverage ratio and our Consolidated EBITDA,</w:t>
      </w:r>
    </w:p>
    <w:p>
      <w:pPr>
        <w:spacing w:after="0" w:line="238" w:lineRule="auto"/>
        <w:rPr>
          <w:sz w:val="20"/>
          <w:szCs w:val="20"/>
          <w:color w:val="auto"/>
        </w:rPr>
      </w:pPr>
      <w:r>
        <w:rPr>
          <w:rFonts w:ascii="Arial" w:cs="Arial" w:eastAsia="Arial" w:hAnsi="Arial"/>
          <w:sz w:val="17"/>
          <w:szCs w:val="17"/>
          <w:color w:val="auto"/>
        </w:rPr>
        <w:t>and without modification to any other credit agreements, as of June 30, 2018, we would have been able to borrow an additional $174 million under the</w:t>
      </w:r>
    </w:p>
    <w:p>
      <w:pPr>
        <w:spacing w:after="0"/>
        <w:rPr>
          <w:sz w:val="20"/>
          <w:szCs w:val="20"/>
          <w:color w:val="auto"/>
        </w:rPr>
      </w:pPr>
      <w:r>
        <w:rPr>
          <w:rFonts w:ascii="Arial" w:cs="Arial" w:eastAsia="Arial" w:hAnsi="Arial"/>
          <w:sz w:val="17"/>
          <w:szCs w:val="17"/>
          <w:color w:val="auto"/>
        </w:rPr>
        <w:t>Agreement.</w:t>
      </w:r>
    </w:p>
    <w:p>
      <w:pPr>
        <w:spacing w:after="0" w:line="166"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cash of $6.3 million to terminate when the swap agreements were terminated and that payment will be amortized into interest expense through March 2021.</w:t>
      </w:r>
    </w:p>
    <w:p>
      <w:pPr>
        <w:spacing w:after="0" w:line="170" w:lineRule="exact"/>
        <w:rPr>
          <w:sz w:val="20"/>
          <w:szCs w:val="20"/>
          <w:color w:val="auto"/>
        </w:rPr>
      </w:pPr>
    </w:p>
    <w:p>
      <w:pPr>
        <w:ind w:right="120" w:firstLine="620"/>
        <w:spacing w:after="0" w:line="243" w:lineRule="auto"/>
        <w:rPr>
          <w:sz w:val="20"/>
          <w:szCs w:val="20"/>
          <w:color w:val="auto"/>
        </w:rPr>
      </w:pPr>
      <w:r>
        <w:rPr>
          <w:rFonts w:ascii="Arial" w:cs="Arial" w:eastAsia="Arial" w:hAnsi="Arial"/>
          <w:sz w:val="17"/>
          <w:szCs w:val="17"/>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55" w:lineRule="exact"/>
        <w:rPr>
          <w:sz w:val="20"/>
          <w:szCs w:val="20"/>
          <w:color w:val="auto"/>
        </w:rPr>
      </w:pPr>
    </w:p>
    <w:p>
      <w:pPr>
        <w:ind w:right="160" w:firstLine="620"/>
        <w:spacing w:after="0"/>
        <w:rPr>
          <w:sz w:val="20"/>
          <w:szCs w:val="20"/>
          <w:color w:val="auto"/>
        </w:rPr>
      </w:pPr>
      <w:r>
        <w:rPr>
          <w:rFonts w:ascii="Arial" w:cs="Arial" w:eastAsia="Arial" w:hAnsi="Arial"/>
          <w:sz w:val="17"/>
          <w:szCs w:val="17"/>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June 18, 2018 was 2.09%, during the swap period. On June 18, 2018, the all-in-rate on the $350 million of debt was 3.61%.</w:t>
      </w:r>
    </w:p>
    <w:p>
      <w:pPr>
        <w:spacing w:after="0" w:line="158" w:lineRule="exact"/>
        <w:rPr>
          <w:sz w:val="20"/>
          <w:szCs w:val="20"/>
          <w:color w:val="auto"/>
        </w:rPr>
      </w:pPr>
    </w:p>
    <w:p>
      <w:pPr>
        <w:jc w:val="both"/>
        <w:ind w:right="140" w:firstLine="620"/>
        <w:spacing w:after="0" w:line="243" w:lineRule="auto"/>
        <w:rPr>
          <w:sz w:val="20"/>
          <w:szCs w:val="20"/>
          <w:color w:val="auto"/>
        </w:rPr>
      </w:pPr>
      <w:r>
        <w:rPr>
          <w:rFonts w:ascii="Arial" w:cs="Arial" w:eastAsia="Arial" w:hAnsi="Arial"/>
          <w:sz w:val="17"/>
          <w:szCs w:val="17"/>
          <w:color w:val="auto"/>
        </w:rPr>
        <w:t>As of June 30, 2018, our leverage ratio was 2.23 to 1.00 and our interest coverage ratio was 10.73 to 1.00. We may purchase our Common Stock or pay dividends to the extent our leverage ratio remains at or below 3.50 to 1.00, and may make acquisitions with cash provided our leverage ratio does not exceed the limits noted above.</w:t>
      </w:r>
    </w:p>
    <w:p>
      <w:pPr>
        <w:spacing w:after="0" w:line="168" w:lineRule="exact"/>
        <w:rPr>
          <w:sz w:val="20"/>
          <w:szCs w:val="20"/>
          <w:color w:val="auto"/>
        </w:rPr>
      </w:pPr>
    </w:p>
    <w:p>
      <w:pPr>
        <w:ind w:right="980" w:firstLine="620"/>
        <w:spacing w:after="0" w:line="456" w:lineRule="auto"/>
        <w:rPr>
          <w:sz w:val="20"/>
          <w:szCs w:val="20"/>
          <w:color w:val="auto"/>
        </w:rPr>
      </w:pPr>
      <w:r>
        <w:rPr>
          <w:rFonts w:ascii="Arial" w:cs="Arial" w:eastAsia="Arial" w:hAnsi="Arial"/>
          <w:sz w:val="17"/>
          <w:szCs w:val="17"/>
          <w:color w:val="auto"/>
        </w:rPr>
        <w:t xml:space="preserve">For more information, see Note 15 to the Consolidated Financial Statements in Item 1, which is incorporated herein by reference. </w:t>
      </w:r>
      <w:r>
        <w:rPr>
          <w:rFonts w:ascii="Arial" w:cs="Arial" w:eastAsia="Arial" w:hAnsi="Arial"/>
          <w:sz w:val="17"/>
          <w:szCs w:val="17"/>
          <w:b w:val="1"/>
          <w:bCs w:val="1"/>
          <w:color w:val="auto"/>
        </w:rPr>
        <w:t>Off-Balance Sheet Arrangements</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2018, we have no off-balance sheet arrangements required to be disclosed pursuant to Item 303(a)(4) of Regulation S-K.</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91" w:lineRule="exact"/>
        <w:rPr>
          <w:sz w:val="20"/>
          <w:szCs w:val="20"/>
          <w:color w:val="auto"/>
        </w:rPr>
      </w:pPr>
    </w:p>
    <w:p>
      <w:pPr>
        <w:ind w:right="260" w:firstLine="620"/>
        <w:spacing w:after="0" w:line="250" w:lineRule="auto"/>
        <w:rPr>
          <w:sz w:val="20"/>
          <w:szCs w:val="20"/>
          <w:color w:val="auto"/>
        </w:rPr>
      </w:pPr>
      <w:r>
        <w:rPr>
          <w:rFonts w:ascii="Arial" w:cs="Arial" w:eastAsia="Arial" w:hAnsi="Arial"/>
          <w:sz w:val="17"/>
          <w:szCs w:val="17"/>
          <w:color w:val="auto"/>
        </w:rPr>
        <w:t>The information set forth under Note 19 contained in Item 1, “Notes to Consolidated Financial Statements”, which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6" w:name="page57"/>
    <w:bookmarkEnd w:id="56"/>
    <w:p>
      <w:pPr>
        <w:ind w:firstLine="620"/>
        <w:spacing w:after="0"/>
        <w:rPr>
          <w:sz w:val="20"/>
          <w:szCs w:val="20"/>
          <w:color w:val="auto"/>
        </w:rPr>
      </w:pPr>
      <w:r>
        <w:rPr>
          <w:rFonts w:ascii="Arial" w:cs="Arial" w:eastAsia="Arial" w:hAnsi="Arial"/>
          <w:sz w:val="17"/>
          <w:szCs w:val="17"/>
          <w:color w:val="auto"/>
        </w:rPr>
        <w:t>This Form 10-Q contains certain non-GAAP metrics, including: net sales, and percent change in net sales excluding the impact of ASC 606 and/or currency translation effects (for each segment and the Company as a whole); EBITDA and Adjusted EBITDA (for each segment and the Company as a whole represented in dollars or as a percentage of net sales); net debt; and net income per share attributable to the Company, excluding adjustments. Such items are provided because management believes that, when reconciled from the GAAP items to which they relate, they provide additional useful information to investors regarding the Company’s operational performance.</w:t>
      </w:r>
    </w:p>
    <w:p>
      <w:pPr>
        <w:spacing w:after="0" w:line="274"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Presenting sales and increases or decreases in sales, after currency effects and/or ASC 606 impacts are excluded, can give management and investors insight into underlying sales trends.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currency revaluation,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EBITDA, Adjusted EBITDA and net income per share attributable to the Company, excluding adjustments, are performance measures that relate to the Company’s continuing operations.</w:t>
      </w:r>
    </w:p>
    <w:p>
      <w:pPr>
        <w:spacing w:after="0" w:line="200" w:lineRule="exact"/>
        <w:rPr>
          <w:sz w:val="20"/>
          <w:szCs w:val="20"/>
          <w:color w:val="auto"/>
        </w:rPr>
      </w:pPr>
    </w:p>
    <w:p>
      <w:pPr>
        <w:spacing w:after="0" w:line="244" w:lineRule="exact"/>
        <w:rPr>
          <w:sz w:val="20"/>
          <w:szCs w:val="20"/>
          <w:color w:val="auto"/>
        </w:rPr>
      </w:pPr>
    </w:p>
    <w:p>
      <w:pPr>
        <w:ind w:firstLine="620"/>
        <w:spacing w:after="0" w:line="238" w:lineRule="auto"/>
        <w:rPr>
          <w:sz w:val="20"/>
          <w:szCs w:val="20"/>
          <w:color w:val="auto"/>
        </w:rPr>
      </w:pPr>
      <w:r>
        <w:rPr>
          <w:rFonts w:ascii="Arial" w:cs="Arial" w:eastAsia="Arial" w:hAnsi="Arial"/>
          <w:sz w:val="17"/>
          <w:szCs w:val="17"/>
          <w:color w:val="auto"/>
        </w:rPr>
        <w:t>Net sales, or percent changes in net sales, excluding currency rate effects, are calculated by converting amounts reported in local currencies into U.S. dollars at the exchange rate of a prior period. The impact of ASC 606 is determined by calculating what GAAP net sales could have been under the prior ASC 605 standard, and comparing that amount to the amount reported under the new ASC 606 standard. These amounts are then compared to the U.S. dollar amount as reported in the current period. The Company calculates EBITDA by removing the following from Net income: Interest expense net, Income tax expense, Depreciation and amortization. Adjusted EBITDA is calculated by: adding to EBITDA costs associated with restructuring, and inventory write-offs associated with discontinued businesses; adding (or subtracting) revaluation losses (or gains); subtracting (or adding) gains (or losses) from the sale of buildings or investments; subtracting insurance recovery gains in excess of previously recorded losses; and subtracting (or adding) Income (or loss) attributable to the non-controlling interest in Albany Safran Composites (ASC). Adjusted EBITDA may also be presented as a percentage of net sales by dividing it by net sales. Net income per share attributable to the Company, excluding adjustments, is calculated by adding to (or subtracting from) net income attributable to the Company per share, on an after-tax basis: restructuring charges; inventory write-offs associated with discontinued businesses; discrete tax charges (or gains) and the effect of changes in the income tax rate; foreign currency revaluation losses (or gains); acquisition expenses; and losses (or gains) from the sale of investments.</w:t>
      </w:r>
    </w:p>
    <w:p>
      <w:pPr>
        <w:spacing w:after="0" w:line="268" w:lineRule="exact"/>
        <w:rPr>
          <w:sz w:val="20"/>
          <w:szCs w:val="20"/>
          <w:color w:val="auto"/>
        </w:rPr>
      </w:pPr>
    </w:p>
    <w:p>
      <w:pPr>
        <w:ind w:right="120" w:firstLine="620"/>
        <w:spacing w:after="0" w:line="243" w:lineRule="auto"/>
        <w:rPr>
          <w:sz w:val="20"/>
          <w:szCs w:val="20"/>
          <w:color w:val="auto"/>
        </w:rPr>
      </w:pPr>
      <w:r>
        <w:rPr>
          <w:rFonts w:ascii="Arial" w:cs="Arial" w:eastAsia="Arial" w:hAnsi="Arial"/>
          <w:sz w:val="17"/>
          <w:szCs w:val="17"/>
          <w:color w:val="auto"/>
        </w:rPr>
        <w:t>EBITDA, Adjusted EBITDA, and net income per share attributable to the Company, excluding adjustments,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380"/>
          </w:cols>
          <w:pgMar w:left="240" w:top="836" w:right="279" w:bottom="1440" w:gutter="0" w:footer="0" w:header="0"/>
        </w:sectPr>
      </w:pPr>
    </w:p>
    <w:bookmarkStart w:id="57" w:name="page58"/>
    <w:bookmarkEnd w:id="57"/>
    <w:p>
      <w:pPr>
        <w:ind w:left="620"/>
        <w:spacing w:after="0"/>
        <w:rPr>
          <w:sz w:val="20"/>
          <w:szCs w:val="20"/>
          <w:color w:val="auto"/>
        </w:rPr>
      </w:pPr>
      <w:r>
        <w:rPr>
          <w:rFonts w:ascii="Arial" w:cs="Arial" w:eastAsia="Arial" w:hAnsi="Arial"/>
          <w:sz w:val="17"/>
          <w:szCs w:val="17"/>
          <w:color w:val="auto"/>
        </w:rPr>
        <w:t>The following tables show the calculation of EBITDA and Adjusted EBITDA: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Three months ended June 30, 2018</w:t>
            </w:r>
          </w:p>
        </w:tc>
        <w:tc>
          <w:tcPr>
            <w:tcW w:w="18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Albany</w:t>
            </w: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Corporate</w:t>
            </w: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6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Machine</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Engineered</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expenses and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8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Clothing</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Composites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other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Company</w:t>
            </w:r>
          </w:p>
        </w:tc>
        <w:tc>
          <w:tcPr>
            <w:tcW w:w="0" w:type="dxa"/>
            <w:vAlign w:val="bottom"/>
          </w:tcPr>
          <w:p>
            <w:pPr>
              <w:spacing w:after="0"/>
              <w:rPr>
                <w:sz w:val="1"/>
                <w:szCs w:val="1"/>
                <w:color w:val="auto"/>
              </w:rPr>
            </w:pPr>
          </w:p>
        </w:tc>
      </w:tr>
      <w:tr>
        <w:trPr>
          <w:trHeight w:val="164"/>
        </w:trPr>
        <w:tc>
          <w:tcPr>
            <w:tcW w:w="5540" w:type="dxa"/>
            <w:vAlign w:val="bottom"/>
            <w:gridSpan w:val="2"/>
          </w:tcPr>
          <w:p>
            <w:pPr>
              <w:spacing w:after="0" w:line="163" w:lineRule="exact"/>
              <w:rPr>
                <w:sz w:val="20"/>
                <w:szCs w:val="20"/>
                <w:color w:val="auto"/>
              </w:rPr>
            </w:pPr>
            <w:r>
              <w:rPr>
                <w:rFonts w:ascii="Arial" w:cs="Arial" w:eastAsia="Arial" w:hAnsi="Arial"/>
                <w:sz w:val="17"/>
                <w:szCs w:val="17"/>
                <w:b w:val="1"/>
                <w:bCs w:val="1"/>
                <w:color w:val="auto"/>
              </w:rPr>
              <w:t>Operating income/(loss) (GAAP)</w:t>
            </w:r>
          </w:p>
        </w:tc>
        <w:tc>
          <w:tcPr>
            <w:tcW w:w="1860" w:type="dxa"/>
            <w:vAlign w:val="bottom"/>
          </w:tcPr>
          <w:p>
            <w:pPr>
              <w:jc w:val="right"/>
              <w:ind w:right="94"/>
              <w:spacing w:after="0" w:line="163" w:lineRule="exact"/>
              <w:rPr>
                <w:sz w:val="20"/>
                <w:szCs w:val="20"/>
                <w:color w:val="auto"/>
              </w:rPr>
            </w:pPr>
            <w:r>
              <w:rPr>
                <w:rFonts w:ascii="Arial" w:cs="Arial" w:eastAsia="Arial" w:hAnsi="Arial"/>
                <w:sz w:val="17"/>
                <w:szCs w:val="17"/>
                <w:b w:val="1"/>
                <w:bCs w:val="1"/>
                <w:color w:val="auto"/>
              </w:rPr>
              <w:t>$50,843</w:t>
            </w:r>
          </w:p>
        </w:tc>
        <w:tc>
          <w:tcPr>
            <w:tcW w:w="1340" w:type="dxa"/>
            <w:vAlign w:val="bottom"/>
          </w:tcPr>
          <w:p>
            <w:pPr>
              <w:jc w:val="right"/>
              <w:ind w:right="54"/>
              <w:spacing w:after="0" w:line="163" w:lineRule="exact"/>
              <w:rPr>
                <w:sz w:val="20"/>
                <w:szCs w:val="20"/>
                <w:color w:val="auto"/>
              </w:rPr>
            </w:pPr>
            <w:r>
              <w:rPr>
                <w:rFonts w:ascii="Arial" w:cs="Arial" w:eastAsia="Arial" w:hAnsi="Arial"/>
                <w:sz w:val="17"/>
                <w:szCs w:val="17"/>
                <w:b w:val="1"/>
                <w:bCs w:val="1"/>
                <w:color w:val="auto"/>
              </w:rPr>
              <w:t>$4,092</w:t>
            </w:r>
          </w:p>
        </w:tc>
        <w:tc>
          <w:tcPr>
            <w:tcW w:w="1340" w:type="dxa"/>
            <w:vAlign w:val="bottom"/>
          </w:tcPr>
          <w:p>
            <w:pPr>
              <w:jc w:val="right"/>
              <w:spacing w:after="0" w:line="163" w:lineRule="exact"/>
              <w:rPr>
                <w:sz w:val="20"/>
                <w:szCs w:val="20"/>
                <w:color w:val="auto"/>
              </w:rPr>
            </w:pPr>
            <w:r>
              <w:rPr>
                <w:rFonts w:ascii="Arial" w:cs="Arial" w:eastAsia="Arial" w:hAnsi="Arial"/>
                <w:sz w:val="17"/>
                <w:szCs w:val="17"/>
                <w:b w:val="1"/>
                <w:bCs w:val="1"/>
                <w:color w:val="auto"/>
              </w:rPr>
              <w:t>($12,251)</w:t>
            </w:r>
          </w:p>
        </w:tc>
        <w:tc>
          <w:tcPr>
            <w:tcW w:w="1340" w:type="dxa"/>
            <w:vAlign w:val="bottom"/>
          </w:tcPr>
          <w:p>
            <w:pPr>
              <w:jc w:val="right"/>
              <w:ind w:right="14"/>
              <w:spacing w:after="0" w:line="163" w:lineRule="exact"/>
              <w:rPr>
                <w:sz w:val="20"/>
                <w:szCs w:val="20"/>
                <w:color w:val="auto"/>
              </w:rPr>
            </w:pPr>
            <w:r>
              <w:rPr>
                <w:rFonts w:ascii="Arial" w:cs="Arial" w:eastAsia="Arial" w:hAnsi="Arial"/>
                <w:sz w:val="17"/>
                <w:szCs w:val="17"/>
                <w:b w:val="1"/>
                <w:bCs w:val="1"/>
                <w:color w:val="auto"/>
              </w:rPr>
              <w:t>$42,684</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Interest, taxes, other income/expense</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(12,378)</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(12,378)</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Net income/(loss) (GAAP)</w:t>
            </w:r>
          </w:p>
        </w:tc>
        <w:tc>
          <w:tcPr>
            <w:tcW w:w="1860" w:type="dxa"/>
            <w:vAlign w:val="bottom"/>
          </w:tcPr>
          <w:p>
            <w:pPr>
              <w:jc w:val="right"/>
              <w:ind w:right="94"/>
              <w:spacing w:after="0"/>
              <w:rPr>
                <w:sz w:val="20"/>
                <w:szCs w:val="20"/>
                <w:color w:val="auto"/>
              </w:rPr>
            </w:pPr>
            <w:r>
              <w:rPr>
                <w:rFonts w:ascii="Arial" w:cs="Arial" w:eastAsia="Arial" w:hAnsi="Arial"/>
                <w:sz w:val="17"/>
                <w:szCs w:val="17"/>
                <w:b w:val="1"/>
                <w:bCs w:val="1"/>
                <w:color w:val="auto"/>
              </w:rPr>
              <w:t>50,843</w:t>
            </w:r>
          </w:p>
        </w:tc>
        <w:tc>
          <w:tcPr>
            <w:tcW w:w="1340" w:type="dxa"/>
            <w:vAlign w:val="bottom"/>
          </w:tcPr>
          <w:p>
            <w:pPr>
              <w:jc w:val="right"/>
              <w:ind w:right="54"/>
              <w:spacing w:after="0"/>
              <w:rPr>
                <w:sz w:val="20"/>
                <w:szCs w:val="20"/>
                <w:color w:val="auto"/>
              </w:rPr>
            </w:pPr>
            <w:r>
              <w:rPr>
                <w:rFonts w:ascii="Arial" w:cs="Arial" w:eastAsia="Arial" w:hAnsi="Arial"/>
                <w:sz w:val="17"/>
                <w:szCs w:val="17"/>
                <w:b w:val="1"/>
                <w:bCs w:val="1"/>
                <w:color w:val="auto"/>
              </w:rPr>
              <w:t>4,092</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(24,629)</w:t>
            </w:r>
          </w:p>
        </w:tc>
        <w:tc>
          <w:tcPr>
            <w:tcW w:w="1340" w:type="dxa"/>
            <w:vAlign w:val="bottom"/>
          </w:tcPr>
          <w:p>
            <w:pPr>
              <w:jc w:val="right"/>
              <w:ind w:right="14"/>
              <w:spacing w:after="0"/>
              <w:rPr>
                <w:sz w:val="20"/>
                <w:szCs w:val="20"/>
                <w:color w:val="auto"/>
              </w:rPr>
            </w:pPr>
            <w:r>
              <w:rPr>
                <w:rFonts w:ascii="Arial" w:cs="Arial" w:eastAsia="Arial" w:hAnsi="Arial"/>
                <w:sz w:val="17"/>
                <w:szCs w:val="17"/>
                <w:b w:val="1"/>
                <w:bCs w:val="1"/>
                <w:color w:val="auto"/>
              </w:rPr>
              <w:t>30,306</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 net</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4,621</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4,621</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Income tax expense</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7,031</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7,031</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Depreciation and amortization</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8,182</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10,247</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1,244</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19,673</w:t>
            </w:r>
          </w:p>
        </w:tc>
        <w:tc>
          <w:tcPr>
            <w:tcW w:w="0" w:type="dxa"/>
            <w:vAlign w:val="bottom"/>
          </w:tcPr>
          <w:p>
            <w:pPr>
              <w:spacing w:after="0"/>
              <w:rPr>
                <w:sz w:val="1"/>
                <w:szCs w:val="1"/>
                <w:color w:val="auto"/>
              </w:rPr>
            </w:pPr>
          </w:p>
        </w:tc>
      </w:tr>
      <w:tr>
        <w:trPr>
          <w:trHeight w:val="186"/>
        </w:trPr>
        <w:tc>
          <w:tcPr>
            <w:tcW w:w="554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EBITDA (non-GAAP)</w:t>
            </w:r>
          </w:p>
        </w:tc>
        <w:tc>
          <w:tcPr>
            <w:tcW w:w="1860" w:type="dxa"/>
            <w:vAlign w:val="bottom"/>
          </w:tcPr>
          <w:p>
            <w:pPr>
              <w:jc w:val="right"/>
              <w:ind w:right="94"/>
              <w:spacing w:after="0" w:line="185" w:lineRule="exact"/>
              <w:rPr>
                <w:sz w:val="20"/>
                <w:szCs w:val="20"/>
                <w:color w:val="auto"/>
              </w:rPr>
            </w:pPr>
            <w:r>
              <w:rPr>
                <w:rFonts w:ascii="Arial" w:cs="Arial" w:eastAsia="Arial" w:hAnsi="Arial"/>
                <w:sz w:val="17"/>
                <w:szCs w:val="17"/>
                <w:b w:val="1"/>
                <w:bCs w:val="1"/>
                <w:color w:val="auto"/>
              </w:rPr>
              <w:t>59,025</w:t>
            </w:r>
          </w:p>
        </w:tc>
        <w:tc>
          <w:tcPr>
            <w:tcW w:w="1340" w:type="dxa"/>
            <w:vAlign w:val="bottom"/>
          </w:tcPr>
          <w:p>
            <w:pPr>
              <w:jc w:val="right"/>
              <w:ind w:right="54"/>
              <w:spacing w:after="0" w:line="185" w:lineRule="exact"/>
              <w:rPr>
                <w:sz w:val="20"/>
                <w:szCs w:val="20"/>
                <w:color w:val="auto"/>
              </w:rPr>
            </w:pPr>
            <w:r>
              <w:rPr>
                <w:rFonts w:ascii="Arial" w:cs="Arial" w:eastAsia="Arial" w:hAnsi="Arial"/>
                <w:sz w:val="17"/>
                <w:szCs w:val="17"/>
                <w:b w:val="1"/>
                <w:bCs w:val="1"/>
                <w:color w:val="auto"/>
              </w:rPr>
              <w:t>14,339</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(11,733)</w:t>
            </w: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61,631</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Restructuring expenses, net</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1,800</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558</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231</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2,589</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Foreign currency revaluation (gains)/losses</w:t>
            </w:r>
          </w:p>
        </w:tc>
        <w:tc>
          <w:tcPr>
            <w:tcW w:w="18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(2,331)</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116</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(188)</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(2,403)</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Pretax loss attributable to the noncontrolling interest in ASC</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121</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Adjusted EBITDA (non-GAAP)</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$58,494</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$15,134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($11,690)</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$61,938</w:t>
            </w:r>
          </w:p>
        </w:tc>
        <w:tc>
          <w:tcPr>
            <w:tcW w:w="0" w:type="dxa"/>
            <w:vAlign w:val="bottom"/>
          </w:tcPr>
          <w:p>
            <w:pPr>
              <w:spacing w:after="0"/>
              <w:rPr>
                <w:sz w:val="1"/>
                <w:szCs w:val="1"/>
                <w:color w:val="auto"/>
              </w:rPr>
            </w:pPr>
          </w:p>
        </w:tc>
      </w:tr>
      <w:tr>
        <w:trPr>
          <w:trHeight w:val="574"/>
        </w:trPr>
        <w:tc>
          <w:tcPr>
            <w:tcW w:w="2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7"/>
                <w:szCs w:val="17"/>
                <w:b w:val="1"/>
                <w:bCs w:val="1"/>
                <w:color w:val="auto"/>
              </w:rPr>
              <w:t>Three months ended June 30, 2017</w:t>
            </w:r>
          </w:p>
        </w:tc>
        <w:tc>
          <w:tcPr>
            <w:tcW w:w="1860" w:type="dxa"/>
            <w:vAlign w:val="bottom"/>
          </w:tcPr>
          <w:p>
            <w:pPr>
              <w:spacing w:after="0"/>
              <w:rPr>
                <w:sz w:val="19"/>
                <w:szCs w:val="19"/>
                <w:color w:val="auto"/>
              </w:rPr>
            </w:pPr>
          </w:p>
        </w:tc>
        <w:tc>
          <w:tcPr>
            <w:tcW w:w="13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Albany</w:t>
            </w:r>
          </w:p>
        </w:tc>
        <w:tc>
          <w:tcPr>
            <w:tcW w:w="13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Corporate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6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Machine</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Engineered</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expenses and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8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Clothing</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Composites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other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Company</w:t>
            </w:r>
          </w:p>
        </w:tc>
        <w:tc>
          <w:tcPr>
            <w:tcW w:w="0" w:type="dxa"/>
            <w:vAlign w:val="bottom"/>
          </w:tcPr>
          <w:p>
            <w:pPr>
              <w:spacing w:after="0"/>
              <w:rPr>
                <w:sz w:val="1"/>
                <w:szCs w:val="1"/>
                <w:color w:val="auto"/>
              </w:rPr>
            </w:pPr>
          </w:p>
        </w:tc>
      </w:tr>
      <w:tr>
        <w:trPr>
          <w:trHeight w:val="186"/>
        </w:trPr>
        <w:tc>
          <w:tcPr>
            <w:tcW w:w="554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Operating income/(loss) (GAAP)</w:t>
            </w:r>
          </w:p>
        </w:tc>
        <w:tc>
          <w:tcPr>
            <w:tcW w:w="1860" w:type="dxa"/>
            <w:vAlign w:val="bottom"/>
          </w:tcPr>
          <w:p>
            <w:pPr>
              <w:jc w:val="right"/>
              <w:ind w:right="94"/>
              <w:spacing w:after="0" w:line="185" w:lineRule="exact"/>
              <w:rPr>
                <w:sz w:val="20"/>
                <w:szCs w:val="20"/>
                <w:color w:val="auto"/>
              </w:rPr>
            </w:pPr>
            <w:r>
              <w:rPr>
                <w:rFonts w:ascii="Arial" w:cs="Arial" w:eastAsia="Arial" w:hAnsi="Arial"/>
                <w:sz w:val="17"/>
                <w:szCs w:val="17"/>
                <w:b w:val="1"/>
                <w:bCs w:val="1"/>
                <w:color w:val="auto"/>
              </w:rPr>
              <w:t>$38,425</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($17,828)</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($10,742)</w:t>
            </w: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$9,855</w:t>
            </w:r>
          </w:p>
        </w:tc>
        <w:tc>
          <w:tcPr>
            <w:tcW w:w="0" w:type="dxa"/>
            <w:vAlign w:val="bottom"/>
          </w:tcPr>
          <w:p>
            <w:pPr>
              <w:spacing w:after="0"/>
              <w:rPr>
                <w:sz w:val="1"/>
                <w:szCs w:val="1"/>
                <w:color w:val="auto"/>
              </w:rPr>
            </w:pPr>
          </w:p>
        </w:tc>
      </w:tr>
      <w:tr>
        <w:trPr>
          <w:trHeight w:val="172"/>
        </w:trPr>
        <w:tc>
          <w:tcPr>
            <w:tcW w:w="5540" w:type="dxa"/>
            <w:vAlign w:val="bottom"/>
            <w:gridSpan w:val="2"/>
          </w:tcPr>
          <w:p>
            <w:pPr>
              <w:spacing w:after="0" w:line="172" w:lineRule="exact"/>
              <w:rPr>
                <w:sz w:val="20"/>
                <w:szCs w:val="20"/>
                <w:color w:val="auto"/>
              </w:rPr>
            </w:pPr>
            <w:r>
              <w:rPr>
                <w:rFonts w:ascii="Arial" w:cs="Arial" w:eastAsia="Arial" w:hAnsi="Arial"/>
                <w:sz w:val="17"/>
                <w:szCs w:val="17"/>
                <w:color w:val="auto"/>
              </w:rPr>
              <w:t>Interest, taxes, other income/expense</w:t>
            </w:r>
          </w:p>
        </w:tc>
        <w:tc>
          <w:tcPr>
            <w:tcW w:w="1860" w:type="dxa"/>
            <w:vAlign w:val="bottom"/>
          </w:tcPr>
          <w:p>
            <w:pPr>
              <w:jc w:val="right"/>
              <w:ind w:right="94"/>
              <w:spacing w:after="0" w:line="172"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54"/>
              <w:spacing w:after="0" w:line="172"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72" w:lineRule="exact"/>
              <w:rPr>
                <w:sz w:val="20"/>
                <w:szCs w:val="20"/>
                <w:color w:val="auto"/>
              </w:rPr>
            </w:pPr>
            <w:r>
              <w:rPr>
                <w:rFonts w:ascii="Arial" w:cs="Arial" w:eastAsia="Arial" w:hAnsi="Arial"/>
                <w:sz w:val="17"/>
                <w:szCs w:val="17"/>
                <w:color w:val="auto"/>
              </w:rPr>
              <w:t>(8,622)</w:t>
            </w:r>
          </w:p>
        </w:tc>
        <w:tc>
          <w:tcPr>
            <w:tcW w:w="1340" w:type="dxa"/>
            <w:vAlign w:val="bottom"/>
          </w:tcPr>
          <w:p>
            <w:pPr>
              <w:jc w:val="right"/>
              <w:spacing w:after="0" w:line="172" w:lineRule="exact"/>
              <w:rPr>
                <w:sz w:val="20"/>
                <w:szCs w:val="20"/>
                <w:color w:val="auto"/>
              </w:rPr>
            </w:pPr>
            <w:r>
              <w:rPr>
                <w:rFonts w:ascii="Arial" w:cs="Arial" w:eastAsia="Arial" w:hAnsi="Arial"/>
                <w:sz w:val="17"/>
                <w:szCs w:val="17"/>
                <w:color w:val="auto"/>
              </w:rPr>
              <w:t>(8,622)</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Net income/(loss) (GAAP)</w:t>
            </w:r>
          </w:p>
        </w:tc>
        <w:tc>
          <w:tcPr>
            <w:tcW w:w="1860" w:type="dxa"/>
            <w:vAlign w:val="bottom"/>
          </w:tcPr>
          <w:p>
            <w:pPr>
              <w:jc w:val="right"/>
              <w:ind w:right="94"/>
              <w:spacing w:after="0"/>
              <w:rPr>
                <w:sz w:val="20"/>
                <w:szCs w:val="20"/>
                <w:color w:val="auto"/>
              </w:rPr>
            </w:pPr>
            <w:r>
              <w:rPr>
                <w:rFonts w:ascii="Arial" w:cs="Arial" w:eastAsia="Arial" w:hAnsi="Arial"/>
                <w:sz w:val="17"/>
                <w:szCs w:val="17"/>
                <w:b w:val="1"/>
                <w:bCs w:val="1"/>
                <w:color w:val="auto"/>
              </w:rPr>
              <w:t>38,425</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(17,828)</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(19,364)</w:t>
            </w:r>
          </w:p>
        </w:tc>
        <w:tc>
          <w:tcPr>
            <w:tcW w:w="1340" w:type="dxa"/>
            <w:vAlign w:val="bottom"/>
          </w:tcPr>
          <w:p>
            <w:pPr>
              <w:jc w:val="right"/>
              <w:ind w:right="14"/>
              <w:spacing w:after="0"/>
              <w:rPr>
                <w:sz w:val="20"/>
                <w:szCs w:val="20"/>
                <w:color w:val="auto"/>
              </w:rPr>
            </w:pPr>
            <w:r>
              <w:rPr>
                <w:rFonts w:ascii="Arial" w:cs="Arial" w:eastAsia="Arial" w:hAnsi="Arial"/>
                <w:sz w:val="17"/>
                <w:szCs w:val="17"/>
                <w:b w:val="1"/>
                <w:bCs w:val="1"/>
                <w:color w:val="auto"/>
              </w:rPr>
              <w:t>1,233</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 net</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4,285</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4,285</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Income tax expense</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1,779</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Depreciation and amortization</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8,431</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8,218</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1,184</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17,833</w:t>
            </w:r>
          </w:p>
        </w:tc>
        <w:tc>
          <w:tcPr>
            <w:tcW w:w="0" w:type="dxa"/>
            <w:vAlign w:val="bottom"/>
          </w:tcPr>
          <w:p>
            <w:pPr>
              <w:spacing w:after="0"/>
              <w:rPr>
                <w:sz w:val="1"/>
                <w:szCs w:val="1"/>
                <w:color w:val="auto"/>
              </w:rPr>
            </w:pPr>
          </w:p>
        </w:tc>
      </w:tr>
      <w:tr>
        <w:trPr>
          <w:trHeight w:val="186"/>
        </w:trPr>
        <w:tc>
          <w:tcPr>
            <w:tcW w:w="554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EBITDA (non-GAAP)</w:t>
            </w:r>
          </w:p>
        </w:tc>
        <w:tc>
          <w:tcPr>
            <w:tcW w:w="1860" w:type="dxa"/>
            <w:vAlign w:val="bottom"/>
          </w:tcPr>
          <w:p>
            <w:pPr>
              <w:jc w:val="right"/>
              <w:ind w:right="94"/>
              <w:spacing w:after="0" w:line="185" w:lineRule="exact"/>
              <w:rPr>
                <w:sz w:val="20"/>
                <w:szCs w:val="20"/>
                <w:color w:val="auto"/>
              </w:rPr>
            </w:pPr>
            <w:r>
              <w:rPr>
                <w:rFonts w:ascii="Arial" w:cs="Arial" w:eastAsia="Arial" w:hAnsi="Arial"/>
                <w:sz w:val="17"/>
                <w:szCs w:val="17"/>
                <w:b w:val="1"/>
                <w:bCs w:val="1"/>
                <w:color w:val="auto"/>
              </w:rPr>
              <w:t>46,856</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(9,610)</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(12,116)</w:t>
            </w: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25,130</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Restructuring expenses, net</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805</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1,231</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2,036</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Foreign currency revaluation (gains)/losses</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1,650</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(63)</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1,950</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3,537</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Pretax income attributable to the noncontrolling interest in ASC</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Adjusted EBITDA (non-GAAP)</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$49,311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($8,586)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($10,166)</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$30,559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1"/>
        </w:trPr>
        <w:tc>
          <w:tcPr>
            <w:tcW w:w="55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Six months ended June 30, 2018</w:t>
            </w:r>
          </w:p>
        </w:tc>
        <w:tc>
          <w:tcPr>
            <w:tcW w:w="18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Albany</w:t>
            </w: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Corporate</w:t>
            </w: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6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Machine</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Engineered</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expenses and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8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Clothing</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Composites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other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Company</w:t>
            </w:r>
          </w:p>
        </w:tc>
        <w:tc>
          <w:tcPr>
            <w:tcW w:w="0" w:type="dxa"/>
            <w:vAlign w:val="bottom"/>
          </w:tcPr>
          <w:p>
            <w:pPr>
              <w:spacing w:after="0"/>
              <w:rPr>
                <w:sz w:val="1"/>
                <w:szCs w:val="1"/>
                <w:color w:val="auto"/>
              </w:rPr>
            </w:pPr>
          </w:p>
        </w:tc>
      </w:tr>
      <w:tr>
        <w:trPr>
          <w:trHeight w:val="164"/>
        </w:trPr>
        <w:tc>
          <w:tcPr>
            <w:tcW w:w="5540" w:type="dxa"/>
            <w:vAlign w:val="bottom"/>
            <w:gridSpan w:val="2"/>
          </w:tcPr>
          <w:p>
            <w:pPr>
              <w:spacing w:after="0" w:line="163" w:lineRule="exact"/>
              <w:rPr>
                <w:sz w:val="20"/>
                <w:szCs w:val="20"/>
                <w:color w:val="auto"/>
              </w:rPr>
            </w:pPr>
            <w:r>
              <w:rPr>
                <w:rFonts w:ascii="Arial" w:cs="Arial" w:eastAsia="Arial" w:hAnsi="Arial"/>
                <w:sz w:val="17"/>
                <w:szCs w:val="17"/>
                <w:b w:val="1"/>
                <w:bCs w:val="1"/>
                <w:color w:val="auto"/>
              </w:rPr>
              <w:t>Operating income/(loss) (GAAP)</w:t>
            </w:r>
          </w:p>
        </w:tc>
        <w:tc>
          <w:tcPr>
            <w:tcW w:w="1860" w:type="dxa"/>
            <w:vAlign w:val="bottom"/>
          </w:tcPr>
          <w:p>
            <w:pPr>
              <w:jc w:val="right"/>
              <w:ind w:right="94"/>
              <w:spacing w:after="0" w:line="163" w:lineRule="exact"/>
              <w:rPr>
                <w:sz w:val="20"/>
                <w:szCs w:val="20"/>
                <w:color w:val="auto"/>
              </w:rPr>
            </w:pPr>
            <w:r>
              <w:rPr>
                <w:rFonts w:ascii="Arial" w:cs="Arial" w:eastAsia="Arial" w:hAnsi="Arial"/>
                <w:sz w:val="17"/>
                <w:szCs w:val="17"/>
                <w:b w:val="1"/>
                <w:bCs w:val="1"/>
                <w:color w:val="auto"/>
              </w:rPr>
              <w:t>$81,613</w:t>
            </w:r>
          </w:p>
        </w:tc>
        <w:tc>
          <w:tcPr>
            <w:tcW w:w="1340" w:type="dxa"/>
            <w:vAlign w:val="bottom"/>
          </w:tcPr>
          <w:p>
            <w:pPr>
              <w:jc w:val="right"/>
              <w:ind w:right="54"/>
              <w:spacing w:after="0" w:line="163" w:lineRule="exact"/>
              <w:rPr>
                <w:sz w:val="20"/>
                <w:szCs w:val="20"/>
                <w:color w:val="auto"/>
              </w:rPr>
            </w:pPr>
            <w:r>
              <w:rPr>
                <w:rFonts w:ascii="Arial" w:cs="Arial" w:eastAsia="Arial" w:hAnsi="Arial"/>
                <w:sz w:val="17"/>
                <w:szCs w:val="17"/>
                <w:b w:val="1"/>
                <w:bCs w:val="1"/>
                <w:color w:val="auto"/>
              </w:rPr>
              <w:t>$6,366</w:t>
            </w:r>
          </w:p>
        </w:tc>
        <w:tc>
          <w:tcPr>
            <w:tcW w:w="1340" w:type="dxa"/>
            <w:vAlign w:val="bottom"/>
          </w:tcPr>
          <w:p>
            <w:pPr>
              <w:jc w:val="right"/>
              <w:spacing w:after="0" w:line="163" w:lineRule="exact"/>
              <w:rPr>
                <w:sz w:val="20"/>
                <w:szCs w:val="20"/>
                <w:color w:val="auto"/>
              </w:rPr>
            </w:pPr>
            <w:r>
              <w:rPr>
                <w:rFonts w:ascii="Arial" w:cs="Arial" w:eastAsia="Arial" w:hAnsi="Arial"/>
                <w:sz w:val="17"/>
                <w:szCs w:val="17"/>
                <w:b w:val="1"/>
                <w:bCs w:val="1"/>
                <w:color w:val="auto"/>
              </w:rPr>
              <w:t>($24,464)</w:t>
            </w:r>
          </w:p>
        </w:tc>
        <w:tc>
          <w:tcPr>
            <w:tcW w:w="1340" w:type="dxa"/>
            <w:vAlign w:val="bottom"/>
          </w:tcPr>
          <w:p>
            <w:pPr>
              <w:jc w:val="right"/>
              <w:ind w:right="14"/>
              <w:spacing w:after="0" w:line="163" w:lineRule="exact"/>
              <w:rPr>
                <w:sz w:val="20"/>
                <w:szCs w:val="20"/>
                <w:color w:val="auto"/>
              </w:rPr>
            </w:pPr>
            <w:r>
              <w:rPr>
                <w:rFonts w:ascii="Arial" w:cs="Arial" w:eastAsia="Arial" w:hAnsi="Arial"/>
                <w:sz w:val="17"/>
                <w:szCs w:val="17"/>
                <w:b w:val="1"/>
                <w:bCs w:val="1"/>
                <w:color w:val="auto"/>
              </w:rPr>
              <w:t>$63,515</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Interest, taxes, other income/expense</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(22,727)</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(22,727)</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Net income/(loss) (GAAP)</w:t>
            </w:r>
          </w:p>
        </w:tc>
        <w:tc>
          <w:tcPr>
            <w:tcW w:w="1860" w:type="dxa"/>
            <w:vAlign w:val="bottom"/>
          </w:tcPr>
          <w:p>
            <w:pPr>
              <w:jc w:val="right"/>
              <w:ind w:right="94"/>
              <w:spacing w:after="0"/>
              <w:rPr>
                <w:sz w:val="20"/>
                <w:szCs w:val="20"/>
                <w:color w:val="auto"/>
              </w:rPr>
            </w:pPr>
            <w:r>
              <w:rPr>
                <w:rFonts w:ascii="Arial" w:cs="Arial" w:eastAsia="Arial" w:hAnsi="Arial"/>
                <w:sz w:val="17"/>
                <w:szCs w:val="17"/>
                <w:b w:val="1"/>
                <w:bCs w:val="1"/>
                <w:color w:val="auto"/>
              </w:rPr>
              <w:t>81,613</w:t>
            </w:r>
          </w:p>
        </w:tc>
        <w:tc>
          <w:tcPr>
            <w:tcW w:w="1340" w:type="dxa"/>
            <w:vAlign w:val="bottom"/>
          </w:tcPr>
          <w:p>
            <w:pPr>
              <w:jc w:val="right"/>
              <w:ind w:right="54"/>
              <w:spacing w:after="0"/>
              <w:rPr>
                <w:sz w:val="20"/>
                <w:szCs w:val="20"/>
                <w:color w:val="auto"/>
              </w:rPr>
            </w:pPr>
            <w:r>
              <w:rPr>
                <w:rFonts w:ascii="Arial" w:cs="Arial" w:eastAsia="Arial" w:hAnsi="Arial"/>
                <w:sz w:val="17"/>
                <w:szCs w:val="17"/>
                <w:b w:val="1"/>
                <w:bCs w:val="1"/>
                <w:color w:val="auto"/>
              </w:rPr>
              <w:t>6,366</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(47,191)</w:t>
            </w:r>
          </w:p>
        </w:tc>
        <w:tc>
          <w:tcPr>
            <w:tcW w:w="1340" w:type="dxa"/>
            <w:vAlign w:val="bottom"/>
          </w:tcPr>
          <w:p>
            <w:pPr>
              <w:jc w:val="right"/>
              <w:ind w:right="14"/>
              <w:spacing w:after="0"/>
              <w:rPr>
                <w:sz w:val="20"/>
                <w:szCs w:val="20"/>
                <w:color w:val="auto"/>
              </w:rPr>
            </w:pPr>
            <w:r>
              <w:rPr>
                <w:rFonts w:ascii="Arial" w:cs="Arial" w:eastAsia="Arial" w:hAnsi="Arial"/>
                <w:sz w:val="17"/>
                <w:szCs w:val="17"/>
                <w:b w:val="1"/>
                <w:bCs w:val="1"/>
                <w:color w:val="auto"/>
              </w:rPr>
              <w:t>40,788</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 net</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8,909</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8,909</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Income tax expense</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11,640</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11,640</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Depreciation and amortization</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16,544</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21,404</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2,673</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40,621</w:t>
            </w:r>
          </w:p>
        </w:tc>
        <w:tc>
          <w:tcPr>
            <w:tcW w:w="0" w:type="dxa"/>
            <w:vAlign w:val="bottom"/>
          </w:tcPr>
          <w:p>
            <w:pPr>
              <w:spacing w:after="0"/>
              <w:rPr>
                <w:sz w:val="1"/>
                <w:szCs w:val="1"/>
                <w:color w:val="auto"/>
              </w:rPr>
            </w:pPr>
          </w:p>
        </w:tc>
      </w:tr>
      <w:tr>
        <w:trPr>
          <w:trHeight w:val="186"/>
        </w:trPr>
        <w:tc>
          <w:tcPr>
            <w:tcW w:w="554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EBITDA (non-GAAP)</w:t>
            </w:r>
          </w:p>
        </w:tc>
        <w:tc>
          <w:tcPr>
            <w:tcW w:w="1860" w:type="dxa"/>
            <w:vAlign w:val="bottom"/>
          </w:tcPr>
          <w:p>
            <w:pPr>
              <w:jc w:val="right"/>
              <w:ind w:right="94"/>
              <w:spacing w:after="0" w:line="185" w:lineRule="exact"/>
              <w:rPr>
                <w:sz w:val="20"/>
                <w:szCs w:val="20"/>
                <w:color w:val="auto"/>
              </w:rPr>
            </w:pPr>
            <w:r>
              <w:rPr>
                <w:rFonts w:ascii="Arial" w:cs="Arial" w:eastAsia="Arial" w:hAnsi="Arial"/>
                <w:sz w:val="17"/>
                <w:szCs w:val="17"/>
                <w:b w:val="1"/>
                <w:bCs w:val="1"/>
                <w:color w:val="auto"/>
              </w:rPr>
              <w:t>98,157</w:t>
            </w:r>
          </w:p>
        </w:tc>
        <w:tc>
          <w:tcPr>
            <w:tcW w:w="1340" w:type="dxa"/>
            <w:vAlign w:val="bottom"/>
          </w:tcPr>
          <w:p>
            <w:pPr>
              <w:jc w:val="right"/>
              <w:ind w:right="54"/>
              <w:spacing w:after="0" w:line="185" w:lineRule="exact"/>
              <w:rPr>
                <w:sz w:val="20"/>
                <w:szCs w:val="20"/>
                <w:color w:val="auto"/>
              </w:rPr>
            </w:pPr>
            <w:r>
              <w:rPr>
                <w:rFonts w:ascii="Arial" w:cs="Arial" w:eastAsia="Arial" w:hAnsi="Arial"/>
                <w:sz w:val="17"/>
                <w:szCs w:val="17"/>
                <w:b w:val="1"/>
                <w:bCs w:val="1"/>
                <w:color w:val="auto"/>
              </w:rPr>
              <w:t>27,770</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(23,969)</w:t>
            </w: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101,958</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Restructuring expenses, net</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10,152</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779</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231</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11,162</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Foreign currency revaluation (gains)/losses</w:t>
            </w:r>
          </w:p>
        </w:tc>
        <w:tc>
          <w:tcPr>
            <w:tcW w:w="18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(813)</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301</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499</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Pretax income attributable to the noncontrolling interest in ASC</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Adjusted EBITDA (non-GAAP)</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$107,496</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$28,628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($23,239)</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$112,885</w:t>
            </w:r>
          </w:p>
        </w:tc>
        <w:tc>
          <w:tcPr>
            <w:tcW w:w="0" w:type="dxa"/>
            <w:vAlign w:val="bottom"/>
          </w:tcPr>
          <w:p>
            <w:pPr>
              <w:spacing w:after="0"/>
              <w:rPr>
                <w:sz w:val="1"/>
                <w:szCs w:val="1"/>
                <w:color w:val="auto"/>
              </w:rPr>
            </w:pPr>
          </w:p>
        </w:tc>
      </w:tr>
      <w:tr>
        <w:trPr>
          <w:trHeight w:val="535"/>
        </w:trPr>
        <w:tc>
          <w:tcPr>
            <w:tcW w:w="2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7"/>
                <w:szCs w:val="17"/>
                <w:b w:val="1"/>
                <w:bCs w:val="1"/>
                <w:color w:val="auto"/>
              </w:rPr>
              <w:t>Six months ended June 30, 2017</w:t>
            </w:r>
          </w:p>
        </w:tc>
        <w:tc>
          <w:tcPr>
            <w:tcW w:w="1860" w:type="dxa"/>
            <w:vAlign w:val="bottom"/>
          </w:tcPr>
          <w:p>
            <w:pPr>
              <w:spacing w:after="0"/>
              <w:rPr>
                <w:sz w:val="19"/>
                <w:szCs w:val="19"/>
                <w:color w:val="auto"/>
              </w:rPr>
            </w:pPr>
          </w:p>
        </w:tc>
        <w:tc>
          <w:tcPr>
            <w:tcW w:w="13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Albany</w:t>
            </w:r>
          </w:p>
        </w:tc>
        <w:tc>
          <w:tcPr>
            <w:tcW w:w="13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Corporate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60" w:type="dxa"/>
            <w:vAlign w:val="bottom"/>
          </w:tcPr>
          <w:p>
            <w:pPr>
              <w:jc w:val="right"/>
              <w:ind w:right="334"/>
              <w:spacing w:after="0" w:line="194" w:lineRule="exact"/>
              <w:rPr>
                <w:sz w:val="20"/>
                <w:szCs w:val="20"/>
                <w:color w:val="auto"/>
              </w:rPr>
            </w:pPr>
            <w:r>
              <w:rPr>
                <w:rFonts w:ascii="Arial" w:cs="Arial" w:eastAsia="Arial" w:hAnsi="Arial"/>
                <w:sz w:val="17"/>
                <w:szCs w:val="17"/>
                <w:b w:val="1"/>
                <w:bCs w:val="1"/>
                <w:color w:val="auto"/>
              </w:rPr>
              <w:t>Machine</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Engineered</w:t>
            </w:r>
          </w:p>
        </w:tc>
        <w:tc>
          <w:tcPr>
            <w:tcW w:w="13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expenses and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8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Clothing</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Composites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other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Company</w:t>
            </w:r>
          </w:p>
        </w:tc>
        <w:tc>
          <w:tcPr>
            <w:tcW w:w="0" w:type="dxa"/>
            <w:vAlign w:val="bottom"/>
          </w:tcPr>
          <w:p>
            <w:pPr>
              <w:spacing w:after="0"/>
              <w:rPr>
                <w:sz w:val="1"/>
                <w:szCs w:val="1"/>
                <w:color w:val="auto"/>
              </w:rPr>
            </w:pPr>
          </w:p>
        </w:tc>
      </w:tr>
      <w:tr>
        <w:trPr>
          <w:trHeight w:val="164"/>
        </w:trPr>
        <w:tc>
          <w:tcPr>
            <w:tcW w:w="5540" w:type="dxa"/>
            <w:vAlign w:val="bottom"/>
            <w:gridSpan w:val="2"/>
          </w:tcPr>
          <w:p>
            <w:pPr>
              <w:spacing w:after="0" w:line="163" w:lineRule="exact"/>
              <w:rPr>
                <w:sz w:val="20"/>
                <w:szCs w:val="20"/>
                <w:color w:val="auto"/>
              </w:rPr>
            </w:pPr>
            <w:r>
              <w:rPr>
                <w:rFonts w:ascii="Arial" w:cs="Arial" w:eastAsia="Arial" w:hAnsi="Arial"/>
                <w:sz w:val="17"/>
                <w:szCs w:val="17"/>
                <w:b w:val="1"/>
                <w:bCs w:val="1"/>
                <w:color w:val="auto"/>
              </w:rPr>
              <w:t>Operating income/(loss) (GAAP)</w:t>
            </w:r>
          </w:p>
        </w:tc>
        <w:tc>
          <w:tcPr>
            <w:tcW w:w="1860" w:type="dxa"/>
            <w:vAlign w:val="bottom"/>
          </w:tcPr>
          <w:p>
            <w:pPr>
              <w:jc w:val="right"/>
              <w:ind w:right="94"/>
              <w:spacing w:after="0" w:line="163" w:lineRule="exact"/>
              <w:rPr>
                <w:sz w:val="20"/>
                <w:szCs w:val="20"/>
                <w:color w:val="auto"/>
              </w:rPr>
            </w:pPr>
            <w:r>
              <w:rPr>
                <w:rFonts w:ascii="Arial" w:cs="Arial" w:eastAsia="Arial" w:hAnsi="Arial"/>
                <w:sz w:val="17"/>
                <w:szCs w:val="17"/>
                <w:b w:val="1"/>
                <w:bCs w:val="1"/>
                <w:color w:val="auto"/>
              </w:rPr>
              <w:t>$76,688</w:t>
            </w:r>
          </w:p>
        </w:tc>
        <w:tc>
          <w:tcPr>
            <w:tcW w:w="1340" w:type="dxa"/>
            <w:vAlign w:val="bottom"/>
          </w:tcPr>
          <w:p>
            <w:pPr>
              <w:jc w:val="right"/>
              <w:spacing w:after="0" w:line="163" w:lineRule="exact"/>
              <w:rPr>
                <w:sz w:val="20"/>
                <w:szCs w:val="20"/>
                <w:color w:val="auto"/>
              </w:rPr>
            </w:pPr>
            <w:r>
              <w:rPr>
                <w:rFonts w:ascii="Arial" w:cs="Arial" w:eastAsia="Arial" w:hAnsi="Arial"/>
                <w:sz w:val="17"/>
                <w:szCs w:val="17"/>
                <w:b w:val="1"/>
                <w:bCs w:val="1"/>
                <w:color w:val="auto"/>
              </w:rPr>
              <w:t>($22,942)</w:t>
            </w:r>
          </w:p>
        </w:tc>
        <w:tc>
          <w:tcPr>
            <w:tcW w:w="1340" w:type="dxa"/>
            <w:vAlign w:val="bottom"/>
          </w:tcPr>
          <w:p>
            <w:pPr>
              <w:jc w:val="right"/>
              <w:spacing w:after="0" w:line="163" w:lineRule="exact"/>
              <w:rPr>
                <w:sz w:val="20"/>
                <w:szCs w:val="20"/>
                <w:color w:val="auto"/>
              </w:rPr>
            </w:pPr>
            <w:r>
              <w:rPr>
                <w:rFonts w:ascii="Arial" w:cs="Arial" w:eastAsia="Arial" w:hAnsi="Arial"/>
                <w:sz w:val="17"/>
                <w:szCs w:val="17"/>
                <w:b w:val="1"/>
                <w:bCs w:val="1"/>
                <w:color w:val="auto"/>
              </w:rPr>
              <w:t>($21,213)</w:t>
            </w:r>
          </w:p>
        </w:tc>
        <w:tc>
          <w:tcPr>
            <w:tcW w:w="1340" w:type="dxa"/>
            <w:vAlign w:val="bottom"/>
          </w:tcPr>
          <w:p>
            <w:pPr>
              <w:jc w:val="right"/>
              <w:ind w:right="14"/>
              <w:spacing w:after="0" w:line="163" w:lineRule="exact"/>
              <w:rPr>
                <w:sz w:val="20"/>
                <w:szCs w:val="20"/>
                <w:color w:val="auto"/>
              </w:rPr>
            </w:pPr>
            <w:r>
              <w:rPr>
                <w:rFonts w:ascii="Arial" w:cs="Arial" w:eastAsia="Arial" w:hAnsi="Arial"/>
                <w:sz w:val="17"/>
                <w:szCs w:val="17"/>
                <w:b w:val="1"/>
                <w:bCs w:val="1"/>
                <w:color w:val="auto"/>
              </w:rPr>
              <w:t>$32,533</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Interest, taxes, other income/expense</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(20,326)</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(20,326)</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Net income/(loss) (GAAP)</w:t>
            </w:r>
          </w:p>
        </w:tc>
        <w:tc>
          <w:tcPr>
            <w:tcW w:w="1860" w:type="dxa"/>
            <w:vAlign w:val="bottom"/>
          </w:tcPr>
          <w:p>
            <w:pPr>
              <w:jc w:val="right"/>
              <w:ind w:right="94"/>
              <w:spacing w:after="0"/>
              <w:rPr>
                <w:sz w:val="20"/>
                <w:szCs w:val="20"/>
                <w:color w:val="auto"/>
              </w:rPr>
            </w:pPr>
            <w:r>
              <w:rPr>
                <w:rFonts w:ascii="Arial" w:cs="Arial" w:eastAsia="Arial" w:hAnsi="Arial"/>
                <w:sz w:val="17"/>
                <w:szCs w:val="17"/>
                <w:b w:val="1"/>
                <w:bCs w:val="1"/>
                <w:color w:val="auto"/>
              </w:rPr>
              <w:t>76,688</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(22,942)</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(41,539)</w:t>
            </w:r>
          </w:p>
        </w:tc>
        <w:tc>
          <w:tcPr>
            <w:tcW w:w="1340" w:type="dxa"/>
            <w:vAlign w:val="bottom"/>
          </w:tcPr>
          <w:p>
            <w:pPr>
              <w:jc w:val="right"/>
              <w:ind w:right="14"/>
              <w:spacing w:after="0"/>
              <w:rPr>
                <w:sz w:val="20"/>
                <w:szCs w:val="20"/>
                <w:color w:val="auto"/>
              </w:rPr>
            </w:pPr>
            <w:r>
              <w:rPr>
                <w:rFonts w:ascii="Arial" w:cs="Arial" w:eastAsia="Arial" w:hAnsi="Arial"/>
                <w:sz w:val="17"/>
                <w:szCs w:val="17"/>
                <w:b w:val="1"/>
                <w:bCs w:val="1"/>
                <w:color w:val="auto"/>
              </w:rPr>
              <w:t>12,207</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 net</w:t>
            </w:r>
          </w:p>
        </w:tc>
        <w:tc>
          <w:tcPr>
            <w:tcW w:w="1860" w:type="dxa"/>
            <w:vAlign w:val="bottom"/>
          </w:tcPr>
          <w:p>
            <w:pPr>
              <w:spacing w:after="0"/>
              <w:rPr>
                <w:sz w:val="16"/>
                <w:szCs w:val="16"/>
                <w:color w:val="auto"/>
              </w:rPr>
            </w:pP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8,613</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8,613</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Income tax expense</w:t>
            </w:r>
          </w:p>
        </w:tc>
        <w:tc>
          <w:tcPr>
            <w:tcW w:w="1860" w:type="dxa"/>
            <w:vAlign w:val="bottom"/>
          </w:tcPr>
          <w:p>
            <w:pPr>
              <w:spacing w:after="0"/>
              <w:rPr>
                <w:sz w:val="16"/>
                <w:szCs w:val="16"/>
                <w:color w:val="auto"/>
              </w:rPr>
            </w:pP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8,329</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Depreciation and amortization</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16,718</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16,022</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2,386</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35,126</w:t>
            </w:r>
          </w:p>
        </w:tc>
        <w:tc>
          <w:tcPr>
            <w:tcW w:w="0" w:type="dxa"/>
            <w:vAlign w:val="bottom"/>
          </w:tcPr>
          <w:p>
            <w:pPr>
              <w:spacing w:after="0"/>
              <w:rPr>
                <w:sz w:val="1"/>
                <w:szCs w:val="1"/>
                <w:color w:val="auto"/>
              </w:rPr>
            </w:pPr>
          </w:p>
        </w:tc>
      </w:tr>
      <w:tr>
        <w:trPr>
          <w:trHeight w:val="186"/>
        </w:trPr>
        <w:tc>
          <w:tcPr>
            <w:tcW w:w="554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EBITDA (non-GAAP)</w:t>
            </w:r>
          </w:p>
        </w:tc>
        <w:tc>
          <w:tcPr>
            <w:tcW w:w="1860" w:type="dxa"/>
            <w:vAlign w:val="bottom"/>
          </w:tcPr>
          <w:p>
            <w:pPr>
              <w:jc w:val="right"/>
              <w:ind w:right="94"/>
              <w:spacing w:after="0" w:line="185" w:lineRule="exact"/>
              <w:rPr>
                <w:sz w:val="20"/>
                <w:szCs w:val="20"/>
                <w:color w:val="auto"/>
              </w:rPr>
            </w:pPr>
            <w:r>
              <w:rPr>
                <w:rFonts w:ascii="Arial" w:cs="Arial" w:eastAsia="Arial" w:hAnsi="Arial"/>
                <w:sz w:val="17"/>
                <w:szCs w:val="17"/>
                <w:b w:val="1"/>
                <w:bCs w:val="1"/>
                <w:color w:val="auto"/>
              </w:rPr>
              <w:t>93,406</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(6,920)</w:t>
            </w:r>
          </w:p>
        </w:tc>
        <w:tc>
          <w:tcPr>
            <w:tcW w:w="13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(22,211)</w:t>
            </w:r>
          </w:p>
        </w:tc>
        <w:tc>
          <w:tcPr>
            <w:tcW w:w="134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64,275</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Restructuring expenses, net</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916</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3,801</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4,717</w:t>
            </w:r>
          </w:p>
        </w:tc>
        <w:tc>
          <w:tcPr>
            <w:tcW w:w="0" w:type="dxa"/>
            <w:vAlign w:val="bottom"/>
          </w:tcPr>
          <w:p>
            <w:pPr>
              <w:spacing w:after="0"/>
              <w:rPr>
                <w:sz w:val="1"/>
                <w:szCs w:val="1"/>
                <w:color w:val="auto"/>
              </w:rPr>
            </w:pPr>
          </w:p>
        </w:tc>
      </w:tr>
      <w:tr>
        <w:trPr>
          <w:trHeight w:val="194"/>
        </w:trPr>
        <w:tc>
          <w:tcPr>
            <w:tcW w:w="5540" w:type="dxa"/>
            <w:vAlign w:val="bottom"/>
            <w:gridSpan w:val="2"/>
          </w:tcPr>
          <w:p>
            <w:pPr>
              <w:spacing w:after="0" w:line="194" w:lineRule="exact"/>
              <w:rPr>
                <w:sz w:val="20"/>
                <w:szCs w:val="20"/>
                <w:color w:val="auto"/>
              </w:rPr>
            </w:pPr>
            <w:r>
              <w:rPr>
                <w:rFonts w:ascii="Arial" w:cs="Arial" w:eastAsia="Arial" w:hAnsi="Arial"/>
                <w:sz w:val="17"/>
                <w:szCs w:val="17"/>
                <w:color w:val="auto"/>
              </w:rPr>
              <w:t>Foreign currency revaluation losses</w:t>
            </w:r>
          </w:p>
        </w:tc>
        <w:tc>
          <w:tcPr>
            <w:tcW w:w="18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3,313</w:t>
            </w:r>
          </w:p>
        </w:tc>
        <w:tc>
          <w:tcPr>
            <w:tcW w:w="1340" w:type="dxa"/>
            <w:vAlign w:val="bottom"/>
          </w:tcPr>
          <w:p>
            <w:pPr>
              <w:jc w:val="right"/>
              <w:ind w:right="54"/>
              <w:spacing w:after="0" w:line="194" w:lineRule="exact"/>
              <w:rPr>
                <w:sz w:val="20"/>
                <w:szCs w:val="20"/>
                <w:color w:val="auto"/>
              </w:rPr>
            </w:pPr>
            <w:r>
              <w:rPr>
                <w:rFonts w:ascii="Arial" w:cs="Arial" w:eastAsia="Arial" w:hAnsi="Arial"/>
                <w:sz w:val="17"/>
                <w:szCs w:val="17"/>
                <w:color w:val="auto"/>
              </w:rPr>
              <w:t>34</w:t>
            </w: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2,052</w:t>
            </w:r>
          </w:p>
        </w:tc>
        <w:tc>
          <w:tcPr>
            <w:tcW w:w="1340" w:type="dxa"/>
            <w:vAlign w:val="bottom"/>
          </w:tcPr>
          <w:p>
            <w:pPr>
              <w:jc w:val="right"/>
              <w:ind w:right="14"/>
              <w:spacing w:after="0" w:line="194" w:lineRule="exact"/>
              <w:rPr>
                <w:sz w:val="20"/>
                <w:szCs w:val="20"/>
                <w:color w:val="auto"/>
              </w:rPr>
            </w:pPr>
            <w:r>
              <w:rPr>
                <w:rFonts w:ascii="Arial" w:cs="Arial" w:eastAsia="Arial" w:hAnsi="Arial"/>
                <w:sz w:val="17"/>
                <w:szCs w:val="17"/>
                <w:color w:val="auto"/>
              </w:rPr>
              <w:t>5,399</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Pretax income attributable to the noncontrolling interest in ASC</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Adjusted EBITDA (non-GAAP)</w:t>
            </w:r>
          </w:p>
        </w:tc>
        <w:tc>
          <w:tcPr>
            <w:tcW w:w="1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$97,635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($20,159)</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$74,077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20" w:firstLine="620"/>
        <w:spacing w:after="0"/>
        <w:rPr>
          <w:sz w:val="20"/>
          <w:szCs w:val="20"/>
          <w:color w:val="auto"/>
        </w:rPr>
      </w:pPr>
      <w:r>
        <w:rPr>
          <w:rFonts w:ascii="Arial" w:cs="Arial" w:eastAsia="Arial" w:hAnsi="Arial"/>
          <w:sz w:val="17"/>
          <w:szCs w:val="17"/>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show the earnings per share effect of certain income and expense items:</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816"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486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Three months ended June 30, 2018</w:t>
            </w:r>
          </w:p>
        </w:tc>
        <w:tc>
          <w:tcPr>
            <w:tcW w:w="2600" w:type="dxa"/>
            <w:vAlign w:val="bottom"/>
            <w:tcBorders>
              <w:top w:val="single" w:sz="8" w:color="auto"/>
            </w:tcBorders>
          </w:tcPr>
          <w:p>
            <w:pPr>
              <w:jc w:val="right"/>
              <w:ind w:right="634"/>
              <w:spacing w:after="0" w:line="184" w:lineRule="exact"/>
              <w:rPr>
                <w:sz w:val="20"/>
                <w:szCs w:val="20"/>
                <w:color w:val="auto"/>
              </w:rPr>
            </w:pPr>
            <w:r>
              <w:rPr>
                <w:rFonts w:ascii="Arial" w:cs="Arial" w:eastAsia="Arial" w:hAnsi="Arial"/>
                <w:sz w:val="17"/>
                <w:szCs w:val="17"/>
                <w:b w:val="1"/>
                <w:bCs w:val="1"/>
                <w:color w:val="auto"/>
              </w:rPr>
              <w:t>Pre tax</w:t>
            </w:r>
          </w:p>
        </w:tc>
        <w:tc>
          <w:tcPr>
            <w:tcW w:w="1360" w:type="dxa"/>
            <w:vAlign w:val="bottom"/>
            <w:tcBorders>
              <w:top w:val="single" w:sz="8" w:color="auto"/>
            </w:tcBorders>
          </w:tcPr>
          <w:p>
            <w:pPr>
              <w:jc w:val="right"/>
              <w:ind w:right="654"/>
              <w:spacing w:after="0" w:line="184" w:lineRule="exact"/>
              <w:rPr>
                <w:sz w:val="20"/>
                <w:szCs w:val="20"/>
                <w:color w:val="auto"/>
              </w:rPr>
            </w:pPr>
            <w:r>
              <w:rPr>
                <w:rFonts w:ascii="Arial" w:cs="Arial" w:eastAsia="Arial" w:hAnsi="Arial"/>
                <w:sz w:val="17"/>
                <w:szCs w:val="17"/>
                <w:b w:val="1"/>
                <w:bCs w:val="1"/>
                <w:color w:val="auto"/>
              </w:rPr>
              <w:t>Tax</w:t>
            </w:r>
          </w:p>
        </w:tc>
        <w:tc>
          <w:tcPr>
            <w:tcW w:w="1300" w:type="dxa"/>
            <w:vAlign w:val="bottom"/>
            <w:tcBorders>
              <w:top w:val="single" w:sz="8" w:color="auto"/>
            </w:tcBorders>
          </w:tcPr>
          <w:p>
            <w:pPr>
              <w:jc w:val="right"/>
              <w:ind w:right="374"/>
              <w:spacing w:after="0" w:line="184" w:lineRule="exact"/>
              <w:rPr>
                <w:sz w:val="20"/>
                <w:szCs w:val="20"/>
                <w:color w:val="auto"/>
              </w:rPr>
            </w:pPr>
            <w:r>
              <w:rPr>
                <w:rFonts w:ascii="Arial" w:cs="Arial" w:eastAsia="Arial" w:hAnsi="Arial"/>
                <w:sz w:val="17"/>
                <w:szCs w:val="17"/>
                <w:b w:val="1"/>
                <w:bCs w:val="1"/>
                <w:color w:val="auto"/>
              </w:rPr>
              <w:t>After tax</w:t>
            </w:r>
          </w:p>
        </w:tc>
        <w:tc>
          <w:tcPr>
            <w:tcW w:w="1300" w:type="dxa"/>
            <w:vAlign w:val="bottom"/>
            <w:tcBorders>
              <w:top w:val="single" w:sz="8" w:color="auto"/>
            </w:tcBorders>
          </w:tcPr>
          <w:p>
            <w:pPr>
              <w:jc w:val="right"/>
              <w:ind w:right="254"/>
              <w:spacing w:after="0" w:line="184" w:lineRule="exact"/>
              <w:rPr>
                <w:sz w:val="20"/>
                <w:szCs w:val="20"/>
                <w:color w:val="auto"/>
              </w:rPr>
            </w:pPr>
            <w:r>
              <w:rPr>
                <w:rFonts w:ascii="Arial" w:cs="Arial" w:eastAsia="Arial" w:hAnsi="Arial"/>
                <w:sz w:val="17"/>
                <w:szCs w:val="17"/>
                <w:b w:val="1"/>
                <w:bCs w:val="1"/>
                <w:color w:val="auto"/>
              </w:rPr>
              <w:t>Per Share</w:t>
            </w:r>
          </w:p>
        </w:tc>
        <w:tc>
          <w:tcPr>
            <w:tcW w:w="20" w:type="dxa"/>
            <w:vAlign w:val="bottom"/>
          </w:tcPr>
          <w:p>
            <w:pPr>
              <w:spacing w:after="0"/>
              <w:rPr>
                <w:sz w:val="15"/>
                <w:szCs w:val="15"/>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7"/>
                <w:szCs w:val="17"/>
                <w:b w:val="1"/>
                <w:bCs w:val="1"/>
                <w:color w:val="auto"/>
              </w:rPr>
              <w:t>(in thousands, except per share amounts)</w:t>
            </w:r>
          </w:p>
        </w:tc>
        <w:tc>
          <w:tcPr>
            <w:tcW w:w="2600" w:type="dxa"/>
            <w:vAlign w:val="bottom"/>
          </w:tcPr>
          <w:p>
            <w:pPr>
              <w:jc w:val="right"/>
              <w:ind w:right="534"/>
              <w:spacing w:after="0"/>
              <w:rPr>
                <w:sz w:val="20"/>
                <w:szCs w:val="20"/>
                <w:color w:val="auto"/>
              </w:rPr>
            </w:pPr>
            <w:r>
              <w:rPr>
                <w:rFonts w:ascii="Arial" w:cs="Arial" w:eastAsia="Arial" w:hAnsi="Arial"/>
                <w:sz w:val="17"/>
                <w:szCs w:val="17"/>
                <w:b w:val="1"/>
                <w:bCs w:val="1"/>
                <w:color w:val="auto"/>
              </w:rPr>
              <w:t>Amounts</w:t>
            </w:r>
          </w:p>
        </w:tc>
        <w:tc>
          <w:tcPr>
            <w:tcW w:w="1360" w:type="dxa"/>
            <w:vAlign w:val="bottom"/>
          </w:tcPr>
          <w:p>
            <w:pPr>
              <w:jc w:val="right"/>
              <w:ind w:right="554"/>
              <w:spacing w:after="0"/>
              <w:rPr>
                <w:sz w:val="20"/>
                <w:szCs w:val="20"/>
                <w:color w:val="auto"/>
              </w:rPr>
            </w:pPr>
            <w:r>
              <w:rPr>
                <w:rFonts w:ascii="Arial" w:cs="Arial" w:eastAsia="Arial" w:hAnsi="Arial"/>
                <w:sz w:val="17"/>
                <w:szCs w:val="17"/>
                <w:b w:val="1"/>
                <w:bCs w:val="1"/>
                <w:color w:val="auto"/>
              </w:rPr>
              <w:t>Effect</w:t>
            </w:r>
          </w:p>
        </w:tc>
        <w:tc>
          <w:tcPr>
            <w:tcW w:w="1300" w:type="dxa"/>
            <w:vAlign w:val="bottom"/>
          </w:tcPr>
          <w:p>
            <w:pPr>
              <w:jc w:val="right"/>
              <w:ind w:right="474"/>
              <w:spacing w:after="0"/>
              <w:rPr>
                <w:sz w:val="20"/>
                <w:szCs w:val="20"/>
                <w:color w:val="auto"/>
              </w:rPr>
            </w:pPr>
            <w:r>
              <w:rPr>
                <w:rFonts w:ascii="Arial" w:cs="Arial" w:eastAsia="Arial" w:hAnsi="Arial"/>
                <w:sz w:val="17"/>
                <w:szCs w:val="17"/>
                <w:b w:val="1"/>
                <w:bCs w:val="1"/>
                <w:color w:val="auto"/>
              </w:rPr>
              <w:t>Effect</w:t>
            </w:r>
          </w:p>
        </w:tc>
        <w:tc>
          <w:tcPr>
            <w:tcW w:w="13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Effect</w:t>
            </w:r>
          </w:p>
        </w:tc>
      </w:tr>
      <w:tr>
        <w:trPr>
          <w:trHeight w:val="186"/>
        </w:trPr>
        <w:tc>
          <w:tcPr>
            <w:tcW w:w="486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Restructuring expenses, net</w:t>
            </w:r>
          </w:p>
        </w:tc>
        <w:tc>
          <w:tcPr>
            <w:tcW w:w="2600" w:type="dxa"/>
            <w:vAlign w:val="bottom"/>
            <w:tcBorders>
              <w:top w:val="single" w:sz="8" w:color="auto"/>
            </w:tcBorders>
          </w:tcPr>
          <w:p>
            <w:pPr>
              <w:jc w:val="right"/>
              <w:ind w:right="174"/>
              <w:spacing w:after="0" w:line="185" w:lineRule="exact"/>
              <w:rPr>
                <w:sz w:val="20"/>
                <w:szCs w:val="20"/>
                <w:color w:val="auto"/>
              </w:rPr>
            </w:pPr>
            <w:r>
              <w:rPr>
                <w:rFonts w:ascii="Arial" w:cs="Arial" w:eastAsia="Arial" w:hAnsi="Arial"/>
                <w:sz w:val="17"/>
                <w:szCs w:val="17"/>
                <w:color w:val="auto"/>
              </w:rPr>
              <w:t>$2,589</w:t>
            </w:r>
          </w:p>
        </w:tc>
        <w:tc>
          <w:tcPr>
            <w:tcW w:w="1360" w:type="dxa"/>
            <w:vAlign w:val="bottom"/>
            <w:tcBorders>
              <w:top w:val="single" w:sz="8" w:color="auto"/>
            </w:tcBorders>
          </w:tcPr>
          <w:p>
            <w:pPr>
              <w:jc w:val="right"/>
              <w:ind w:right="54"/>
              <w:spacing w:after="0" w:line="185" w:lineRule="exact"/>
              <w:rPr>
                <w:sz w:val="20"/>
                <w:szCs w:val="20"/>
                <w:color w:val="auto"/>
              </w:rPr>
            </w:pPr>
            <w:r>
              <w:rPr>
                <w:rFonts w:ascii="Arial" w:cs="Arial" w:eastAsia="Arial" w:hAnsi="Arial"/>
                <w:sz w:val="17"/>
                <w:szCs w:val="17"/>
                <w:color w:val="auto"/>
              </w:rPr>
              <w:t>$779</w:t>
            </w:r>
          </w:p>
        </w:tc>
        <w:tc>
          <w:tcPr>
            <w:tcW w:w="1300" w:type="dxa"/>
            <w:vAlign w:val="bottom"/>
            <w:tcBorders>
              <w:top w:val="single" w:sz="8" w:color="auto"/>
            </w:tcBorders>
          </w:tcPr>
          <w:p>
            <w:pPr>
              <w:jc w:val="right"/>
              <w:ind w:right="94"/>
              <w:spacing w:after="0" w:line="185" w:lineRule="exact"/>
              <w:rPr>
                <w:sz w:val="20"/>
                <w:szCs w:val="20"/>
                <w:color w:val="auto"/>
              </w:rPr>
            </w:pPr>
            <w:r>
              <w:rPr>
                <w:rFonts w:ascii="Arial" w:cs="Arial" w:eastAsia="Arial" w:hAnsi="Arial"/>
                <w:sz w:val="17"/>
                <w:szCs w:val="17"/>
                <w:color w:val="auto"/>
              </w:rPr>
              <w:t>$1,810</w:t>
            </w:r>
          </w:p>
        </w:tc>
        <w:tc>
          <w:tcPr>
            <w:tcW w:w="130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$0.06</w:t>
            </w:r>
          </w:p>
        </w:tc>
        <w:tc>
          <w:tcPr>
            <w:tcW w:w="20" w:type="dxa"/>
            <w:vAlign w:val="bottom"/>
          </w:tcPr>
          <w:p>
            <w:pPr>
              <w:spacing w:after="0"/>
              <w:rPr>
                <w:sz w:val="16"/>
                <w:szCs w:val="16"/>
                <w:color w:val="auto"/>
              </w:rPr>
            </w:pPr>
          </w:p>
        </w:tc>
      </w:tr>
      <w:tr>
        <w:trPr>
          <w:trHeight w:val="194"/>
        </w:trPr>
        <w:tc>
          <w:tcPr>
            <w:tcW w:w="4860" w:type="dxa"/>
            <w:vAlign w:val="bottom"/>
          </w:tcPr>
          <w:p>
            <w:pPr>
              <w:spacing w:after="0" w:line="194" w:lineRule="exact"/>
              <w:rPr>
                <w:sz w:val="20"/>
                <w:szCs w:val="20"/>
                <w:color w:val="auto"/>
              </w:rPr>
            </w:pPr>
            <w:r>
              <w:rPr>
                <w:rFonts w:ascii="Arial" w:cs="Arial" w:eastAsia="Arial" w:hAnsi="Arial"/>
                <w:sz w:val="17"/>
                <w:szCs w:val="17"/>
                <w:color w:val="auto"/>
              </w:rPr>
              <w:t>Foreign currency revaluation gains</w:t>
            </w:r>
          </w:p>
        </w:tc>
        <w:tc>
          <w:tcPr>
            <w:tcW w:w="26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2,403</w:t>
            </w:r>
          </w:p>
        </w:tc>
        <w:tc>
          <w:tcPr>
            <w:tcW w:w="13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723</w:t>
            </w:r>
          </w:p>
        </w:tc>
        <w:tc>
          <w:tcPr>
            <w:tcW w:w="13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1,680</w:t>
            </w:r>
          </w:p>
        </w:tc>
        <w:tc>
          <w:tcPr>
            <w:tcW w:w="1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0.05</w:t>
            </w:r>
          </w:p>
        </w:tc>
      </w:tr>
      <w:tr>
        <w:trPr>
          <w:trHeight w:val="194"/>
        </w:trPr>
        <w:tc>
          <w:tcPr>
            <w:tcW w:w="4860" w:type="dxa"/>
            <w:vAlign w:val="bottom"/>
          </w:tcPr>
          <w:p>
            <w:pPr>
              <w:spacing w:after="0" w:line="194" w:lineRule="exact"/>
              <w:rPr>
                <w:sz w:val="20"/>
                <w:szCs w:val="20"/>
                <w:color w:val="auto"/>
              </w:rPr>
            </w:pPr>
            <w:r>
              <w:rPr>
                <w:rFonts w:ascii="Arial" w:cs="Arial" w:eastAsia="Arial" w:hAnsi="Arial"/>
                <w:sz w:val="17"/>
                <w:szCs w:val="17"/>
                <w:color w:val="auto"/>
              </w:rPr>
              <w:t>Favorable effect of change in income tax rate</w:t>
            </w:r>
          </w:p>
        </w:tc>
        <w:tc>
          <w:tcPr>
            <w:tcW w:w="26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359</w:t>
            </w:r>
          </w:p>
        </w:tc>
        <w:tc>
          <w:tcPr>
            <w:tcW w:w="13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359</w:t>
            </w:r>
          </w:p>
        </w:tc>
        <w:tc>
          <w:tcPr>
            <w:tcW w:w="1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0.01</w:t>
            </w:r>
          </w:p>
        </w:tc>
      </w:tr>
      <w:tr>
        <w:trPr>
          <w:trHeight w:val="194"/>
        </w:trPr>
        <w:tc>
          <w:tcPr>
            <w:tcW w:w="4860" w:type="dxa"/>
            <w:vAlign w:val="bottom"/>
          </w:tcPr>
          <w:p>
            <w:pPr>
              <w:spacing w:after="0" w:line="194" w:lineRule="exact"/>
              <w:rPr>
                <w:sz w:val="20"/>
                <w:szCs w:val="20"/>
                <w:color w:val="auto"/>
              </w:rPr>
            </w:pPr>
            <w:r>
              <w:rPr>
                <w:rFonts w:ascii="Arial" w:cs="Arial" w:eastAsia="Arial" w:hAnsi="Arial"/>
                <w:sz w:val="17"/>
                <w:szCs w:val="17"/>
                <w:color w:val="auto"/>
              </w:rPr>
              <w:t>Net discrete income tax benefit</w:t>
            </w:r>
          </w:p>
        </w:tc>
        <w:tc>
          <w:tcPr>
            <w:tcW w:w="26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3,849</w:t>
            </w:r>
          </w:p>
        </w:tc>
        <w:tc>
          <w:tcPr>
            <w:tcW w:w="13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3,849</w:t>
            </w:r>
          </w:p>
        </w:tc>
        <w:tc>
          <w:tcPr>
            <w:tcW w:w="1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0.12</w:t>
            </w:r>
          </w:p>
        </w:tc>
      </w:tr>
      <w:tr>
        <w:trPr>
          <w:trHeight w:val="194"/>
        </w:trPr>
        <w:tc>
          <w:tcPr>
            <w:tcW w:w="4860" w:type="dxa"/>
            <w:vAlign w:val="bottom"/>
          </w:tcPr>
          <w:p>
            <w:pPr>
              <w:spacing w:after="0" w:line="194" w:lineRule="exact"/>
              <w:rPr>
                <w:sz w:val="20"/>
                <w:szCs w:val="20"/>
                <w:color w:val="auto"/>
              </w:rPr>
            </w:pPr>
            <w:r>
              <w:rPr>
                <w:rFonts w:ascii="Arial" w:cs="Arial" w:eastAsia="Arial" w:hAnsi="Arial"/>
                <w:sz w:val="17"/>
                <w:szCs w:val="17"/>
                <w:color w:val="auto"/>
              </w:rPr>
              <w:t>Favorable effect of applying ASC 606</w:t>
            </w:r>
          </w:p>
        </w:tc>
        <w:tc>
          <w:tcPr>
            <w:tcW w:w="26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1,909</w:t>
            </w:r>
          </w:p>
        </w:tc>
        <w:tc>
          <w:tcPr>
            <w:tcW w:w="13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534*</w:t>
            </w:r>
          </w:p>
        </w:tc>
        <w:tc>
          <w:tcPr>
            <w:tcW w:w="1300" w:type="dxa"/>
            <w:vAlign w:val="bottom"/>
          </w:tcPr>
          <w:p>
            <w:pPr>
              <w:jc w:val="right"/>
              <w:ind w:right="94"/>
              <w:spacing w:after="0" w:line="194" w:lineRule="exact"/>
              <w:rPr>
                <w:sz w:val="20"/>
                <w:szCs w:val="20"/>
                <w:color w:val="auto"/>
              </w:rPr>
            </w:pPr>
            <w:r>
              <w:rPr>
                <w:rFonts w:ascii="Arial" w:cs="Arial" w:eastAsia="Arial" w:hAnsi="Arial"/>
                <w:sz w:val="17"/>
                <w:szCs w:val="17"/>
                <w:color w:val="auto"/>
              </w:rPr>
              <w:t>1,375</w:t>
            </w:r>
          </w:p>
        </w:tc>
        <w:tc>
          <w:tcPr>
            <w:tcW w:w="1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0.04</w:t>
            </w:r>
          </w:p>
        </w:tc>
      </w:tr>
      <w:tr>
        <w:trPr>
          <w:trHeight w:val="199"/>
        </w:trPr>
        <w:tc>
          <w:tcPr>
            <w:tcW w:w="4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 includes tax and noncontrolling interest effects</w:t>
            </w:r>
          </w:p>
        </w:tc>
        <w:tc>
          <w:tcPr>
            <w:tcW w:w="26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Three months ended June 30, 2017</w:t>
            </w:r>
          </w:p>
        </w:tc>
        <w:tc>
          <w:tcPr>
            <w:tcW w:w="2220" w:type="dxa"/>
            <w:vAlign w:val="bottom"/>
            <w:tcBorders>
              <w:top w:val="single" w:sz="8" w:color="auto"/>
            </w:tcBorders>
          </w:tcPr>
          <w:p>
            <w:pPr>
              <w:jc w:val="right"/>
              <w:ind w:right="554"/>
              <w:spacing w:after="0" w:line="184" w:lineRule="exact"/>
              <w:rPr>
                <w:sz w:val="20"/>
                <w:szCs w:val="20"/>
                <w:color w:val="auto"/>
              </w:rPr>
            </w:pPr>
            <w:r>
              <w:rPr>
                <w:rFonts w:ascii="Arial" w:cs="Arial" w:eastAsia="Arial" w:hAnsi="Arial"/>
                <w:sz w:val="17"/>
                <w:szCs w:val="17"/>
                <w:b w:val="1"/>
                <w:bCs w:val="1"/>
                <w:color w:val="auto"/>
              </w:rPr>
              <w:t>Pre tax</w:t>
            </w:r>
          </w:p>
        </w:tc>
        <w:tc>
          <w:tcPr>
            <w:tcW w:w="1260" w:type="dxa"/>
            <w:vAlign w:val="bottom"/>
            <w:tcBorders>
              <w:top w:val="single" w:sz="8" w:color="auto"/>
            </w:tcBorders>
          </w:tcPr>
          <w:p>
            <w:pPr>
              <w:jc w:val="right"/>
              <w:ind w:right="574"/>
              <w:spacing w:after="0" w:line="184" w:lineRule="exact"/>
              <w:rPr>
                <w:sz w:val="20"/>
                <w:szCs w:val="20"/>
                <w:color w:val="auto"/>
              </w:rPr>
            </w:pPr>
            <w:r>
              <w:rPr>
                <w:rFonts w:ascii="Arial" w:cs="Arial" w:eastAsia="Arial" w:hAnsi="Arial"/>
                <w:sz w:val="17"/>
                <w:szCs w:val="17"/>
                <w:b w:val="1"/>
                <w:bCs w:val="1"/>
                <w:color w:val="auto"/>
              </w:rPr>
              <w:t>Tax</w:t>
            </w:r>
          </w:p>
        </w:tc>
        <w:tc>
          <w:tcPr>
            <w:tcW w:w="1160" w:type="dxa"/>
            <w:vAlign w:val="bottom"/>
            <w:tcBorders>
              <w:top w:val="single" w:sz="8" w:color="auto"/>
            </w:tcBorders>
          </w:tcPr>
          <w:p>
            <w:pPr>
              <w:jc w:val="right"/>
              <w:ind w:right="274"/>
              <w:spacing w:after="0" w:line="184" w:lineRule="exact"/>
              <w:rPr>
                <w:sz w:val="20"/>
                <w:szCs w:val="20"/>
                <w:color w:val="auto"/>
              </w:rPr>
            </w:pPr>
            <w:r>
              <w:rPr>
                <w:rFonts w:ascii="Arial" w:cs="Arial" w:eastAsia="Arial" w:hAnsi="Arial"/>
                <w:sz w:val="17"/>
                <w:szCs w:val="17"/>
                <w:b w:val="1"/>
                <w:bCs w:val="1"/>
                <w:color w:val="auto"/>
              </w:rPr>
              <w:t>After tax</w:t>
            </w:r>
          </w:p>
        </w:tc>
        <w:tc>
          <w:tcPr>
            <w:tcW w:w="1220" w:type="dxa"/>
            <w:vAlign w:val="bottom"/>
            <w:tcBorders>
              <w:top w:val="single" w:sz="8" w:color="auto"/>
            </w:tcBorders>
          </w:tcPr>
          <w:p>
            <w:pPr>
              <w:jc w:val="right"/>
              <w:ind w:right="194"/>
              <w:spacing w:after="0" w:line="184" w:lineRule="exact"/>
              <w:rPr>
                <w:sz w:val="20"/>
                <w:szCs w:val="20"/>
                <w:color w:val="auto"/>
              </w:rPr>
            </w:pPr>
            <w:r>
              <w:rPr>
                <w:rFonts w:ascii="Arial" w:cs="Arial" w:eastAsia="Arial" w:hAnsi="Arial"/>
                <w:sz w:val="17"/>
                <w:szCs w:val="17"/>
                <w:b w:val="1"/>
                <w:bCs w:val="1"/>
                <w:color w:val="auto"/>
              </w:rPr>
              <w:t>Per Share</w:t>
            </w:r>
          </w:p>
        </w:tc>
        <w:tc>
          <w:tcPr>
            <w:tcW w:w="20" w:type="dxa"/>
            <w:vAlign w:val="bottom"/>
          </w:tcPr>
          <w:p>
            <w:pPr>
              <w:spacing w:after="0"/>
              <w:rPr>
                <w:sz w:val="15"/>
                <w:szCs w:val="15"/>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b w:val="1"/>
                <w:bCs w:val="1"/>
                <w:color w:val="auto"/>
              </w:rPr>
              <w:t>(in thousands, except per share amounts)</w:t>
            </w:r>
          </w:p>
        </w:tc>
        <w:tc>
          <w:tcPr>
            <w:tcW w:w="2220" w:type="dxa"/>
            <w:vAlign w:val="bottom"/>
          </w:tcPr>
          <w:p>
            <w:pPr>
              <w:jc w:val="right"/>
              <w:ind w:right="454"/>
              <w:spacing w:after="0"/>
              <w:rPr>
                <w:sz w:val="20"/>
                <w:szCs w:val="20"/>
                <w:color w:val="auto"/>
              </w:rPr>
            </w:pPr>
            <w:r>
              <w:rPr>
                <w:rFonts w:ascii="Arial" w:cs="Arial" w:eastAsia="Arial" w:hAnsi="Arial"/>
                <w:sz w:val="17"/>
                <w:szCs w:val="17"/>
                <w:b w:val="1"/>
                <w:bCs w:val="1"/>
                <w:color w:val="auto"/>
              </w:rPr>
              <w:t>Amounts</w:t>
            </w:r>
          </w:p>
        </w:tc>
        <w:tc>
          <w:tcPr>
            <w:tcW w:w="1260" w:type="dxa"/>
            <w:vAlign w:val="bottom"/>
          </w:tcPr>
          <w:p>
            <w:pPr>
              <w:jc w:val="right"/>
              <w:ind w:right="474"/>
              <w:spacing w:after="0"/>
              <w:rPr>
                <w:sz w:val="20"/>
                <w:szCs w:val="20"/>
                <w:color w:val="auto"/>
              </w:rPr>
            </w:pPr>
            <w:r>
              <w:rPr>
                <w:rFonts w:ascii="Arial" w:cs="Arial" w:eastAsia="Arial" w:hAnsi="Arial"/>
                <w:sz w:val="17"/>
                <w:szCs w:val="17"/>
                <w:b w:val="1"/>
                <w:bCs w:val="1"/>
                <w:color w:val="auto"/>
              </w:rPr>
              <w:t>Effect</w:t>
            </w:r>
          </w:p>
        </w:tc>
        <w:tc>
          <w:tcPr>
            <w:tcW w:w="1160" w:type="dxa"/>
            <w:vAlign w:val="bottom"/>
          </w:tcPr>
          <w:p>
            <w:pPr>
              <w:jc w:val="right"/>
              <w:ind w:right="394"/>
              <w:spacing w:after="0"/>
              <w:rPr>
                <w:sz w:val="20"/>
                <w:szCs w:val="20"/>
                <w:color w:val="auto"/>
              </w:rPr>
            </w:pPr>
            <w:r>
              <w:rPr>
                <w:rFonts w:ascii="Arial" w:cs="Arial" w:eastAsia="Arial" w:hAnsi="Arial"/>
                <w:sz w:val="17"/>
                <w:szCs w:val="17"/>
                <w:b w:val="1"/>
                <w:bCs w:val="1"/>
                <w:color w:val="auto"/>
              </w:rPr>
              <w:t>Effect</w:t>
            </w:r>
          </w:p>
        </w:tc>
        <w:tc>
          <w:tcPr>
            <w:tcW w:w="12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Effect</w:t>
            </w:r>
          </w:p>
        </w:tc>
      </w:tr>
      <w:tr>
        <w:trPr>
          <w:trHeight w:val="186"/>
        </w:trPr>
        <w:tc>
          <w:tcPr>
            <w:tcW w:w="556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Restructuring expenses, net</w:t>
            </w:r>
          </w:p>
        </w:tc>
        <w:tc>
          <w:tcPr>
            <w:tcW w:w="2220" w:type="dxa"/>
            <w:vAlign w:val="bottom"/>
            <w:tcBorders>
              <w:top w:val="single" w:sz="8" w:color="auto"/>
            </w:tcBorders>
          </w:tcPr>
          <w:p>
            <w:pPr>
              <w:jc w:val="right"/>
              <w:ind w:right="134"/>
              <w:spacing w:after="0" w:line="185" w:lineRule="exact"/>
              <w:rPr>
                <w:sz w:val="20"/>
                <w:szCs w:val="20"/>
                <w:color w:val="auto"/>
              </w:rPr>
            </w:pPr>
            <w:r>
              <w:rPr>
                <w:rFonts w:ascii="Arial" w:cs="Arial" w:eastAsia="Arial" w:hAnsi="Arial"/>
                <w:sz w:val="17"/>
                <w:szCs w:val="17"/>
                <w:color w:val="auto"/>
              </w:rPr>
              <w:t>$2,036</w:t>
            </w:r>
          </w:p>
        </w:tc>
        <w:tc>
          <w:tcPr>
            <w:tcW w:w="1260" w:type="dxa"/>
            <w:vAlign w:val="bottom"/>
            <w:tcBorders>
              <w:top w:val="single" w:sz="8" w:color="auto"/>
            </w:tcBorders>
          </w:tcPr>
          <w:p>
            <w:pPr>
              <w:jc w:val="right"/>
              <w:ind w:right="34"/>
              <w:spacing w:after="0" w:line="185" w:lineRule="exact"/>
              <w:rPr>
                <w:sz w:val="20"/>
                <w:szCs w:val="20"/>
                <w:color w:val="auto"/>
              </w:rPr>
            </w:pPr>
            <w:r>
              <w:rPr>
                <w:rFonts w:ascii="Arial" w:cs="Arial" w:eastAsia="Arial" w:hAnsi="Arial"/>
                <w:sz w:val="17"/>
                <w:szCs w:val="17"/>
                <w:color w:val="auto"/>
              </w:rPr>
              <w:t>$739</w:t>
            </w:r>
          </w:p>
        </w:tc>
        <w:tc>
          <w:tcPr>
            <w:tcW w:w="1160" w:type="dxa"/>
            <w:vAlign w:val="bottom"/>
            <w:tcBorders>
              <w:top w:val="single" w:sz="8" w:color="auto"/>
            </w:tcBorders>
          </w:tcPr>
          <w:p>
            <w:pPr>
              <w:jc w:val="right"/>
              <w:ind w:right="54"/>
              <w:spacing w:after="0" w:line="185" w:lineRule="exact"/>
              <w:rPr>
                <w:sz w:val="20"/>
                <w:szCs w:val="20"/>
                <w:color w:val="auto"/>
              </w:rPr>
            </w:pPr>
            <w:r>
              <w:rPr>
                <w:rFonts w:ascii="Arial" w:cs="Arial" w:eastAsia="Arial" w:hAnsi="Arial"/>
                <w:sz w:val="17"/>
                <w:szCs w:val="17"/>
                <w:color w:val="auto"/>
              </w:rPr>
              <w:t>$1,297</w:t>
            </w:r>
          </w:p>
        </w:tc>
        <w:tc>
          <w:tcPr>
            <w:tcW w:w="122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$0.04</w:t>
            </w:r>
          </w:p>
        </w:tc>
        <w:tc>
          <w:tcPr>
            <w:tcW w:w="20" w:type="dxa"/>
            <w:vAlign w:val="bottom"/>
          </w:tcPr>
          <w:p>
            <w:pPr>
              <w:spacing w:after="0"/>
              <w:rPr>
                <w:sz w:val="16"/>
                <w:szCs w:val="16"/>
                <w:color w:val="auto"/>
              </w:rPr>
            </w:pPr>
          </w:p>
        </w:tc>
      </w:tr>
      <w:tr>
        <w:trPr>
          <w:trHeight w:val="194"/>
        </w:trPr>
        <w:tc>
          <w:tcPr>
            <w:tcW w:w="5560" w:type="dxa"/>
            <w:vAlign w:val="bottom"/>
          </w:tcPr>
          <w:p>
            <w:pPr>
              <w:spacing w:after="0" w:line="194" w:lineRule="exact"/>
              <w:rPr>
                <w:sz w:val="20"/>
                <w:szCs w:val="20"/>
                <w:color w:val="auto"/>
              </w:rPr>
            </w:pPr>
            <w:r>
              <w:rPr>
                <w:rFonts w:ascii="Arial" w:cs="Arial" w:eastAsia="Arial" w:hAnsi="Arial"/>
                <w:sz w:val="17"/>
                <w:szCs w:val="17"/>
                <w:color w:val="auto"/>
              </w:rPr>
              <w:t>Foreign currency revaluation losses</w:t>
            </w:r>
          </w:p>
        </w:tc>
        <w:tc>
          <w:tcPr>
            <w:tcW w:w="22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3,537</w:t>
            </w:r>
          </w:p>
        </w:tc>
        <w:tc>
          <w:tcPr>
            <w:tcW w:w="12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1,284</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2,253</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0.07</w:t>
            </w:r>
          </w:p>
        </w:tc>
      </w:tr>
      <w:tr>
        <w:trPr>
          <w:trHeight w:val="194"/>
        </w:trPr>
        <w:tc>
          <w:tcPr>
            <w:tcW w:w="5560" w:type="dxa"/>
            <w:vAlign w:val="bottom"/>
          </w:tcPr>
          <w:p>
            <w:pPr>
              <w:spacing w:after="0" w:line="194" w:lineRule="exact"/>
              <w:rPr>
                <w:sz w:val="20"/>
                <w:szCs w:val="20"/>
                <w:color w:val="auto"/>
              </w:rPr>
            </w:pPr>
            <w:r>
              <w:rPr>
                <w:rFonts w:ascii="Arial" w:cs="Arial" w:eastAsia="Arial" w:hAnsi="Arial"/>
                <w:sz w:val="17"/>
                <w:szCs w:val="17"/>
                <w:color w:val="auto"/>
              </w:rPr>
              <w:t>Unfavorable effect of change in income tax rate</w:t>
            </w:r>
          </w:p>
        </w:tc>
        <w:tc>
          <w:tcPr>
            <w:tcW w:w="22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36</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36</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0.00</w:t>
            </w:r>
          </w:p>
        </w:tc>
      </w:tr>
      <w:tr>
        <w:trPr>
          <w:trHeight w:val="194"/>
        </w:trPr>
        <w:tc>
          <w:tcPr>
            <w:tcW w:w="5560" w:type="dxa"/>
            <w:vAlign w:val="bottom"/>
          </w:tcPr>
          <w:p>
            <w:pPr>
              <w:spacing w:after="0" w:line="194" w:lineRule="exact"/>
              <w:rPr>
                <w:sz w:val="20"/>
                <w:szCs w:val="20"/>
                <w:color w:val="auto"/>
              </w:rPr>
            </w:pPr>
            <w:r>
              <w:rPr>
                <w:rFonts w:ascii="Arial" w:cs="Arial" w:eastAsia="Arial" w:hAnsi="Arial"/>
                <w:sz w:val="17"/>
                <w:szCs w:val="17"/>
                <w:color w:val="auto"/>
              </w:rPr>
              <w:t>Net discrete income tax charge</w:t>
            </w:r>
          </w:p>
        </w:tc>
        <w:tc>
          <w:tcPr>
            <w:tcW w:w="22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754</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754</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0.02</w:t>
            </w:r>
          </w:p>
        </w:tc>
      </w:tr>
      <w:tr>
        <w:trPr>
          <w:trHeight w:val="194"/>
        </w:trPr>
        <w:tc>
          <w:tcPr>
            <w:tcW w:w="556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Charge for revision to estimated profitability of AEC contracts</w:t>
            </w:r>
          </w:p>
        </w:tc>
        <w:tc>
          <w:tcPr>
            <w:tcW w:w="2220" w:type="dxa"/>
            <w:vAlign w:val="bottom"/>
            <w:tcBorders>
              <w:bottom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15,821</w:t>
            </w:r>
          </w:p>
        </w:tc>
        <w:tc>
          <w:tcPr>
            <w:tcW w:w="1260" w:type="dxa"/>
            <w:vAlign w:val="bottom"/>
            <w:tcBorders>
              <w:bottom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rPr>
              <w:t>5,854</w:t>
            </w:r>
          </w:p>
        </w:tc>
        <w:tc>
          <w:tcPr>
            <w:tcW w:w="1160" w:type="dxa"/>
            <w:vAlign w:val="bottom"/>
            <w:tcBorders>
              <w:bottom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9,967</w:t>
            </w:r>
          </w:p>
        </w:tc>
        <w:tc>
          <w:tcPr>
            <w:tcW w:w="124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0.31</w:t>
            </w: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Six months ended June 30, 2018</w:t>
            </w:r>
          </w:p>
        </w:tc>
        <w:tc>
          <w:tcPr>
            <w:tcW w:w="2740" w:type="dxa"/>
            <w:vAlign w:val="bottom"/>
            <w:tcBorders>
              <w:top w:val="single" w:sz="8" w:color="auto"/>
            </w:tcBorders>
          </w:tcPr>
          <w:p>
            <w:pPr>
              <w:jc w:val="right"/>
              <w:ind w:right="554"/>
              <w:spacing w:after="0" w:line="184" w:lineRule="exact"/>
              <w:rPr>
                <w:sz w:val="20"/>
                <w:szCs w:val="20"/>
                <w:color w:val="auto"/>
              </w:rPr>
            </w:pPr>
            <w:r>
              <w:rPr>
                <w:rFonts w:ascii="Arial" w:cs="Arial" w:eastAsia="Arial" w:hAnsi="Arial"/>
                <w:sz w:val="17"/>
                <w:szCs w:val="17"/>
                <w:b w:val="1"/>
                <w:bCs w:val="1"/>
                <w:color w:val="auto"/>
              </w:rPr>
              <w:t>Pre tax</w:t>
            </w:r>
          </w:p>
        </w:tc>
        <w:tc>
          <w:tcPr>
            <w:tcW w:w="1260" w:type="dxa"/>
            <w:vAlign w:val="bottom"/>
            <w:tcBorders>
              <w:top w:val="single" w:sz="8" w:color="auto"/>
            </w:tcBorders>
          </w:tcPr>
          <w:p>
            <w:pPr>
              <w:jc w:val="right"/>
              <w:ind w:right="574"/>
              <w:spacing w:after="0" w:line="184" w:lineRule="exact"/>
              <w:rPr>
                <w:sz w:val="20"/>
                <w:szCs w:val="20"/>
                <w:color w:val="auto"/>
              </w:rPr>
            </w:pPr>
            <w:r>
              <w:rPr>
                <w:rFonts w:ascii="Arial" w:cs="Arial" w:eastAsia="Arial" w:hAnsi="Arial"/>
                <w:sz w:val="17"/>
                <w:szCs w:val="17"/>
                <w:b w:val="1"/>
                <w:bCs w:val="1"/>
                <w:color w:val="auto"/>
              </w:rPr>
              <w:t>Tax</w:t>
            </w:r>
          </w:p>
        </w:tc>
        <w:tc>
          <w:tcPr>
            <w:tcW w:w="1160" w:type="dxa"/>
            <w:vAlign w:val="bottom"/>
            <w:tcBorders>
              <w:top w:val="single" w:sz="8" w:color="auto"/>
            </w:tcBorders>
          </w:tcPr>
          <w:p>
            <w:pPr>
              <w:jc w:val="right"/>
              <w:ind w:right="274"/>
              <w:spacing w:after="0" w:line="184" w:lineRule="exact"/>
              <w:rPr>
                <w:sz w:val="20"/>
                <w:szCs w:val="20"/>
                <w:color w:val="auto"/>
              </w:rPr>
            </w:pPr>
            <w:r>
              <w:rPr>
                <w:rFonts w:ascii="Arial" w:cs="Arial" w:eastAsia="Arial" w:hAnsi="Arial"/>
                <w:sz w:val="17"/>
                <w:szCs w:val="17"/>
                <w:b w:val="1"/>
                <w:bCs w:val="1"/>
                <w:color w:val="auto"/>
              </w:rPr>
              <w:t>After tax</w:t>
            </w:r>
          </w:p>
        </w:tc>
        <w:tc>
          <w:tcPr>
            <w:tcW w:w="1220" w:type="dxa"/>
            <w:vAlign w:val="bottom"/>
            <w:tcBorders>
              <w:top w:val="single" w:sz="8" w:color="auto"/>
            </w:tcBorders>
          </w:tcPr>
          <w:p>
            <w:pPr>
              <w:jc w:val="right"/>
              <w:ind w:right="194"/>
              <w:spacing w:after="0" w:line="184" w:lineRule="exact"/>
              <w:rPr>
                <w:sz w:val="20"/>
                <w:szCs w:val="20"/>
                <w:color w:val="auto"/>
              </w:rPr>
            </w:pPr>
            <w:r>
              <w:rPr>
                <w:rFonts w:ascii="Arial" w:cs="Arial" w:eastAsia="Arial" w:hAnsi="Arial"/>
                <w:sz w:val="17"/>
                <w:szCs w:val="17"/>
                <w:b w:val="1"/>
                <w:bCs w:val="1"/>
                <w:color w:val="auto"/>
              </w:rPr>
              <w:t>Per Share</w:t>
            </w:r>
          </w:p>
        </w:tc>
        <w:tc>
          <w:tcPr>
            <w:tcW w:w="20" w:type="dxa"/>
            <w:vAlign w:val="bottom"/>
          </w:tcPr>
          <w:p>
            <w:pPr>
              <w:spacing w:after="0"/>
              <w:rPr>
                <w:sz w:val="15"/>
                <w:szCs w:val="15"/>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7"/>
                <w:szCs w:val="17"/>
                <w:b w:val="1"/>
                <w:bCs w:val="1"/>
                <w:color w:val="auto"/>
              </w:rPr>
              <w:t>(in thousands, except per share amounts)</w:t>
            </w:r>
          </w:p>
        </w:tc>
        <w:tc>
          <w:tcPr>
            <w:tcW w:w="2740" w:type="dxa"/>
            <w:vAlign w:val="bottom"/>
          </w:tcPr>
          <w:p>
            <w:pPr>
              <w:jc w:val="right"/>
              <w:ind w:right="454"/>
              <w:spacing w:after="0"/>
              <w:rPr>
                <w:sz w:val="20"/>
                <w:szCs w:val="20"/>
                <w:color w:val="auto"/>
              </w:rPr>
            </w:pPr>
            <w:r>
              <w:rPr>
                <w:rFonts w:ascii="Arial" w:cs="Arial" w:eastAsia="Arial" w:hAnsi="Arial"/>
                <w:sz w:val="17"/>
                <w:szCs w:val="17"/>
                <w:b w:val="1"/>
                <w:bCs w:val="1"/>
                <w:color w:val="auto"/>
              </w:rPr>
              <w:t>Amounts</w:t>
            </w:r>
          </w:p>
        </w:tc>
        <w:tc>
          <w:tcPr>
            <w:tcW w:w="1260" w:type="dxa"/>
            <w:vAlign w:val="bottom"/>
          </w:tcPr>
          <w:p>
            <w:pPr>
              <w:jc w:val="right"/>
              <w:ind w:right="474"/>
              <w:spacing w:after="0"/>
              <w:rPr>
                <w:sz w:val="20"/>
                <w:szCs w:val="20"/>
                <w:color w:val="auto"/>
              </w:rPr>
            </w:pPr>
            <w:r>
              <w:rPr>
                <w:rFonts w:ascii="Arial" w:cs="Arial" w:eastAsia="Arial" w:hAnsi="Arial"/>
                <w:sz w:val="17"/>
                <w:szCs w:val="17"/>
                <w:b w:val="1"/>
                <w:bCs w:val="1"/>
                <w:color w:val="auto"/>
              </w:rPr>
              <w:t>Effect</w:t>
            </w:r>
          </w:p>
        </w:tc>
        <w:tc>
          <w:tcPr>
            <w:tcW w:w="1160" w:type="dxa"/>
            <w:vAlign w:val="bottom"/>
          </w:tcPr>
          <w:p>
            <w:pPr>
              <w:jc w:val="right"/>
              <w:ind w:right="394"/>
              <w:spacing w:after="0"/>
              <w:rPr>
                <w:sz w:val="20"/>
                <w:szCs w:val="20"/>
                <w:color w:val="auto"/>
              </w:rPr>
            </w:pPr>
            <w:r>
              <w:rPr>
                <w:rFonts w:ascii="Arial" w:cs="Arial" w:eastAsia="Arial" w:hAnsi="Arial"/>
                <w:sz w:val="17"/>
                <w:szCs w:val="17"/>
                <w:b w:val="1"/>
                <w:bCs w:val="1"/>
                <w:color w:val="auto"/>
              </w:rPr>
              <w:t>Effect</w:t>
            </w:r>
          </w:p>
        </w:tc>
        <w:tc>
          <w:tcPr>
            <w:tcW w:w="12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Effect</w:t>
            </w:r>
          </w:p>
        </w:tc>
      </w:tr>
      <w:tr>
        <w:trPr>
          <w:trHeight w:val="186"/>
        </w:trPr>
        <w:tc>
          <w:tcPr>
            <w:tcW w:w="504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Restructuring expenses, net</w:t>
            </w:r>
          </w:p>
        </w:tc>
        <w:tc>
          <w:tcPr>
            <w:tcW w:w="2740" w:type="dxa"/>
            <w:vAlign w:val="bottom"/>
            <w:tcBorders>
              <w:top w:val="single" w:sz="8" w:color="auto"/>
            </w:tcBorders>
          </w:tcPr>
          <w:p>
            <w:pPr>
              <w:jc w:val="right"/>
              <w:ind w:right="134"/>
              <w:spacing w:after="0" w:line="185" w:lineRule="exact"/>
              <w:rPr>
                <w:sz w:val="20"/>
                <w:szCs w:val="20"/>
                <w:color w:val="auto"/>
              </w:rPr>
            </w:pPr>
            <w:r>
              <w:rPr>
                <w:rFonts w:ascii="Arial" w:cs="Arial" w:eastAsia="Arial" w:hAnsi="Arial"/>
                <w:sz w:val="17"/>
                <w:szCs w:val="17"/>
                <w:color w:val="auto"/>
              </w:rPr>
              <w:t>$11,162</w:t>
            </w:r>
          </w:p>
        </w:tc>
        <w:tc>
          <w:tcPr>
            <w:tcW w:w="1260" w:type="dxa"/>
            <w:vAlign w:val="bottom"/>
            <w:tcBorders>
              <w:top w:val="single" w:sz="8" w:color="auto"/>
            </w:tcBorders>
          </w:tcPr>
          <w:p>
            <w:pPr>
              <w:jc w:val="right"/>
              <w:ind w:right="34"/>
              <w:spacing w:after="0" w:line="185" w:lineRule="exact"/>
              <w:rPr>
                <w:sz w:val="20"/>
                <w:szCs w:val="20"/>
                <w:color w:val="auto"/>
              </w:rPr>
            </w:pPr>
            <w:r>
              <w:rPr>
                <w:rFonts w:ascii="Arial" w:cs="Arial" w:eastAsia="Arial" w:hAnsi="Arial"/>
                <w:sz w:val="17"/>
                <w:szCs w:val="17"/>
                <w:color w:val="auto"/>
              </w:rPr>
              <w:t>$3,565</w:t>
            </w:r>
          </w:p>
        </w:tc>
        <w:tc>
          <w:tcPr>
            <w:tcW w:w="1160" w:type="dxa"/>
            <w:vAlign w:val="bottom"/>
            <w:tcBorders>
              <w:top w:val="single" w:sz="8" w:color="auto"/>
            </w:tcBorders>
          </w:tcPr>
          <w:p>
            <w:pPr>
              <w:jc w:val="right"/>
              <w:ind w:right="54"/>
              <w:spacing w:after="0" w:line="185" w:lineRule="exact"/>
              <w:rPr>
                <w:sz w:val="20"/>
                <w:szCs w:val="20"/>
                <w:color w:val="auto"/>
              </w:rPr>
            </w:pPr>
            <w:r>
              <w:rPr>
                <w:rFonts w:ascii="Arial" w:cs="Arial" w:eastAsia="Arial" w:hAnsi="Arial"/>
                <w:sz w:val="17"/>
                <w:szCs w:val="17"/>
                <w:color w:val="auto"/>
              </w:rPr>
              <w:t>$7,597</w:t>
            </w:r>
          </w:p>
        </w:tc>
        <w:tc>
          <w:tcPr>
            <w:tcW w:w="122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$0.24</w:t>
            </w:r>
          </w:p>
        </w:tc>
        <w:tc>
          <w:tcPr>
            <w:tcW w:w="20" w:type="dxa"/>
            <w:vAlign w:val="bottom"/>
          </w:tcPr>
          <w:p>
            <w:pPr>
              <w:spacing w:after="0"/>
              <w:rPr>
                <w:sz w:val="16"/>
                <w:szCs w:val="16"/>
                <w:color w:val="auto"/>
              </w:rPr>
            </w:pPr>
          </w:p>
        </w:tc>
      </w:tr>
      <w:tr>
        <w:trPr>
          <w:trHeight w:val="194"/>
        </w:trPr>
        <w:tc>
          <w:tcPr>
            <w:tcW w:w="5040" w:type="dxa"/>
            <w:vAlign w:val="bottom"/>
          </w:tcPr>
          <w:p>
            <w:pPr>
              <w:spacing w:after="0" w:line="194" w:lineRule="exact"/>
              <w:rPr>
                <w:sz w:val="20"/>
                <w:szCs w:val="20"/>
                <w:color w:val="auto"/>
              </w:rPr>
            </w:pPr>
            <w:r>
              <w:rPr>
                <w:rFonts w:ascii="Arial" w:cs="Arial" w:eastAsia="Arial" w:hAnsi="Arial"/>
                <w:sz w:val="17"/>
                <w:szCs w:val="17"/>
                <w:color w:val="auto"/>
              </w:rPr>
              <w:t>Foreign currency revaluation gains</w:t>
            </w:r>
          </w:p>
        </w:tc>
        <w:tc>
          <w:tcPr>
            <w:tcW w:w="27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13</w:t>
            </w:r>
          </w:p>
        </w:tc>
        <w:tc>
          <w:tcPr>
            <w:tcW w:w="12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54</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67</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0.00</w:t>
            </w:r>
          </w:p>
        </w:tc>
      </w:tr>
      <w:tr>
        <w:trPr>
          <w:trHeight w:val="194"/>
        </w:trPr>
        <w:tc>
          <w:tcPr>
            <w:tcW w:w="5040" w:type="dxa"/>
            <w:vAlign w:val="bottom"/>
          </w:tcPr>
          <w:p>
            <w:pPr>
              <w:spacing w:after="0" w:line="194" w:lineRule="exact"/>
              <w:rPr>
                <w:sz w:val="20"/>
                <w:szCs w:val="20"/>
                <w:color w:val="auto"/>
              </w:rPr>
            </w:pPr>
            <w:r>
              <w:rPr>
                <w:rFonts w:ascii="Arial" w:cs="Arial" w:eastAsia="Arial" w:hAnsi="Arial"/>
                <w:sz w:val="17"/>
                <w:szCs w:val="17"/>
                <w:color w:val="auto"/>
              </w:rPr>
              <w:t>Net discrete income tax charge</w:t>
            </w:r>
          </w:p>
        </w:tc>
        <w:tc>
          <w:tcPr>
            <w:tcW w:w="27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4,139</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4,139</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0.13</w:t>
            </w:r>
          </w:p>
        </w:tc>
      </w:tr>
      <w:tr>
        <w:trPr>
          <w:trHeight w:val="194"/>
        </w:trPr>
        <w:tc>
          <w:tcPr>
            <w:tcW w:w="5040" w:type="dxa"/>
            <w:vAlign w:val="bottom"/>
          </w:tcPr>
          <w:p>
            <w:pPr>
              <w:spacing w:after="0" w:line="194" w:lineRule="exact"/>
              <w:rPr>
                <w:sz w:val="20"/>
                <w:szCs w:val="20"/>
                <w:color w:val="auto"/>
              </w:rPr>
            </w:pPr>
            <w:r>
              <w:rPr>
                <w:rFonts w:ascii="Arial" w:cs="Arial" w:eastAsia="Arial" w:hAnsi="Arial"/>
                <w:sz w:val="17"/>
                <w:szCs w:val="17"/>
                <w:color w:val="auto"/>
              </w:rPr>
              <w:t>Favorable effect of applying ASC 606</w:t>
            </w:r>
          </w:p>
        </w:tc>
        <w:tc>
          <w:tcPr>
            <w:tcW w:w="27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3,757</w:t>
            </w:r>
          </w:p>
        </w:tc>
        <w:tc>
          <w:tcPr>
            <w:tcW w:w="1260" w:type="dxa"/>
            <w:vAlign w:val="bottom"/>
          </w:tcPr>
          <w:p>
            <w:pPr>
              <w:jc w:val="right"/>
              <w:ind w:right="74"/>
              <w:spacing w:after="0" w:line="194" w:lineRule="exact"/>
              <w:rPr>
                <w:sz w:val="20"/>
                <w:szCs w:val="20"/>
                <w:color w:val="auto"/>
              </w:rPr>
            </w:pPr>
            <w:r>
              <w:rPr>
                <w:rFonts w:ascii="Arial" w:cs="Arial" w:eastAsia="Arial" w:hAnsi="Arial"/>
                <w:sz w:val="17"/>
                <w:szCs w:val="17"/>
                <w:color w:val="auto"/>
              </w:rPr>
              <w:t>1192*</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2,565</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0.08</w:t>
            </w:r>
          </w:p>
        </w:tc>
      </w:tr>
      <w:tr>
        <w:trPr>
          <w:trHeight w:val="199"/>
        </w:trPr>
        <w:tc>
          <w:tcPr>
            <w:tcW w:w="5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*includes tax and noncontrolling interest effects</w:t>
            </w:r>
          </w:p>
        </w:tc>
        <w:tc>
          <w:tcPr>
            <w:tcW w:w="27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Six months ended June 30, 2017</w:t>
            </w:r>
          </w:p>
        </w:tc>
        <w:tc>
          <w:tcPr>
            <w:tcW w:w="2220" w:type="dxa"/>
            <w:vAlign w:val="bottom"/>
            <w:tcBorders>
              <w:top w:val="single" w:sz="8" w:color="auto"/>
            </w:tcBorders>
          </w:tcPr>
          <w:p>
            <w:pPr>
              <w:jc w:val="right"/>
              <w:ind w:right="554"/>
              <w:spacing w:after="0" w:line="184" w:lineRule="exact"/>
              <w:rPr>
                <w:sz w:val="20"/>
                <w:szCs w:val="20"/>
                <w:color w:val="auto"/>
              </w:rPr>
            </w:pPr>
            <w:r>
              <w:rPr>
                <w:rFonts w:ascii="Arial" w:cs="Arial" w:eastAsia="Arial" w:hAnsi="Arial"/>
                <w:sz w:val="17"/>
                <w:szCs w:val="17"/>
                <w:b w:val="1"/>
                <w:bCs w:val="1"/>
                <w:color w:val="auto"/>
              </w:rPr>
              <w:t>Pre tax</w:t>
            </w:r>
          </w:p>
        </w:tc>
        <w:tc>
          <w:tcPr>
            <w:tcW w:w="1260" w:type="dxa"/>
            <w:vAlign w:val="bottom"/>
            <w:tcBorders>
              <w:top w:val="single" w:sz="8" w:color="auto"/>
            </w:tcBorders>
          </w:tcPr>
          <w:p>
            <w:pPr>
              <w:jc w:val="right"/>
              <w:ind w:right="574"/>
              <w:spacing w:after="0" w:line="184" w:lineRule="exact"/>
              <w:rPr>
                <w:sz w:val="20"/>
                <w:szCs w:val="20"/>
                <w:color w:val="auto"/>
              </w:rPr>
            </w:pPr>
            <w:r>
              <w:rPr>
                <w:rFonts w:ascii="Arial" w:cs="Arial" w:eastAsia="Arial" w:hAnsi="Arial"/>
                <w:sz w:val="17"/>
                <w:szCs w:val="17"/>
                <w:b w:val="1"/>
                <w:bCs w:val="1"/>
                <w:color w:val="auto"/>
              </w:rPr>
              <w:t>Tax</w:t>
            </w:r>
          </w:p>
        </w:tc>
        <w:tc>
          <w:tcPr>
            <w:tcW w:w="1160" w:type="dxa"/>
            <w:vAlign w:val="bottom"/>
            <w:tcBorders>
              <w:top w:val="single" w:sz="8" w:color="auto"/>
            </w:tcBorders>
          </w:tcPr>
          <w:p>
            <w:pPr>
              <w:jc w:val="right"/>
              <w:ind w:right="274"/>
              <w:spacing w:after="0" w:line="184" w:lineRule="exact"/>
              <w:rPr>
                <w:sz w:val="20"/>
                <w:szCs w:val="20"/>
                <w:color w:val="auto"/>
              </w:rPr>
            </w:pPr>
            <w:r>
              <w:rPr>
                <w:rFonts w:ascii="Arial" w:cs="Arial" w:eastAsia="Arial" w:hAnsi="Arial"/>
                <w:sz w:val="17"/>
                <w:szCs w:val="17"/>
                <w:b w:val="1"/>
                <w:bCs w:val="1"/>
                <w:color w:val="auto"/>
              </w:rPr>
              <w:t>After tax</w:t>
            </w:r>
          </w:p>
        </w:tc>
        <w:tc>
          <w:tcPr>
            <w:tcW w:w="1220" w:type="dxa"/>
            <w:vAlign w:val="bottom"/>
            <w:tcBorders>
              <w:top w:val="single" w:sz="8" w:color="auto"/>
            </w:tcBorders>
          </w:tcPr>
          <w:p>
            <w:pPr>
              <w:jc w:val="right"/>
              <w:ind w:right="194"/>
              <w:spacing w:after="0" w:line="184" w:lineRule="exact"/>
              <w:rPr>
                <w:sz w:val="20"/>
                <w:szCs w:val="20"/>
                <w:color w:val="auto"/>
              </w:rPr>
            </w:pPr>
            <w:r>
              <w:rPr>
                <w:rFonts w:ascii="Arial" w:cs="Arial" w:eastAsia="Arial" w:hAnsi="Arial"/>
                <w:sz w:val="17"/>
                <w:szCs w:val="17"/>
                <w:b w:val="1"/>
                <w:bCs w:val="1"/>
                <w:color w:val="auto"/>
              </w:rPr>
              <w:t>Per Share</w:t>
            </w:r>
          </w:p>
        </w:tc>
        <w:tc>
          <w:tcPr>
            <w:tcW w:w="20" w:type="dxa"/>
            <w:vAlign w:val="bottom"/>
          </w:tcPr>
          <w:p>
            <w:pPr>
              <w:spacing w:after="0"/>
              <w:rPr>
                <w:sz w:val="15"/>
                <w:szCs w:val="15"/>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b w:val="1"/>
                <w:bCs w:val="1"/>
                <w:color w:val="auto"/>
              </w:rPr>
              <w:t>(in thousands, except per share amounts)</w:t>
            </w:r>
          </w:p>
        </w:tc>
        <w:tc>
          <w:tcPr>
            <w:tcW w:w="2220" w:type="dxa"/>
            <w:vAlign w:val="bottom"/>
          </w:tcPr>
          <w:p>
            <w:pPr>
              <w:jc w:val="right"/>
              <w:ind w:right="454"/>
              <w:spacing w:after="0"/>
              <w:rPr>
                <w:sz w:val="20"/>
                <w:szCs w:val="20"/>
                <w:color w:val="auto"/>
              </w:rPr>
            </w:pPr>
            <w:r>
              <w:rPr>
                <w:rFonts w:ascii="Arial" w:cs="Arial" w:eastAsia="Arial" w:hAnsi="Arial"/>
                <w:sz w:val="17"/>
                <w:szCs w:val="17"/>
                <w:b w:val="1"/>
                <w:bCs w:val="1"/>
                <w:color w:val="auto"/>
              </w:rPr>
              <w:t>Amounts</w:t>
            </w:r>
          </w:p>
        </w:tc>
        <w:tc>
          <w:tcPr>
            <w:tcW w:w="1260" w:type="dxa"/>
            <w:vAlign w:val="bottom"/>
          </w:tcPr>
          <w:p>
            <w:pPr>
              <w:jc w:val="right"/>
              <w:ind w:right="474"/>
              <w:spacing w:after="0"/>
              <w:rPr>
                <w:sz w:val="20"/>
                <w:szCs w:val="20"/>
                <w:color w:val="auto"/>
              </w:rPr>
            </w:pPr>
            <w:r>
              <w:rPr>
                <w:rFonts w:ascii="Arial" w:cs="Arial" w:eastAsia="Arial" w:hAnsi="Arial"/>
                <w:sz w:val="17"/>
                <w:szCs w:val="17"/>
                <w:b w:val="1"/>
                <w:bCs w:val="1"/>
                <w:color w:val="auto"/>
              </w:rPr>
              <w:t>Effect</w:t>
            </w:r>
          </w:p>
        </w:tc>
        <w:tc>
          <w:tcPr>
            <w:tcW w:w="1160" w:type="dxa"/>
            <w:vAlign w:val="bottom"/>
          </w:tcPr>
          <w:p>
            <w:pPr>
              <w:jc w:val="right"/>
              <w:ind w:right="394"/>
              <w:spacing w:after="0"/>
              <w:rPr>
                <w:sz w:val="20"/>
                <w:szCs w:val="20"/>
                <w:color w:val="auto"/>
              </w:rPr>
            </w:pPr>
            <w:r>
              <w:rPr>
                <w:rFonts w:ascii="Arial" w:cs="Arial" w:eastAsia="Arial" w:hAnsi="Arial"/>
                <w:sz w:val="17"/>
                <w:szCs w:val="17"/>
                <w:b w:val="1"/>
                <w:bCs w:val="1"/>
                <w:color w:val="auto"/>
              </w:rPr>
              <w:t>Effect</w:t>
            </w:r>
          </w:p>
        </w:tc>
        <w:tc>
          <w:tcPr>
            <w:tcW w:w="12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Effect</w:t>
            </w:r>
          </w:p>
        </w:tc>
      </w:tr>
      <w:tr>
        <w:trPr>
          <w:trHeight w:val="186"/>
        </w:trPr>
        <w:tc>
          <w:tcPr>
            <w:tcW w:w="556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Restructuring expenses, net</w:t>
            </w:r>
          </w:p>
        </w:tc>
        <w:tc>
          <w:tcPr>
            <w:tcW w:w="2220" w:type="dxa"/>
            <w:vAlign w:val="bottom"/>
            <w:tcBorders>
              <w:top w:val="single" w:sz="8" w:color="auto"/>
            </w:tcBorders>
          </w:tcPr>
          <w:p>
            <w:pPr>
              <w:jc w:val="right"/>
              <w:ind w:right="134"/>
              <w:spacing w:after="0" w:line="185" w:lineRule="exact"/>
              <w:rPr>
                <w:sz w:val="20"/>
                <w:szCs w:val="20"/>
                <w:color w:val="auto"/>
              </w:rPr>
            </w:pPr>
            <w:r>
              <w:rPr>
                <w:rFonts w:ascii="Arial" w:cs="Arial" w:eastAsia="Arial" w:hAnsi="Arial"/>
                <w:sz w:val="17"/>
                <w:szCs w:val="17"/>
                <w:color w:val="auto"/>
              </w:rPr>
              <w:t>$4,717</w:t>
            </w:r>
          </w:p>
        </w:tc>
        <w:tc>
          <w:tcPr>
            <w:tcW w:w="1260" w:type="dxa"/>
            <w:vAlign w:val="bottom"/>
            <w:tcBorders>
              <w:top w:val="single" w:sz="8" w:color="auto"/>
            </w:tcBorders>
          </w:tcPr>
          <w:p>
            <w:pPr>
              <w:jc w:val="right"/>
              <w:ind w:right="34"/>
              <w:spacing w:after="0" w:line="185" w:lineRule="exact"/>
              <w:rPr>
                <w:sz w:val="20"/>
                <w:szCs w:val="20"/>
                <w:color w:val="auto"/>
              </w:rPr>
            </w:pPr>
            <w:r>
              <w:rPr>
                <w:rFonts w:ascii="Arial" w:cs="Arial" w:eastAsia="Arial" w:hAnsi="Arial"/>
                <w:sz w:val="17"/>
                <w:szCs w:val="17"/>
                <w:color w:val="auto"/>
              </w:rPr>
              <w:t>$1,718</w:t>
            </w:r>
          </w:p>
        </w:tc>
        <w:tc>
          <w:tcPr>
            <w:tcW w:w="1160" w:type="dxa"/>
            <w:vAlign w:val="bottom"/>
            <w:tcBorders>
              <w:top w:val="single" w:sz="8" w:color="auto"/>
            </w:tcBorders>
          </w:tcPr>
          <w:p>
            <w:pPr>
              <w:jc w:val="right"/>
              <w:ind w:right="54"/>
              <w:spacing w:after="0" w:line="185" w:lineRule="exact"/>
              <w:rPr>
                <w:sz w:val="20"/>
                <w:szCs w:val="20"/>
                <w:color w:val="auto"/>
              </w:rPr>
            </w:pPr>
            <w:r>
              <w:rPr>
                <w:rFonts w:ascii="Arial" w:cs="Arial" w:eastAsia="Arial" w:hAnsi="Arial"/>
                <w:sz w:val="17"/>
                <w:szCs w:val="17"/>
                <w:color w:val="auto"/>
              </w:rPr>
              <w:t>$2,999</w:t>
            </w:r>
          </w:p>
        </w:tc>
        <w:tc>
          <w:tcPr>
            <w:tcW w:w="122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$0.09</w:t>
            </w:r>
          </w:p>
        </w:tc>
        <w:tc>
          <w:tcPr>
            <w:tcW w:w="20" w:type="dxa"/>
            <w:vAlign w:val="bottom"/>
          </w:tcPr>
          <w:p>
            <w:pPr>
              <w:spacing w:after="0"/>
              <w:rPr>
                <w:sz w:val="16"/>
                <w:szCs w:val="16"/>
                <w:color w:val="auto"/>
              </w:rPr>
            </w:pPr>
          </w:p>
        </w:tc>
      </w:tr>
      <w:tr>
        <w:trPr>
          <w:trHeight w:val="194"/>
        </w:trPr>
        <w:tc>
          <w:tcPr>
            <w:tcW w:w="5560" w:type="dxa"/>
            <w:vAlign w:val="bottom"/>
          </w:tcPr>
          <w:p>
            <w:pPr>
              <w:spacing w:after="0" w:line="194" w:lineRule="exact"/>
              <w:rPr>
                <w:sz w:val="20"/>
                <w:szCs w:val="20"/>
                <w:color w:val="auto"/>
              </w:rPr>
            </w:pPr>
            <w:r>
              <w:rPr>
                <w:rFonts w:ascii="Arial" w:cs="Arial" w:eastAsia="Arial" w:hAnsi="Arial"/>
                <w:sz w:val="17"/>
                <w:szCs w:val="17"/>
                <w:color w:val="auto"/>
              </w:rPr>
              <w:t>Foreign currency revaluation losses</w:t>
            </w:r>
          </w:p>
        </w:tc>
        <w:tc>
          <w:tcPr>
            <w:tcW w:w="22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5,399</w:t>
            </w:r>
          </w:p>
        </w:tc>
        <w:tc>
          <w:tcPr>
            <w:tcW w:w="12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1,964</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3,435</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0.11</w:t>
            </w:r>
          </w:p>
        </w:tc>
      </w:tr>
      <w:tr>
        <w:trPr>
          <w:trHeight w:val="194"/>
        </w:trPr>
        <w:tc>
          <w:tcPr>
            <w:tcW w:w="5560" w:type="dxa"/>
            <w:vAlign w:val="bottom"/>
          </w:tcPr>
          <w:p>
            <w:pPr>
              <w:spacing w:after="0" w:line="194" w:lineRule="exact"/>
              <w:rPr>
                <w:sz w:val="20"/>
                <w:szCs w:val="20"/>
                <w:color w:val="auto"/>
              </w:rPr>
            </w:pPr>
            <w:r>
              <w:rPr>
                <w:rFonts w:ascii="Arial" w:cs="Arial" w:eastAsia="Arial" w:hAnsi="Arial"/>
                <w:sz w:val="17"/>
                <w:szCs w:val="17"/>
                <w:color w:val="auto"/>
              </w:rPr>
              <w:t>Net discrete income tax charge</w:t>
            </w:r>
          </w:p>
        </w:tc>
        <w:tc>
          <w:tcPr>
            <w:tcW w:w="222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1,585</w:t>
            </w:r>
          </w:p>
        </w:tc>
        <w:tc>
          <w:tcPr>
            <w:tcW w:w="11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1,585</w:t>
            </w:r>
          </w:p>
        </w:tc>
        <w:tc>
          <w:tcPr>
            <w:tcW w:w="12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0.05</w:t>
            </w:r>
          </w:p>
        </w:tc>
      </w:tr>
      <w:tr>
        <w:trPr>
          <w:trHeight w:val="194"/>
        </w:trPr>
        <w:tc>
          <w:tcPr>
            <w:tcW w:w="556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Charge for revision to estimated profitability of AEC contracts</w:t>
            </w:r>
          </w:p>
        </w:tc>
        <w:tc>
          <w:tcPr>
            <w:tcW w:w="2220" w:type="dxa"/>
            <w:vAlign w:val="bottom"/>
            <w:tcBorders>
              <w:bottom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15,821</w:t>
            </w:r>
          </w:p>
        </w:tc>
        <w:tc>
          <w:tcPr>
            <w:tcW w:w="1260" w:type="dxa"/>
            <w:vAlign w:val="bottom"/>
            <w:tcBorders>
              <w:bottom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rPr>
              <w:t>5,854</w:t>
            </w:r>
          </w:p>
        </w:tc>
        <w:tc>
          <w:tcPr>
            <w:tcW w:w="1160" w:type="dxa"/>
            <w:vAlign w:val="bottom"/>
            <w:tcBorders>
              <w:bottom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9,967</w:t>
            </w:r>
          </w:p>
        </w:tc>
        <w:tc>
          <w:tcPr>
            <w:tcW w:w="124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0.31</w:t>
            </w:r>
          </w:p>
        </w:tc>
      </w:tr>
    </w:tbl>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contains the calculation of net income per share attributable to the Company, excluding adjustments: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616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gridSpan w:val="2"/>
          </w:tcPr>
          <w:p>
            <w:pPr>
              <w:jc w:val="right"/>
              <w:ind w:right="634"/>
              <w:spacing w:after="0" w:line="184" w:lineRule="exact"/>
              <w:rPr>
                <w:sz w:val="20"/>
                <w:szCs w:val="20"/>
                <w:color w:val="auto"/>
              </w:rPr>
            </w:pPr>
            <w:r>
              <w:rPr>
                <w:rFonts w:ascii="Arial" w:cs="Arial" w:eastAsia="Arial" w:hAnsi="Arial"/>
                <w:sz w:val="17"/>
                <w:szCs w:val="17"/>
                <w:b w:val="1"/>
                <w:bCs w:val="1"/>
                <w:color w:val="auto"/>
              </w:rPr>
              <w:t>Three months ended</w:t>
            </w:r>
          </w:p>
        </w:tc>
        <w:tc>
          <w:tcPr>
            <w:tcW w:w="2520" w:type="dxa"/>
            <w:vAlign w:val="bottom"/>
            <w:tcBorders>
              <w:top w:val="single" w:sz="8" w:color="auto"/>
            </w:tcBorders>
            <w:gridSpan w:val="2"/>
          </w:tcPr>
          <w:p>
            <w:pPr>
              <w:jc w:val="right"/>
              <w:ind w:right="514"/>
              <w:spacing w:after="0" w:line="184" w:lineRule="exact"/>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194"/>
        </w:trPr>
        <w:tc>
          <w:tcPr>
            <w:tcW w:w="6160" w:type="dxa"/>
            <w:vAlign w:val="bottom"/>
          </w:tcPr>
          <w:p>
            <w:pPr>
              <w:spacing w:after="0"/>
              <w:rPr>
                <w:sz w:val="16"/>
                <w:szCs w:val="16"/>
                <w:color w:val="auto"/>
              </w:rPr>
            </w:pPr>
          </w:p>
        </w:tc>
        <w:tc>
          <w:tcPr>
            <w:tcW w:w="15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1160" w:type="dxa"/>
            <w:vAlign w:val="bottom"/>
          </w:tcPr>
          <w:p>
            <w:pPr>
              <w:spacing w:after="0"/>
              <w:rPr>
                <w:sz w:val="16"/>
                <w:szCs w:val="16"/>
                <w:color w:val="auto"/>
              </w:rPr>
            </w:pPr>
          </w:p>
        </w:tc>
        <w:tc>
          <w:tcPr>
            <w:tcW w:w="15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Per share amounts (Basic)</w:t>
            </w:r>
          </w:p>
        </w:tc>
        <w:tc>
          <w:tcPr>
            <w:tcW w:w="158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2018</w:t>
            </w: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2017*</w:t>
            </w: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2018</w:t>
            </w: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186"/>
        </w:trPr>
        <w:tc>
          <w:tcPr>
            <w:tcW w:w="6160" w:type="dxa"/>
            <w:vAlign w:val="bottom"/>
          </w:tcPr>
          <w:p>
            <w:pPr>
              <w:spacing w:after="0" w:line="185" w:lineRule="exact"/>
              <w:rPr>
                <w:sz w:val="20"/>
                <w:szCs w:val="20"/>
                <w:color w:val="auto"/>
              </w:rPr>
            </w:pPr>
            <w:r>
              <w:rPr>
                <w:rFonts w:ascii="Arial" w:cs="Arial" w:eastAsia="Arial" w:hAnsi="Arial"/>
                <w:sz w:val="17"/>
                <w:szCs w:val="17"/>
                <w:color w:val="auto"/>
              </w:rPr>
              <w:t>Net income attributable to the Company (GAAP)</w:t>
            </w:r>
          </w:p>
        </w:tc>
        <w:tc>
          <w:tcPr>
            <w:tcW w:w="1580" w:type="dxa"/>
            <w:vAlign w:val="bottom"/>
          </w:tcPr>
          <w:p>
            <w:pPr>
              <w:jc w:val="right"/>
              <w:ind w:right="434"/>
              <w:spacing w:after="0" w:line="185" w:lineRule="exact"/>
              <w:rPr>
                <w:sz w:val="20"/>
                <w:szCs w:val="20"/>
                <w:color w:val="auto"/>
              </w:rPr>
            </w:pPr>
            <w:r>
              <w:rPr>
                <w:rFonts w:ascii="Arial" w:cs="Arial" w:eastAsia="Arial" w:hAnsi="Arial"/>
                <w:sz w:val="17"/>
                <w:szCs w:val="17"/>
                <w:b w:val="1"/>
                <w:bCs w:val="1"/>
                <w:color w:val="auto"/>
              </w:rPr>
              <w:t>$0.94</w:t>
            </w:r>
          </w:p>
        </w:tc>
        <w:tc>
          <w:tcPr>
            <w:tcW w:w="1160" w:type="dxa"/>
            <w:vAlign w:val="bottom"/>
          </w:tcPr>
          <w:p>
            <w:pPr>
              <w:jc w:val="right"/>
              <w:ind w:right="214"/>
              <w:spacing w:after="0" w:line="185" w:lineRule="exact"/>
              <w:rPr>
                <w:sz w:val="20"/>
                <w:szCs w:val="20"/>
                <w:color w:val="auto"/>
              </w:rPr>
            </w:pPr>
            <w:r>
              <w:rPr>
                <w:rFonts w:ascii="Arial" w:cs="Arial" w:eastAsia="Arial" w:hAnsi="Arial"/>
                <w:sz w:val="17"/>
                <w:szCs w:val="17"/>
                <w:color w:val="auto"/>
              </w:rPr>
              <w:t>$0.03</w:t>
            </w:r>
          </w:p>
        </w:tc>
        <w:tc>
          <w:tcPr>
            <w:tcW w:w="1560" w:type="dxa"/>
            <w:vAlign w:val="bottom"/>
          </w:tcPr>
          <w:p>
            <w:pPr>
              <w:jc w:val="right"/>
              <w:ind w:right="414"/>
              <w:spacing w:after="0" w:line="185" w:lineRule="exact"/>
              <w:rPr>
                <w:sz w:val="20"/>
                <w:szCs w:val="20"/>
                <w:color w:val="auto"/>
              </w:rPr>
            </w:pPr>
            <w:r>
              <w:rPr>
                <w:rFonts w:ascii="Arial" w:cs="Arial" w:eastAsia="Arial" w:hAnsi="Arial"/>
                <w:sz w:val="17"/>
                <w:szCs w:val="17"/>
                <w:b w:val="1"/>
                <w:bCs w:val="1"/>
                <w:color w:val="auto"/>
              </w:rPr>
              <w:t>$1.26</w:t>
            </w:r>
          </w:p>
        </w:tc>
        <w:tc>
          <w:tcPr>
            <w:tcW w:w="960" w:type="dxa"/>
            <w:vAlign w:val="bottom"/>
          </w:tcPr>
          <w:p>
            <w:pPr>
              <w:jc w:val="right"/>
              <w:ind w:right="14"/>
              <w:spacing w:after="0" w:line="185" w:lineRule="exact"/>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194"/>
        </w:trPr>
        <w:tc>
          <w:tcPr>
            <w:tcW w:w="6160" w:type="dxa"/>
            <w:vAlign w:val="bottom"/>
          </w:tcPr>
          <w:p>
            <w:pPr>
              <w:spacing w:after="0" w:line="194" w:lineRule="exact"/>
              <w:rPr>
                <w:sz w:val="20"/>
                <w:szCs w:val="20"/>
                <w:color w:val="auto"/>
              </w:rPr>
            </w:pPr>
            <w:r>
              <w:rPr>
                <w:rFonts w:ascii="Arial" w:cs="Arial" w:eastAsia="Arial" w:hAnsi="Arial"/>
                <w:sz w:val="17"/>
                <w:szCs w:val="17"/>
                <w:color w:val="auto"/>
              </w:rPr>
              <w:t>Adjustments:</w:t>
            </w:r>
          </w:p>
        </w:tc>
        <w:tc>
          <w:tcPr>
            <w:tcW w:w="1580" w:type="dxa"/>
            <w:vAlign w:val="bottom"/>
            <w:vMerge w:val="restart"/>
          </w:tcPr>
          <w:p>
            <w:pPr>
              <w:jc w:val="right"/>
              <w:ind w:right="434"/>
              <w:spacing w:after="0"/>
              <w:rPr>
                <w:sz w:val="20"/>
                <w:szCs w:val="20"/>
                <w:color w:val="auto"/>
              </w:rPr>
            </w:pPr>
            <w:r>
              <w:rPr>
                <w:rFonts w:ascii="Arial" w:cs="Arial" w:eastAsia="Arial" w:hAnsi="Arial"/>
                <w:sz w:val="17"/>
                <w:szCs w:val="17"/>
                <w:b w:val="1"/>
                <w:bCs w:val="1"/>
                <w:color w:val="auto"/>
              </w:rPr>
              <w:t>0.06</w:t>
            </w:r>
          </w:p>
        </w:tc>
        <w:tc>
          <w:tcPr>
            <w:tcW w:w="1160" w:type="dxa"/>
            <w:vAlign w:val="bottom"/>
          </w:tcPr>
          <w:p>
            <w:pPr>
              <w:spacing w:after="0"/>
              <w:rPr>
                <w:sz w:val="16"/>
                <w:szCs w:val="16"/>
                <w:color w:val="auto"/>
              </w:rPr>
            </w:pPr>
          </w:p>
        </w:tc>
        <w:tc>
          <w:tcPr>
            <w:tcW w:w="1560" w:type="dxa"/>
            <w:vAlign w:val="bottom"/>
            <w:vMerge w:val="restart"/>
          </w:tcPr>
          <w:p>
            <w:pPr>
              <w:jc w:val="right"/>
              <w:ind w:right="414"/>
              <w:spacing w:after="0"/>
              <w:rPr>
                <w:sz w:val="20"/>
                <w:szCs w:val="20"/>
                <w:color w:val="auto"/>
              </w:rPr>
            </w:pPr>
            <w:r>
              <w:rPr>
                <w:rFonts w:ascii="Arial" w:cs="Arial" w:eastAsia="Arial" w:hAnsi="Arial"/>
                <w:sz w:val="17"/>
                <w:szCs w:val="17"/>
                <w:b w:val="1"/>
                <w:bCs w:val="1"/>
                <w:color w:val="auto"/>
              </w:rPr>
              <w:t>0.24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160" w:type="dxa"/>
            <w:vAlign w:val="bottom"/>
          </w:tcPr>
          <w:p>
            <w:pPr>
              <w:spacing w:after="0" w:line="172" w:lineRule="exact"/>
              <w:rPr>
                <w:sz w:val="20"/>
                <w:szCs w:val="20"/>
                <w:color w:val="auto"/>
              </w:rPr>
            </w:pPr>
            <w:r>
              <w:rPr>
                <w:rFonts w:ascii="Arial" w:cs="Arial" w:eastAsia="Arial" w:hAnsi="Arial"/>
                <w:sz w:val="17"/>
                <w:szCs w:val="17"/>
                <w:color w:val="auto"/>
              </w:rPr>
              <w:t>Restructuring expenses, net</w:t>
            </w:r>
          </w:p>
        </w:tc>
        <w:tc>
          <w:tcPr>
            <w:tcW w:w="1580" w:type="dxa"/>
            <w:vAlign w:val="bottom"/>
            <w:vMerge w:val="continue"/>
          </w:tcPr>
          <w:p>
            <w:pPr>
              <w:spacing w:after="0"/>
              <w:rPr>
                <w:sz w:val="14"/>
                <w:szCs w:val="14"/>
                <w:color w:val="auto"/>
              </w:rPr>
            </w:pPr>
          </w:p>
        </w:tc>
        <w:tc>
          <w:tcPr>
            <w:tcW w:w="1160" w:type="dxa"/>
            <w:vAlign w:val="bottom"/>
          </w:tcPr>
          <w:p>
            <w:pPr>
              <w:jc w:val="right"/>
              <w:ind w:right="214"/>
              <w:spacing w:after="0" w:line="172" w:lineRule="exact"/>
              <w:rPr>
                <w:sz w:val="20"/>
                <w:szCs w:val="20"/>
                <w:color w:val="auto"/>
              </w:rPr>
            </w:pPr>
            <w:r>
              <w:rPr>
                <w:rFonts w:ascii="Arial" w:cs="Arial" w:eastAsia="Arial" w:hAnsi="Arial"/>
                <w:sz w:val="17"/>
                <w:szCs w:val="17"/>
                <w:color w:val="auto"/>
              </w:rPr>
              <w:t>0.04</w:t>
            </w:r>
          </w:p>
        </w:tc>
        <w:tc>
          <w:tcPr>
            <w:tcW w:w="1560" w:type="dxa"/>
            <w:vAlign w:val="bottom"/>
            <w:vMerge w:val="continue"/>
          </w:tcPr>
          <w:p>
            <w:pPr>
              <w:spacing w:after="0"/>
              <w:rPr>
                <w:sz w:val="14"/>
                <w:szCs w:val="14"/>
                <w:color w:val="auto"/>
              </w:rPr>
            </w:pPr>
          </w:p>
        </w:tc>
        <w:tc>
          <w:tcPr>
            <w:tcW w:w="960" w:type="dxa"/>
            <w:vAlign w:val="bottom"/>
          </w:tcPr>
          <w:p>
            <w:pPr>
              <w:jc w:val="right"/>
              <w:ind w:right="14"/>
              <w:spacing w:after="0" w:line="172"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20"/>
                <w:szCs w:val="20"/>
                <w:color w:val="auto"/>
              </w:rPr>
            </w:pPr>
            <w:r>
              <w:rPr>
                <w:rFonts w:ascii="Arial" w:cs="Arial" w:eastAsia="Arial" w:hAnsi="Arial"/>
                <w:sz w:val="17"/>
                <w:szCs w:val="17"/>
                <w:color w:val="auto"/>
              </w:rPr>
              <w:t>Discrete tax adjustments and effect of change in income tax rate</w:t>
            </w:r>
          </w:p>
        </w:tc>
        <w:tc>
          <w:tcPr>
            <w:tcW w:w="1580" w:type="dxa"/>
            <w:vAlign w:val="bottom"/>
          </w:tcPr>
          <w:p>
            <w:pPr>
              <w:jc w:val="right"/>
              <w:ind w:right="374"/>
              <w:spacing w:after="0"/>
              <w:rPr>
                <w:sz w:val="20"/>
                <w:szCs w:val="20"/>
                <w:color w:val="auto"/>
              </w:rPr>
            </w:pPr>
            <w:r>
              <w:rPr>
                <w:rFonts w:ascii="Arial" w:cs="Arial" w:eastAsia="Arial" w:hAnsi="Arial"/>
                <w:sz w:val="17"/>
                <w:szCs w:val="17"/>
                <w:b w:val="1"/>
                <w:bCs w:val="1"/>
                <w:color w:val="auto"/>
              </w:rPr>
              <w:t>(0.13)</w:t>
            </w:r>
          </w:p>
        </w:tc>
        <w:tc>
          <w:tcPr>
            <w:tcW w:w="1160" w:type="dxa"/>
            <w:vAlign w:val="bottom"/>
          </w:tcPr>
          <w:p>
            <w:pPr>
              <w:jc w:val="right"/>
              <w:ind w:right="214"/>
              <w:spacing w:after="0"/>
              <w:rPr>
                <w:sz w:val="20"/>
                <w:szCs w:val="20"/>
                <w:color w:val="auto"/>
              </w:rPr>
            </w:pPr>
            <w:r>
              <w:rPr>
                <w:rFonts w:ascii="Arial" w:cs="Arial" w:eastAsia="Arial" w:hAnsi="Arial"/>
                <w:sz w:val="17"/>
                <w:szCs w:val="17"/>
                <w:color w:val="auto"/>
              </w:rPr>
              <w:t>0.02</w:t>
            </w:r>
          </w:p>
        </w:tc>
        <w:tc>
          <w:tcPr>
            <w:tcW w:w="1560" w:type="dxa"/>
            <w:vAlign w:val="bottom"/>
          </w:tcPr>
          <w:p>
            <w:pPr>
              <w:jc w:val="right"/>
              <w:ind w:right="354"/>
              <w:spacing w:after="0"/>
              <w:rPr>
                <w:sz w:val="20"/>
                <w:szCs w:val="20"/>
                <w:color w:val="auto"/>
              </w:rPr>
            </w:pPr>
            <w:r>
              <w:rPr>
                <w:rFonts w:ascii="Arial" w:cs="Arial" w:eastAsia="Arial" w:hAnsi="Arial"/>
                <w:sz w:val="17"/>
                <w:szCs w:val="17"/>
                <w:b w:val="1"/>
                <w:bCs w:val="1"/>
                <w:color w:val="auto"/>
              </w:rPr>
              <w:t>(0.13)</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revaluation (gains)/losses</w:t>
            </w:r>
          </w:p>
        </w:tc>
        <w:tc>
          <w:tcPr>
            <w:tcW w:w="1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(0.05)</w:t>
            </w: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0.07</w:t>
            </w:r>
          </w:p>
        </w:tc>
        <w:tc>
          <w:tcPr>
            <w:tcW w:w="15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11"/>
        </w:trPr>
        <w:tc>
          <w:tcPr>
            <w:tcW w:w="6160" w:type="dxa"/>
            <w:vAlign w:val="bottom"/>
          </w:tcPr>
          <w:p>
            <w:pPr>
              <w:spacing w:after="0"/>
              <w:rPr>
                <w:sz w:val="20"/>
                <w:szCs w:val="20"/>
                <w:color w:val="auto"/>
              </w:rPr>
            </w:pPr>
            <w:r>
              <w:rPr>
                <w:rFonts w:ascii="Arial" w:cs="Arial" w:eastAsia="Arial" w:hAnsi="Arial"/>
                <w:sz w:val="17"/>
                <w:szCs w:val="17"/>
                <w:color w:val="auto"/>
              </w:rPr>
              <w:t>Net income attributable to the Company, excluding adjustments (non-GAAP)</w:t>
            </w:r>
          </w:p>
        </w:tc>
        <w:tc>
          <w:tcPr>
            <w:tcW w:w="1580" w:type="dxa"/>
            <w:vAlign w:val="bottom"/>
          </w:tcPr>
          <w:p>
            <w:pPr>
              <w:jc w:val="right"/>
              <w:ind w:right="434"/>
              <w:spacing w:after="0"/>
              <w:rPr>
                <w:sz w:val="20"/>
                <w:szCs w:val="20"/>
                <w:color w:val="auto"/>
              </w:rPr>
            </w:pPr>
            <w:r>
              <w:rPr>
                <w:rFonts w:ascii="Arial" w:cs="Arial" w:eastAsia="Arial" w:hAnsi="Arial"/>
                <w:sz w:val="17"/>
                <w:szCs w:val="17"/>
                <w:b w:val="1"/>
                <w:bCs w:val="1"/>
                <w:color w:val="auto"/>
              </w:rPr>
              <w:t>$0.82</w:t>
            </w:r>
          </w:p>
        </w:tc>
        <w:tc>
          <w:tcPr>
            <w:tcW w:w="1160" w:type="dxa"/>
            <w:vAlign w:val="bottom"/>
          </w:tcPr>
          <w:p>
            <w:pPr>
              <w:jc w:val="right"/>
              <w:ind w:right="214"/>
              <w:spacing w:after="0"/>
              <w:rPr>
                <w:sz w:val="20"/>
                <w:szCs w:val="20"/>
                <w:color w:val="auto"/>
              </w:rPr>
            </w:pPr>
            <w:r>
              <w:rPr>
                <w:rFonts w:ascii="Arial" w:cs="Arial" w:eastAsia="Arial" w:hAnsi="Arial"/>
                <w:sz w:val="17"/>
                <w:szCs w:val="17"/>
                <w:color w:val="auto"/>
              </w:rPr>
              <w:t>$0.16</w:t>
            </w:r>
          </w:p>
        </w:tc>
        <w:tc>
          <w:tcPr>
            <w:tcW w:w="1560" w:type="dxa"/>
            <w:vAlign w:val="bottom"/>
          </w:tcPr>
          <w:p>
            <w:pPr>
              <w:jc w:val="right"/>
              <w:ind w:right="414"/>
              <w:spacing w:after="0"/>
              <w:rPr>
                <w:sz w:val="20"/>
                <w:szCs w:val="20"/>
                <w:color w:val="auto"/>
              </w:rPr>
            </w:pPr>
            <w:r>
              <w:rPr>
                <w:rFonts w:ascii="Arial" w:cs="Arial" w:eastAsia="Arial" w:hAnsi="Arial"/>
                <w:sz w:val="17"/>
                <w:szCs w:val="17"/>
                <w:b w:val="1"/>
                <w:bCs w:val="1"/>
                <w:color w:val="auto"/>
              </w:rPr>
              <w:t>$1.37</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9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Includes charge of $0.31 per share for revisions in estimated profitability of two AEC contracts.</w:t>
      </w:r>
    </w:p>
    <w:p>
      <w:pPr>
        <w:spacing w:after="0" w:line="3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contains the calculation of AEC Adjusted EBITDA as a percentage of sales: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516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4040" w:type="dxa"/>
            <w:vAlign w:val="bottom"/>
            <w:tcBorders>
              <w:top w:val="single" w:sz="8" w:color="auto"/>
            </w:tcBorders>
            <w:gridSpan w:val="3"/>
          </w:tcPr>
          <w:p>
            <w:pPr>
              <w:jc w:val="right"/>
              <w:spacing w:after="0" w:line="184" w:lineRule="exact"/>
              <w:rPr>
                <w:sz w:val="20"/>
                <w:szCs w:val="20"/>
                <w:color w:val="auto"/>
              </w:rPr>
            </w:pPr>
            <w:r>
              <w:rPr>
                <w:rFonts w:ascii="Arial" w:cs="Arial" w:eastAsia="Arial" w:hAnsi="Arial"/>
                <w:sz w:val="17"/>
                <w:szCs w:val="17"/>
                <w:b w:val="1"/>
                <w:bCs w:val="1"/>
                <w:color w:val="auto"/>
              </w:rPr>
              <w:t>For the three month periods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June 30,</w:t>
            </w:r>
          </w:p>
        </w:tc>
        <w:tc>
          <w:tcPr>
            <w:tcW w:w="440" w:type="dxa"/>
            <w:vAlign w:val="bottom"/>
          </w:tcPr>
          <w:p>
            <w:pPr>
              <w:spacing w:after="0"/>
              <w:rPr>
                <w:sz w:val="16"/>
                <w:szCs w:val="16"/>
                <w:color w:val="auto"/>
              </w:rPr>
            </w:pPr>
          </w:p>
        </w:tc>
        <w:tc>
          <w:tcPr>
            <w:tcW w:w="1320" w:type="dxa"/>
            <w:vAlign w:val="bottom"/>
            <w:gridSpan w:val="2"/>
          </w:tcPr>
          <w:p>
            <w:pPr>
              <w:jc w:val="right"/>
              <w:ind w:right="300"/>
              <w:spacing w:after="0" w:line="194" w:lineRule="exact"/>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2018</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80" w:type="dxa"/>
            <w:vAlign w:val="bottom"/>
            <w:gridSpan w:val="2"/>
          </w:tcPr>
          <w:p>
            <w:pPr>
              <w:spacing w:after="0" w:line="176" w:lineRule="exact"/>
              <w:rPr>
                <w:sz w:val="20"/>
                <w:szCs w:val="20"/>
                <w:color w:val="auto"/>
              </w:rPr>
            </w:pPr>
            <w:r>
              <w:rPr>
                <w:rFonts w:ascii="Arial" w:cs="Arial" w:eastAsia="Arial" w:hAnsi="Arial"/>
                <w:sz w:val="17"/>
                <w:szCs w:val="17"/>
                <w:color w:val="auto"/>
              </w:rPr>
              <w:t>AEC Adjusted EBITDA (non-GAAP)</w:t>
            </w:r>
          </w:p>
        </w:tc>
        <w:tc>
          <w:tcPr>
            <w:tcW w:w="2200" w:type="dxa"/>
            <w:vAlign w:val="bottom"/>
          </w:tcPr>
          <w:p>
            <w:pPr>
              <w:spacing w:after="0"/>
              <w:rPr>
                <w:sz w:val="15"/>
                <w:szCs w:val="15"/>
                <w:color w:val="auto"/>
              </w:rPr>
            </w:pPr>
          </w:p>
        </w:tc>
        <w:tc>
          <w:tcPr>
            <w:tcW w:w="2300" w:type="dxa"/>
            <w:vAlign w:val="bottom"/>
          </w:tcPr>
          <w:p>
            <w:pPr>
              <w:jc w:val="right"/>
              <w:spacing w:after="0" w:line="176" w:lineRule="exact"/>
              <w:rPr>
                <w:sz w:val="20"/>
                <w:szCs w:val="20"/>
                <w:color w:val="auto"/>
              </w:rPr>
            </w:pPr>
            <w:r>
              <w:rPr>
                <w:rFonts w:ascii="Arial" w:cs="Arial" w:eastAsia="Arial" w:hAnsi="Arial"/>
                <w:sz w:val="17"/>
                <w:szCs w:val="17"/>
                <w:b w:val="1"/>
                <w:bCs w:val="1"/>
                <w:color w:val="auto"/>
              </w:rPr>
              <w:t>$15,134</w:t>
            </w:r>
          </w:p>
        </w:tc>
        <w:tc>
          <w:tcPr>
            <w:tcW w:w="440" w:type="dxa"/>
            <w:vAlign w:val="bottom"/>
          </w:tcPr>
          <w:p>
            <w:pPr>
              <w:spacing w:after="0"/>
              <w:rPr>
                <w:sz w:val="15"/>
                <w:szCs w:val="15"/>
                <w:color w:val="auto"/>
              </w:rPr>
            </w:pPr>
          </w:p>
        </w:tc>
        <w:tc>
          <w:tcPr>
            <w:tcW w:w="1300" w:type="dxa"/>
            <w:vAlign w:val="bottom"/>
          </w:tcPr>
          <w:p>
            <w:pPr>
              <w:jc w:val="right"/>
              <w:ind w:right="14"/>
              <w:spacing w:after="0" w:line="176" w:lineRule="exact"/>
              <w:rPr>
                <w:sz w:val="20"/>
                <w:szCs w:val="20"/>
                <w:color w:val="auto"/>
              </w:rPr>
            </w:pPr>
            <w:r>
              <w:rPr>
                <w:rFonts w:ascii="Arial" w:cs="Arial" w:eastAsia="Arial" w:hAnsi="Arial"/>
                <w:sz w:val="17"/>
                <w:szCs w:val="17"/>
                <w:color w:val="auto"/>
              </w:rPr>
              <w:t>($8,586)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AEC Net sales (GAAP)</w:t>
            </w:r>
          </w:p>
        </w:tc>
        <w:tc>
          <w:tcPr>
            <w:tcW w:w="2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93,590</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68,999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AEC Adjusted EBITDA as a percentage of sales (non-GAAP)</w:t>
            </w:r>
          </w:p>
        </w:tc>
        <w:tc>
          <w:tcPr>
            <w:tcW w:w="22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7"/>
                <w:szCs w:val="17"/>
                <w:b w:val="1"/>
                <w:bCs w:val="1"/>
                <w:color w:val="auto"/>
              </w:rPr>
              <w:t>16.2%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80" w:type="dxa"/>
            <w:vAlign w:val="bottom"/>
            <w:gridSpan w:val="3"/>
          </w:tcPr>
          <w:p>
            <w:pPr>
              <w:spacing w:after="0"/>
              <w:rPr>
                <w:sz w:val="20"/>
                <w:szCs w:val="20"/>
                <w:color w:val="auto"/>
              </w:rPr>
            </w:pPr>
            <w:r>
              <w:rPr>
                <w:rFonts w:ascii="Arial" w:cs="Arial" w:eastAsia="Arial" w:hAnsi="Arial"/>
                <w:sz w:val="17"/>
                <w:szCs w:val="17"/>
                <w:color w:val="auto"/>
              </w:rPr>
              <w:t>* Includes charge of $15.8 million for revisions in estimated profitability of two AEC contracts.</w:t>
            </w:r>
          </w:p>
        </w:tc>
        <w:tc>
          <w:tcPr>
            <w:tcW w:w="2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5"/>
        </w:trPr>
        <w:tc>
          <w:tcPr>
            <w:tcW w:w="20" w:type="dxa"/>
            <w:vAlign w:val="bottom"/>
          </w:tcPr>
          <w:p>
            <w:pPr>
              <w:spacing w:after="0"/>
              <w:rPr>
                <w:sz w:val="24"/>
                <w:szCs w:val="24"/>
                <w:color w:val="auto"/>
              </w:rPr>
            </w:pPr>
          </w:p>
        </w:tc>
        <w:tc>
          <w:tcPr>
            <w:tcW w:w="5160" w:type="dxa"/>
            <w:vAlign w:val="bottom"/>
          </w:tcPr>
          <w:p>
            <w:pPr>
              <w:ind w:left="600"/>
              <w:spacing w:after="0"/>
              <w:rPr>
                <w:sz w:val="20"/>
                <w:szCs w:val="20"/>
                <w:color w:val="auto"/>
              </w:rPr>
            </w:pPr>
            <w:r>
              <w:rPr>
                <w:rFonts w:ascii="Arial" w:cs="Arial" w:eastAsia="Arial" w:hAnsi="Arial"/>
                <w:sz w:val="17"/>
                <w:szCs w:val="17"/>
                <w:color w:val="auto"/>
              </w:rPr>
              <w:t>The following table contains the calculation of net debt:</w:t>
            </w: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vMerge w:val="restart"/>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vMerge w:val="continue"/>
          </w:tcPr>
          <w:p>
            <w:pPr>
              <w:spacing w:after="0"/>
              <w:rPr>
                <w:sz w:val="16"/>
                <w:szCs w:val="16"/>
                <w:color w:val="auto"/>
              </w:rPr>
            </w:pPr>
          </w:p>
        </w:tc>
        <w:tc>
          <w:tcPr>
            <w:tcW w:w="51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(in thousands)</w:t>
            </w:r>
          </w:p>
        </w:tc>
        <w:tc>
          <w:tcPr>
            <w:tcW w:w="2200" w:type="dxa"/>
            <w:vAlign w:val="bottom"/>
            <w:tcBorders>
              <w:bottom w:val="single" w:sz="8" w:color="auto"/>
            </w:tcBorders>
          </w:tcPr>
          <w:p>
            <w:pPr>
              <w:jc w:val="right"/>
              <w:ind w:right="614"/>
              <w:spacing w:after="0" w:line="186" w:lineRule="exact"/>
              <w:rPr>
                <w:sz w:val="20"/>
                <w:szCs w:val="20"/>
                <w:color w:val="auto"/>
              </w:rPr>
            </w:pPr>
            <w:r>
              <w:rPr>
                <w:rFonts w:ascii="Arial" w:cs="Arial" w:eastAsia="Arial" w:hAnsi="Arial"/>
                <w:sz w:val="17"/>
                <w:szCs w:val="17"/>
                <w:b w:val="1"/>
                <w:bCs w:val="1"/>
                <w:color w:val="auto"/>
              </w:rPr>
              <w:t>June 30, 2018</w:t>
            </w:r>
          </w:p>
        </w:tc>
        <w:tc>
          <w:tcPr>
            <w:tcW w:w="2300" w:type="dxa"/>
            <w:vAlign w:val="bottom"/>
            <w:tcBorders>
              <w:bottom w:val="single" w:sz="8" w:color="auto"/>
            </w:tcBorders>
          </w:tcPr>
          <w:p>
            <w:pPr>
              <w:jc w:val="right"/>
              <w:ind w:right="594"/>
              <w:spacing w:after="0" w:line="186" w:lineRule="exact"/>
              <w:rPr>
                <w:sz w:val="20"/>
                <w:szCs w:val="20"/>
                <w:color w:val="auto"/>
              </w:rPr>
            </w:pPr>
            <w:r>
              <w:rPr>
                <w:rFonts w:ascii="Arial" w:cs="Arial" w:eastAsia="Arial" w:hAnsi="Arial"/>
                <w:sz w:val="17"/>
                <w:szCs w:val="17"/>
                <w:b w:val="1"/>
                <w:bCs w:val="1"/>
                <w:color w:val="auto"/>
              </w:rPr>
              <w:t>December 31, 2017</w:t>
            </w:r>
          </w:p>
        </w:tc>
        <w:tc>
          <w:tcPr>
            <w:tcW w:w="1740" w:type="dxa"/>
            <w:vAlign w:val="bottom"/>
            <w:tcBorders>
              <w:bottom w:val="single" w:sz="8" w:color="auto"/>
            </w:tcBorders>
            <w:gridSpan w:val="2"/>
          </w:tcPr>
          <w:p>
            <w:pPr>
              <w:jc w:val="right"/>
              <w:ind w:right="494"/>
              <w:spacing w:after="0" w:line="186" w:lineRule="exact"/>
              <w:rPr>
                <w:sz w:val="20"/>
                <w:szCs w:val="20"/>
                <w:color w:val="auto"/>
              </w:rPr>
            </w:pPr>
            <w:r>
              <w:rPr>
                <w:rFonts w:ascii="Arial" w:cs="Arial" w:eastAsia="Arial" w:hAnsi="Arial"/>
                <w:sz w:val="17"/>
                <w:szCs w:val="17"/>
                <w:b w:val="1"/>
                <w:bCs w:val="1"/>
                <w:color w:val="auto"/>
              </w:rPr>
              <w:t>June 30, 2017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gridSpan w:val="2"/>
          </w:tcPr>
          <w:p>
            <w:pPr>
              <w:spacing w:after="0" w:line="185" w:lineRule="exact"/>
              <w:rPr>
                <w:sz w:val="20"/>
                <w:szCs w:val="20"/>
                <w:color w:val="auto"/>
              </w:rPr>
            </w:pPr>
            <w:r>
              <w:rPr>
                <w:rFonts w:ascii="Arial" w:cs="Arial" w:eastAsia="Arial" w:hAnsi="Arial"/>
                <w:sz w:val="17"/>
                <w:szCs w:val="17"/>
                <w:color w:val="auto"/>
              </w:rPr>
              <w:t>Notes and loans payable</w:t>
            </w:r>
          </w:p>
        </w:tc>
        <w:tc>
          <w:tcPr>
            <w:tcW w:w="2200" w:type="dxa"/>
            <w:vAlign w:val="bottom"/>
          </w:tcPr>
          <w:p>
            <w:pPr>
              <w:jc w:val="right"/>
              <w:spacing w:after="0" w:line="185" w:lineRule="exact"/>
              <w:rPr>
                <w:sz w:val="20"/>
                <w:szCs w:val="20"/>
                <w:color w:val="auto"/>
              </w:rPr>
            </w:pPr>
            <w:r>
              <w:rPr>
                <w:rFonts w:ascii="Arial" w:cs="Arial" w:eastAsia="Arial" w:hAnsi="Arial"/>
                <w:sz w:val="17"/>
                <w:szCs w:val="17"/>
                <w:color w:val="auto"/>
              </w:rPr>
              <w:t>$26</w:t>
            </w:r>
          </w:p>
        </w:tc>
        <w:tc>
          <w:tcPr>
            <w:tcW w:w="2300" w:type="dxa"/>
            <w:vAlign w:val="bottom"/>
          </w:tcPr>
          <w:p>
            <w:pPr>
              <w:jc w:val="right"/>
              <w:ind w:right="454"/>
              <w:spacing w:after="0" w:line="185" w:lineRule="exact"/>
              <w:rPr>
                <w:sz w:val="20"/>
                <w:szCs w:val="20"/>
                <w:color w:val="auto"/>
              </w:rPr>
            </w:pPr>
            <w:r>
              <w:rPr>
                <w:rFonts w:ascii="Arial" w:cs="Arial" w:eastAsia="Arial" w:hAnsi="Arial"/>
                <w:sz w:val="17"/>
                <w:szCs w:val="17"/>
                <w:color w:val="auto"/>
              </w:rPr>
              <w:t>$262</w:t>
            </w:r>
          </w:p>
        </w:tc>
        <w:tc>
          <w:tcPr>
            <w:tcW w:w="440" w:type="dxa"/>
            <w:vAlign w:val="bottom"/>
          </w:tcPr>
          <w:p>
            <w:pPr>
              <w:spacing w:after="0"/>
              <w:rPr>
                <w:sz w:val="16"/>
                <w:szCs w:val="16"/>
                <w:color w:val="auto"/>
              </w:rPr>
            </w:pPr>
          </w:p>
        </w:tc>
        <w:tc>
          <w:tcPr>
            <w:tcW w:w="1300" w:type="dxa"/>
            <w:vAlign w:val="bottom"/>
          </w:tcPr>
          <w:p>
            <w:pPr>
              <w:jc w:val="right"/>
              <w:spacing w:after="0" w:line="185" w:lineRule="exact"/>
              <w:rPr>
                <w:sz w:val="20"/>
                <w:szCs w:val="20"/>
                <w:color w:val="auto"/>
              </w:rPr>
            </w:pPr>
            <w:r>
              <w:rPr>
                <w:rFonts w:ascii="Arial" w:cs="Arial" w:eastAsia="Arial" w:hAnsi="Arial"/>
                <w:sz w:val="17"/>
                <w:szCs w:val="17"/>
                <w:color w:val="auto"/>
              </w:rPr>
              <w:t>$249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80" w:type="dxa"/>
            <w:vAlign w:val="bottom"/>
            <w:gridSpan w:val="2"/>
          </w:tcPr>
          <w:p>
            <w:pPr>
              <w:spacing w:after="0" w:line="194" w:lineRule="exact"/>
              <w:rPr>
                <w:sz w:val="20"/>
                <w:szCs w:val="20"/>
                <w:color w:val="auto"/>
              </w:rPr>
            </w:pPr>
            <w:r>
              <w:rPr>
                <w:rFonts w:ascii="Arial" w:cs="Arial" w:eastAsia="Arial" w:hAnsi="Arial"/>
                <w:sz w:val="17"/>
                <w:szCs w:val="17"/>
                <w:color w:val="auto"/>
              </w:rPr>
              <w:t>Current maturities of long-term debt</w:t>
            </w:r>
          </w:p>
        </w:tc>
        <w:tc>
          <w:tcPr>
            <w:tcW w:w="2200" w:type="dxa"/>
            <w:vAlign w:val="bottom"/>
          </w:tcPr>
          <w:p>
            <w:pPr>
              <w:jc w:val="right"/>
              <w:spacing w:after="0" w:line="194" w:lineRule="exact"/>
              <w:rPr>
                <w:sz w:val="20"/>
                <w:szCs w:val="20"/>
                <w:color w:val="auto"/>
              </w:rPr>
            </w:pPr>
            <w:r>
              <w:rPr>
                <w:rFonts w:ascii="Arial" w:cs="Arial" w:eastAsia="Arial" w:hAnsi="Arial"/>
                <w:sz w:val="17"/>
                <w:szCs w:val="17"/>
                <w:color w:val="auto"/>
              </w:rPr>
              <w:t>1,844</w:t>
            </w:r>
          </w:p>
        </w:tc>
        <w:tc>
          <w:tcPr>
            <w:tcW w:w="2300" w:type="dxa"/>
            <w:vAlign w:val="bottom"/>
          </w:tcPr>
          <w:p>
            <w:pPr>
              <w:jc w:val="right"/>
              <w:ind w:right="454"/>
              <w:spacing w:after="0" w:line="194" w:lineRule="exact"/>
              <w:rPr>
                <w:sz w:val="20"/>
                <w:szCs w:val="20"/>
                <w:color w:val="auto"/>
              </w:rPr>
            </w:pPr>
            <w:r>
              <w:rPr>
                <w:rFonts w:ascii="Arial" w:cs="Arial" w:eastAsia="Arial" w:hAnsi="Arial"/>
                <w:sz w:val="17"/>
                <w:szCs w:val="17"/>
                <w:color w:val="auto"/>
              </w:rPr>
              <w:t>1,799</w:t>
            </w:r>
          </w:p>
        </w:tc>
        <w:tc>
          <w:tcPr>
            <w:tcW w:w="440" w:type="dxa"/>
            <w:vAlign w:val="bottom"/>
          </w:tcPr>
          <w:p>
            <w:pPr>
              <w:spacing w:after="0"/>
              <w:rPr>
                <w:sz w:val="16"/>
                <w:szCs w:val="16"/>
                <w:color w:val="auto"/>
              </w:rPr>
            </w:pPr>
          </w:p>
        </w:tc>
        <w:tc>
          <w:tcPr>
            <w:tcW w:w="1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51,732</w:t>
            </w:r>
          </w:p>
        </w:tc>
        <w:tc>
          <w:tcPr>
            <w:tcW w:w="0" w:type="dxa"/>
            <w:vAlign w:val="bottom"/>
          </w:tcPr>
          <w:p>
            <w:pPr>
              <w:spacing w:after="0"/>
              <w:rPr>
                <w:sz w:val="1"/>
                <w:szCs w:val="1"/>
                <w:color w:val="auto"/>
              </w:rPr>
            </w:pPr>
          </w:p>
        </w:tc>
      </w:tr>
      <w:tr>
        <w:trPr>
          <w:trHeight w:val="194"/>
        </w:trPr>
        <w:tc>
          <w:tcPr>
            <w:tcW w:w="518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7"/>
                <w:szCs w:val="17"/>
                <w:color w:val="auto"/>
              </w:rPr>
              <w:t>Long-term debt</w:t>
            </w:r>
          </w:p>
        </w:tc>
        <w:tc>
          <w:tcPr>
            <w:tcW w:w="22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523,186</w:t>
            </w:r>
          </w:p>
        </w:tc>
        <w:tc>
          <w:tcPr>
            <w:tcW w:w="2300" w:type="dxa"/>
            <w:vAlign w:val="bottom"/>
            <w:tcBorders>
              <w:bottom w:val="single" w:sz="8" w:color="auto"/>
            </w:tcBorders>
          </w:tcPr>
          <w:p>
            <w:pPr>
              <w:jc w:val="right"/>
              <w:ind w:right="454"/>
              <w:spacing w:after="0" w:line="194" w:lineRule="exact"/>
              <w:rPr>
                <w:sz w:val="20"/>
                <w:szCs w:val="20"/>
                <w:color w:val="auto"/>
              </w:rPr>
            </w:pPr>
            <w:r>
              <w:rPr>
                <w:rFonts w:ascii="Arial" w:cs="Arial" w:eastAsia="Arial" w:hAnsi="Arial"/>
                <w:sz w:val="17"/>
                <w:szCs w:val="17"/>
                <w:color w:val="auto"/>
              </w:rPr>
              <w:t>514,120</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444,030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b w:val="1"/>
                <w:bCs w:val="1"/>
                <w:color w:val="auto"/>
              </w:rPr>
              <w:t>Total debt</w:t>
            </w:r>
          </w:p>
        </w:tc>
        <w:tc>
          <w:tcPr>
            <w:tcW w:w="22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525,056</w:t>
            </w:r>
          </w:p>
        </w:tc>
        <w:tc>
          <w:tcPr>
            <w:tcW w:w="2300" w:type="dxa"/>
            <w:vAlign w:val="bottom"/>
            <w:tcBorders>
              <w:bottom w:val="single" w:sz="8" w:color="auto"/>
            </w:tcBorders>
          </w:tcPr>
          <w:p>
            <w:pPr>
              <w:jc w:val="right"/>
              <w:ind w:right="454"/>
              <w:spacing w:after="0" w:line="186" w:lineRule="exact"/>
              <w:rPr>
                <w:sz w:val="20"/>
                <w:szCs w:val="20"/>
                <w:color w:val="auto"/>
              </w:rPr>
            </w:pPr>
            <w:r>
              <w:rPr>
                <w:rFonts w:ascii="Arial" w:cs="Arial" w:eastAsia="Arial" w:hAnsi="Arial"/>
                <w:sz w:val="17"/>
                <w:szCs w:val="17"/>
                <w:b w:val="1"/>
                <w:bCs w:val="1"/>
                <w:color w:val="auto"/>
              </w:rPr>
              <w:t>516,181</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496,011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color w:val="auto"/>
              </w:rPr>
              <w:t>Cash and cash equivalents</w:t>
            </w:r>
          </w:p>
        </w:tc>
        <w:tc>
          <w:tcPr>
            <w:tcW w:w="22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154,744</w:t>
            </w:r>
          </w:p>
        </w:tc>
        <w:tc>
          <w:tcPr>
            <w:tcW w:w="2300" w:type="dxa"/>
            <w:vAlign w:val="bottom"/>
            <w:tcBorders>
              <w:bottom w:val="single" w:sz="8" w:color="auto"/>
            </w:tcBorders>
          </w:tcPr>
          <w:p>
            <w:pPr>
              <w:jc w:val="right"/>
              <w:ind w:right="454"/>
              <w:spacing w:after="0" w:line="186" w:lineRule="exact"/>
              <w:rPr>
                <w:sz w:val="20"/>
                <w:szCs w:val="20"/>
                <w:color w:val="auto"/>
              </w:rPr>
            </w:pPr>
            <w:r>
              <w:rPr>
                <w:rFonts w:ascii="Arial" w:cs="Arial" w:eastAsia="Arial" w:hAnsi="Arial"/>
                <w:sz w:val="17"/>
                <w:szCs w:val="17"/>
                <w:color w:val="auto"/>
              </w:rPr>
              <w:t>183,727</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138,792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b w:val="1"/>
                <w:bCs w:val="1"/>
                <w:color w:val="auto"/>
              </w:rPr>
              <w:t>Net debt</w:t>
            </w:r>
          </w:p>
        </w:tc>
        <w:tc>
          <w:tcPr>
            <w:tcW w:w="22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$370,312</w:t>
            </w:r>
          </w:p>
        </w:tc>
        <w:tc>
          <w:tcPr>
            <w:tcW w:w="2300" w:type="dxa"/>
            <w:vAlign w:val="bottom"/>
            <w:tcBorders>
              <w:bottom w:val="single" w:sz="8" w:color="auto"/>
            </w:tcBorders>
          </w:tcPr>
          <w:p>
            <w:pPr>
              <w:jc w:val="right"/>
              <w:ind w:right="454"/>
              <w:spacing w:after="0" w:line="186" w:lineRule="exact"/>
              <w:rPr>
                <w:sz w:val="20"/>
                <w:szCs w:val="20"/>
                <w:color w:val="auto"/>
              </w:rPr>
            </w:pPr>
            <w:r>
              <w:rPr>
                <w:rFonts w:ascii="Arial" w:cs="Arial" w:eastAsia="Arial" w:hAnsi="Arial"/>
                <w:sz w:val="17"/>
                <w:szCs w:val="17"/>
                <w:b w:val="1"/>
                <w:bCs w:val="1"/>
                <w:color w:val="auto"/>
              </w:rPr>
              <w:t>$332,454</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$357,219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contains the reconciliation of MC 2018 projected Adjusted EBITDA to MC 2018 projected net income: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82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470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rPr>
              <w:t>Results for last</w:t>
            </w:r>
          </w:p>
        </w:tc>
        <w:tc>
          <w:tcPr>
            <w:tcW w:w="1380" w:type="dxa"/>
            <w:vAlign w:val="bottom"/>
            <w:tcBorders>
              <w:top w:val="single" w:sz="8" w:color="auto"/>
            </w:tcBorders>
          </w:tcPr>
          <w:p>
            <w:pPr>
              <w:spacing w:after="0"/>
              <w:rPr>
                <w:sz w:val="15"/>
                <w:szCs w:val="15"/>
                <w:color w:val="auto"/>
              </w:rPr>
            </w:pPr>
          </w:p>
        </w:tc>
      </w:tr>
      <w:tr>
        <w:trPr>
          <w:trHeight w:val="194"/>
        </w:trPr>
        <w:tc>
          <w:tcPr>
            <w:tcW w:w="4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2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Results for last</w:t>
            </w:r>
          </w:p>
        </w:tc>
        <w:tc>
          <w:tcPr>
            <w:tcW w:w="130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two quarters of</w:t>
            </w:r>
          </w:p>
        </w:tc>
        <w:tc>
          <w:tcPr>
            <w:tcW w:w="1380" w:type="dxa"/>
            <w:vAlign w:val="bottom"/>
          </w:tcPr>
          <w:p>
            <w:pPr>
              <w:spacing w:after="0"/>
              <w:rPr>
                <w:sz w:val="16"/>
                <w:szCs w:val="16"/>
                <w:color w:val="auto"/>
              </w:rPr>
            </w:pPr>
          </w:p>
        </w:tc>
      </w:tr>
      <w:tr>
        <w:trPr>
          <w:trHeight w:val="194"/>
        </w:trPr>
        <w:tc>
          <w:tcPr>
            <w:tcW w:w="4700" w:type="dxa"/>
            <w:vAlign w:val="bottom"/>
          </w:tcPr>
          <w:p>
            <w:pPr>
              <w:spacing w:after="0"/>
              <w:rPr>
                <w:sz w:val="16"/>
                <w:szCs w:val="16"/>
                <w:color w:val="auto"/>
              </w:rPr>
            </w:pPr>
          </w:p>
        </w:tc>
        <w:tc>
          <w:tcPr>
            <w:tcW w:w="2620" w:type="dxa"/>
            <w:vAlign w:val="bottom"/>
          </w:tcPr>
          <w:p>
            <w:pPr>
              <w:jc w:val="center"/>
              <w:ind w:left="1174"/>
              <w:spacing w:after="0" w:line="194" w:lineRule="exact"/>
              <w:rPr>
                <w:sz w:val="20"/>
                <w:szCs w:val="20"/>
                <w:color w:val="auto"/>
              </w:rPr>
            </w:pPr>
            <w:r>
              <w:rPr>
                <w:rFonts w:ascii="Arial" w:cs="Arial" w:eastAsia="Arial" w:hAnsi="Arial"/>
                <w:sz w:val="17"/>
                <w:szCs w:val="17"/>
                <w:b w:val="1"/>
                <w:bCs w:val="1"/>
                <w:color w:val="auto"/>
              </w:rPr>
              <w:t>Actual, Six</w:t>
            </w:r>
          </w:p>
        </w:tc>
        <w:tc>
          <w:tcPr>
            <w:tcW w:w="142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two quarters of</w:t>
            </w:r>
          </w:p>
        </w:tc>
        <w:tc>
          <w:tcPr>
            <w:tcW w:w="130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year to meet</w:t>
            </w:r>
          </w:p>
        </w:tc>
        <w:tc>
          <w:tcPr>
            <w:tcW w:w="1380" w:type="dxa"/>
            <w:vAlign w:val="bottom"/>
          </w:tcPr>
          <w:p>
            <w:pPr>
              <w:spacing w:after="0"/>
              <w:rPr>
                <w:sz w:val="16"/>
                <w:szCs w:val="16"/>
                <w:color w:val="auto"/>
              </w:rPr>
            </w:pPr>
          </w:p>
        </w:tc>
      </w:tr>
      <w:tr>
        <w:trPr>
          <w:trHeight w:val="194"/>
        </w:trPr>
        <w:tc>
          <w:tcPr>
            <w:tcW w:w="4700" w:type="dxa"/>
            <w:vAlign w:val="bottom"/>
          </w:tcPr>
          <w:p>
            <w:pPr>
              <w:spacing w:after="0" w:line="194" w:lineRule="exact"/>
              <w:rPr>
                <w:sz w:val="20"/>
                <w:szCs w:val="20"/>
                <w:color w:val="auto"/>
              </w:rPr>
            </w:pPr>
            <w:r>
              <w:rPr>
                <w:rFonts w:ascii="Arial" w:cs="Arial" w:eastAsia="Arial" w:hAnsi="Arial"/>
                <w:sz w:val="17"/>
                <w:szCs w:val="17"/>
                <w:b w:val="1"/>
                <w:bCs w:val="1"/>
                <w:color w:val="auto"/>
              </w:rPr>
              <w:t>Machine Clothing Full-Year 2018 Outlook</w:t>
            </w:r>
          </w:p>
        </w:tc>
        <w:tc>
          <w:tcPr>
            <w:tcW w:w="2620" w:type="dxa"/>
            <w:vAlign w:val="bottom"/>
          </w:tcPr>
          <w:p>
            <w:pPr>
              <w:jc w:val="center"/>
              <w:ind w:left="1194"/>
              <w:spacing w:after="0" w:line="194" w:lineRule="exact"/>
              <w:rPr>
                <w:sz w:val="20"/>
                <w:szCs w:val="20"/>
                <w:color w:val="auto"/>
              </w:rPr>
            </w:pPr>
            <w:r>
              <w:rPr>
                <w:rFonts w:ascii="Arial" w:cs="Arial" w:eastAsia="Arial" w:hAnsi="Arial"/>
                <w:sz w:val="17"/>
                <w:szCs w:val="17"/>
                <w:b w:val="1"/>
                <w:bCs w:val="1"/>
                <w:color w:val="auto"/>
              </w:rPr>
              <w:t>months ended</w:t>
            </w:r>
          </w:p>
        </w:tc>
        <w:tc>
          <w:tcPr>
            <w:tcW w:w="142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year to meet low</w:t>
            </w:r>
          </w:p>
        </w:tc>
        <w:tc>
          <w:tcPr>
            <w:tcW w:w="130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high end of</w:t>
            </w:r>
          </w:p>
        </w:tc>
        <w:tc>
          <w:tcPr>
            <w:tcW w:w="13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Estimated range</w:t>
            </w: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millions)</w:t>
            </w:r>
          </w:p>
        </w:tc>
        <w:tc>
          <w:tcPr>
            <w:tcW w:w="2620" w:type="dxa"/>
            <w:vAlign w:val="bottom"/>
            <w:tcBorders>
              <w:bottom w:val="single" w:sz="8" w:color="auto"/>
            </w:tcBorders>
          </w:tcPr>
          <w:p>
            <w:pPr>
              <w:jc w:val="center"/>
              <w:ind w:left="1174"/>
              <w:spacing w:after="0"/>
              <w:rPr>
                <w:sz w:val="20"/>
                <w:szCs w:val="20"/>
                <w:color w:val="auto"/>
              </w:rPr>
            </w:pPr>
            <w:r>
              <w:rPr>
                <w:rFonts w:ascii="Arial" w:cs="Arial" w:eastAsia="Arial" w:hAnsi="Arial"/>
                <w:sz w:val="17"/>
                <w:szCs w:val="17"/>
                <w:b w:val="1"/>
                <w:bCs w:val="1"/>
                <w:color w:val="auto"/>
              </w:rPr>
              <w:t>June 30, 2018</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end of range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range</w:t>
            </w: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for full-year</w:t>
            </w:r>
          </w:p>
        </w:tc>
      </w:tr>
      <w:tr>
        <w:trPr>
          <w:trHeight w:val="186"/>
        </w:trPr>
        <w:tc>
          <w:tcPr>
            <w:tcW w:w="4700" w:type="dxa"/>
            <w:vAlign w:val="bottom"/>
          </w:tcPr>
          <w:p>
            <w:pPr>
              <w:spacing w:after="0" w:line="185" w:lineRule="exact"/>
              <w:rPr>
                <w:sz w:val="20"/>
                <w:szCs w:val="20"/>
                <w:color w:val="auto"/>
              </w:rPr>
            </w:pPr>
            <w:r>
              <w:rPr>
                <w:rFonts w:ascii="Arial" w:cs="Arial" w:eastAsia="Arial" w:hAnsi="Arial"/>
                <w:sz w:val="17"/>
                <w:szCs w:val="17"/>
                <w:b w:val="1"/>
                <w:bCs w:val="1"/>
                <w:color w:val="auto"/>
              </w:rPr>
              <w:t>Net income/(loss) (GAAP)</w:t>
            </w:r>
          </w:p>
        </w:tc>
        <w:tc>
          <w:tcPr>
            <w:tcW w:w="262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$81</w:t>
            </w:r>
          </w:p>
        </w:tc>
        <w:tc>
          <w:tcPr>
            <w:tcW w:w="1420" w:type="dxa"/>
            <w:vAlign w:val="bottom"/>
          </w:tcPr>
          <w:p>
            <w:pPr>
              <w:jc w:val="right"/>
              <w:ind w:right="54"/>
              <w:spacing w:after="0" w:line="185" w:lineRule="exact"/>
              <w:rPr>
                <w:sz w:val="20"/>
                <w:szCs w:val="20"/>
                <w:color w:val="auto"/>
              </w:rPr>
            </w:pPr>
            <w:r>
              <w:rPr>
                <w:rFonts w:ascii="Arial" w:cs="Arial" w:eastAsia="Arial" w:hAnsi="Arial"/>
                <w:sz w:val="17"/>
                <w:szCs w:val="17"/>
                <w:b w:val="1"/>
                <w:bCs w:val="1"/>
                <w:color w:val="auto"/>
              </w:rPr>
              <w:t>$56</w:t>
            </w:r>
          </w:p>
        </w:tc>
        <w:tc>
          <w:tcPr>
            <w:tcW w:w="130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$71</w:t>
            </w:r>
          </w:p>
        </w:tc>
        <w:tc>
          <w:tcPr>
            <w:tcW w:w="138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$137-$152</w:t>
            </w:r>
          </w:p>
        </w:tc>
      </w:tr>
      <w:tr>
        <w:trPr>
          <w:trHeight w:val="207"/>
        </w:trPr>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and amortization</w:t>
            </w:r>
          </w:p>
        </w:tc>
        <w:tc>
          <w:tcPr>
            <w:tcW w:w="2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w:t>
            </w:r>
          </w:p>
        </w:tc>
      </w:tr>
      <w:tr>
        <w:trPr>
          <w:trHeight w:val="186"/>
        </w:trPr>
        <w:tc>
          <w:tcPr>
            <w:tcW w:w="4700" w:type="dxa"/>
            <w:vAlign w:val="bottom"/>
          </w:tcPr>
          <w:p>
            <w:pPr>
              <w:spacing w:after="0" w:line="185" w:lineRule="exact"/>
              <w:rPr>
                <w:sz w:val="20"/>
                <w:szCs w:val="20"/>
                <w:color w:val="auto"/>
              </w:rPr>
            </w:pPr>
            <w:r>
              <w:rPr>
                <w:rFonts w:ascii="Arial" w:cs="Arial" w:eastAsia="Arial" w:hAnsi="Arial"/>
                <w:sz w:val="17"/>
                <w:szCs w:val="17"/>
                <w:b w:val="1"/>
                <w:bCs w:val="1"/>
                <w:color w:val="auto"/>
              </w:rPr>
              <w:t>EBITDA (non-GAAP)</w:t>
            </w:r>
          </w:p>
        </w:tc>
        <w:tc>
          <w:tcPr>
            <w:tcW w:w="262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$98</w:t>
            </w:r>
          </w:p>
        </w:tc>
        <w:tc>
          <w:tcPr>
            <w:tcW w:w="1420" w:type="dxa"/>
            <w:vAlign w:val="bottom"/>
          </w:tcPr>
          <w:p>
            <w:pPr>
              <w:jc w:val="right"/>
              <w:ind w:right="54"/>
              <w:spacing w:after="0" w:line="185" w:lineRule="exact"/>
              <w:rPr>
                <w:sz w:val="20"/>
                <w:szCs w:val="20"/>
                <w:color w:val="auto"/>
              </w:rPr>
            </w:pPr>
            <w:r>
              <w:rPr>
                <w:rFonts w:ascii="Arial" w:cs="Arial" w:eastAsia="Arial" w:hAnsi="Arial"/>
                <w:sz w:val="17"/>
                <w:szCs w:val="17"/>
                <w:b w:val="1"/>
                <w:bCs w:val="1"/>
                <w:color w:val="auto"/>
              </w:rPr>
              <w:t>$73</w:t>
            </w:r>
          </w:p>
        </w:tc>
        <w:tc>
          <w:tcPr>
            <w:tcW w:w="130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$88</w:t>
            </w:r>
          </w:p>
        </w:tc>
        <w:tc>
          <w:tcPr>
            <w:tcW w:w="1380" w:type="dxa"/>
            <w:vAlign w:val="bottom"/>
          </w:tcPr>
          <w:p>
            <w:pPr>
              <w:jc w:val="right"/>
              <w:ind w:right="14"/>
              <w:spacing w:after="0" w:line="185" w:lineRule="exact"/>
              <w:rPr>
                <w:sz w:val="20"/>
                <w:szCs w:val="20"/>
                <w:color w:val="auto"/>
              </w:rPr>
            </w:pPr>
            <w:r>
              <w:rPr>
                <w:rFonts w:ascii="Arial" w:cs="Arial" w:eastAsia="Arial" w:hAnsi="Arial"/>
                <w:sz w:val="17"/>
                <w:szCs w:val="17"/>
                <w:b w:val="1"/>
                <w:bCs w:val="1"/>
                <w:color w:val="auto"/>
              </w:rPr>
              <w:t>$171-$186</w:t>
            </w:r>
          </w:p>
        </w:tc>
      </w:tr>
      <w:tr>
        <w:trPr>
          <w:trHeight w:val="194"/>
        </w:trPr>
        <w:tc>
          <w:tcPr>
            <w:tcW w:w="4700" w:type="dxa"/>
            <w:vAlign w:val="bottom"/>
          </w:tcPr>
          <w:p>
            <w:pPr>
              <w:spacing w:after="0" w:line="194" w:lineRule="exact"/>
              <w:rPr>
                <w:sz w:val="20"/>
                <w:szCs w:val="20"/>
                <w:color w:val="auto"/>
              </w:rPr>
            </w:pPr>
            <w:r>
              <w:rPr>
                <w:rFonts w:ascii="Arial" w:cs="Arial" w:eastAsia="Arial" w:hAnsi="Arial"/>
                <w:sz w:val="17"/>
                <w:szCs w:val="17"/>
                <w:color w:val="auto"/>
              </w:rPr>
              <w:t>Restructuring expenses, net</w:t>
            </w:r>
          </w:p>
        </w:tc>
        <w:tc>
          <w:tcPr>
            <w:tcW w:w="2620" w:type="dxa"/>
            <w:vAlign w:val="bottom"/>
          </w:tcPr>
          <w:p>
            <w:pPr>
              <w:jc w:val="right"/>
              <w:ind w:right="14"/>
              <w:spacing w:after="0" w:line="194" w:lineRule="exact"/>
              <w:rPr>
                <w:sz w:val="20"/>
                <w:szCs w:val="20"/>
                <w:color w:val="auto"/>
              </w:rPr>
            </w:pPr>
            <w:r>
              <w:rPr>
                <w:rFonts w:ascii="Arial" w:cs="Arial" w:eastAsia="Arial" w:hAnsi="Arial"/>
                <w:sz w:val="17"/>
                <w:szCs w:val="17"/>
                <w:color w:val="auto"/>
              </w:rPr>
              <w:t>10</w:t>
            </w:r>
          </w:p>
        </w:tc>
        <w:tc>
          <w:tcPr>
            <w:tcW w:w="14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13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r>
      <w:tr>
        <w:trPr>
          <w:trHeight w:val="207"/>
        </w:trPr>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revaluation gains</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r>
      <w:tr>
        <w:trPr>
          <w:trHeight w:val="211"/>
        </w:trPr>
        <w:tc>
          <w:tcPr>
            <w:tcW w:w="4700" w:type="dxa"/>
            <w:vAlign w:val="bottom"/>
          </w:tcPr>
          <w:p>
            <w:pPr>
              <w:spacing w:after="0"/>
              <w:rPr>
                <w:sz w:val="20"/>
                <w:szCs w:val="20"/>
                <w:color w:val="auto"/>
              </w:rPr>
            </w:pPr>
            <w:r>
              <w:rPr>
                <w:rFonts w:ascii="Arial" w:cs="Arial" w:eastAsia="Arial" w:hAnsi="Arial"/>
                <w:sz w:val="17"/>
                <w:szCs w:val="17"/>
                <w:b w:val="1"/>
                <w:bCs w:val="1"/>
                <w:color w:val="auto"/>
              </w:rPr>
              <w:t>Adjusted EBITDA (non-GAAP)</w:t>
            </w:r>
          </w:p>
        </w:tc>
        <w:tc>
          <w:tcPr>
            <w:tcW w:w="2620" w:type="dxa"/>
            <w:vAlign w:val="bottom"/>
          </w:tcPr>
          <w:p>
            <w:pPr>
              <w:jc w:val="right"/>
              <w:ind w:right="14"/>
              <w:spacing w:after="0"/>
              <w:rPr>
                <w:sz w:val="20"/>
                <w:szCs w:val="20"/>
                <w:color w:val="auto"/>
              </w:rPr>
            </w:pPr>
            <w:r>
              <w:rPr>
                <w:rFonts w:ascii="Arial" w:cs="Arial" w:eastAsia="Arial" w:hAnsi="Arial"/>
                <w:sz w:val="17"/>
                <w:szCs w:val="17"/>
                <w:b w:val="1"/>
                <w:bCs w:val="1"/>
                <w:color w:val="auto"/>
              </w:rPr>
              <w:t>$107</w:t>
            </w:r>
          </w:p>
        </w:tc>
        <w:tc>
          <w:tcPr>
            <w:tcW w:w="1420" w:type="dxa"/>
            <w:vAlign w:val="bottom"/>
          </w:tcPr>
          <w:p>
            <w:pPr>
              <w:jc w:val="right"/>
              <w:ind w:right="54"/>
              <w:spacing w:after="0"/>
              <w:rPr>
                <w:sz w:val="20"/>
                <w:szCs w:val="20"/>
                <w:color w:val="auto"/>
              </w:rPr>
            </w:pPr>
            <w:r>
              <w:rPr>
                <w:rFonts w:ascii="Arial" w:cs="Arial" w:eastAsia="Arial" w:hAnsi="Arial"/>
                <w:sz w:val="17"/>
                <w:szCs w:val="17"/>
                <w:b w:val="1"/>
                <w:bCs w:val="1"/>
                <w:color w:val="auto"/>
              </w:rPr>
              <w:t>$73</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$88</w:t>
            </w:r>
          </w:p>
        </w:tc>
        <w:tc>
          <w:tcPr>
            <w:tcW w:w="1380" w:type="dxa"/>
            <w:vAlign w:val="bottom"/>
          </w:tcPr>
          <w:p>
            <w:pPr>
              <w:jc w:val="right"/>
              <w:ind w:right="14"/>
              <w:spacing w:after="0"/>
              <w:rPr>
                <w:sz w:val="20"/>
                <w:szCs w:val="20"/>
                <w:color w:val="auto"/>
              </w:rPr>
            </w:pPr>
            <w:r>
              <w:rPr>
                <w:rFonts w:ascii="Arial" w:cs="Arial" w:eastAsia="Arial" w:hAnsi="Arial"/>
                <w:sz w:val="17"/>
                <w:szCs w:val="17"/>
                <w:b w:val="1"/>
                <w:bCs w:val="1"/>
                <w:color w:val="auto"/>
              </w:rPr>
              <w:t>$180-$195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9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ind w:right="960"/>
        <w:spacing w:after="0" w:line="250" w:lineRule="auto"/>
        <w:rPr>
          <w:sz w:val="20"/>
          <w:szCs w:val="20"/>
          <w:color w:val="auto"/>
        </w:rPr>
      </w:pPr>
      <w:r>
        <w:rPr>
          <w:rFonts w:ascii="Arial" w:cs="Arial" w:eastAsia="Arial" w:hAnsi="Arial"/>
          <w:sz w:val="17"/>
          <w:szCs w:val="17"/>
          <w:color w:val="auto"/>
        </w:rPr>
        <w:t>*Due to the uncertainty of these items, management is currently unable to project restructuring expenses and foreign currency revaluation gains/losses for 2018</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91" w:lineRule="exact"/>
        <w:rPr>
          <w:sz w:val="20"/>
          <w:szCs w:val="20"/>
          <w:color w:val="auto"/>
        </w:rPr>
      </w:pPr>
    </w:p>
    <w:p>
      <w:pPr>
        <w:ind w:right="220" w:firstLine="620"/>
        <w:spacing w:after="0" w:line="250" w:lineRule="auto"/>
        <w:rPr>
          <w:sz w:val="20"/>
          <w:szCs w:val="20"/>
          <w:color w:val="auto"/>
        </w:rPr>
      </w:pPr>
      <w:r>
        <w:rPr>
          <w:rFonts w:ascii="Arial" w:cs="Arial" w:eastAsia="Arial" w:hAnsi="Arial"/>
          <w:sz w:val="17"/>
          <w:szCs w:val="17"/>
          <w:color w:val="auto"/>
        </w:rPr>
        <w:t>For discussion of our exposure to market risk, refer to “Quantitative and Qualitative Disclosures about Market Risk”, which is included as an exhibit to this Form 10-Q.</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0" w:lineRule="exact"/>
        <w:rPr>
          <w:sz w:val="20"/>
          <w:szCs w:val="20"/>
          <w:color w:val="auto"/>
        </w:rPr>
      </w:pPr>
    </w:p>
    <w:p>
      <w:pPr>
        <w:spacing w:after="0" w:line="259" w:lineRule="exact"/>
        <w:rPr>
          <w:sz w:val="20"/>
          <w:szCs w:val="20"/>
          <w:color w:val="auto"/>
        </w:rPr>
      </w:pPr>
    </w:p>
    <w:p>
      <w:pPr>
        <w:ind w:left="680" w:hanging="677"/>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Disclosure controls and procedures.</w:t>
      </w:r>
    </w:p>
    <w:p>
      <w:pPr>
        <w:spacing w:after="0" w:line="192" w:lineRule="exact"/>
        <w:rPr>
          <w:sz w:val="20"/>
          <w:szCs w:val="20"/>
          <w:color w:val="auto"/>
        </w:rPr>
      </w:pPr>
    </w:p>
    <w:p>
      <w:pPr>
        <w:ind w:right="40" w:firstLine="620"/>
        <w:spacing w:after="0" w:line="239" w:lineRule="auto"/>
        <w:rPr>
          <w:sz w:val="20"/>
          <w:szCs w:val="20"/>
          <w:color w:val="auto"/>
        </w:rPr>
      </w:pPr>
      <w:r>
        <w:rPr>
          <w:rFonts w:ascii="Arial" w:cs="Arial" w:eastAsia="Arial" w:hAnsi="Arial"/>
          <w:sz w:val="17"/>
          <w:szCs w:val="17"/>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60" w:lineRule="exact"/>
        <w:rPr>
          <w:sz w:val="20"/>
          <w:szCs w:val="20"/>
          <w:color w:val="auto"/>
        </w:rPr>
      </w:pPr>
    </w:p>
    <w:p>
      <w:pPr>
        <w:ind w:left="680" w:hanging="677"/>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192" w:lineRule="exact"/>
        <w:rPr>
          <w:sz w:val="20"/>
          <w:szCs w:val="20"/>
          <w:color w:val="auto"/>
        </w:rPr>
      </w:pPr>
    </w:p>
    <w:p>
      <w:pPr>
        <w:ind w:right="140" w:firstLine="620"/>
        <w:spacing w:after="0" w:line="241" w:lineRule="auto"/>
        <w:rPr>
          <w:sz w:val="20"/>
          <w:szCs w:val="20"/>
          <w:color w:val="auto"/>
        </w:rPr>
      </w:pPr>
      <w:r>
        <w:rPr>
          <w:rFonts w:ascii="Arial" w:cs="Arial" w:eastAsia="Arial" w:hAnsi="Arial"/>
          <w:sz w:val="17"/>
          <w:szCs w:val="17"/>
          <w:color w:val="auto"/>
        </w:rPr>
        <w:t>During the second quarter of 2018, the Company implemented additional controls and modified other controls related to revenue recognition and the Company’s adoption of ASC 606. There were no other changes in the Company’s internal control over financial reporting (as defined in Rule 13a-15(f) and 15d-15(f) under the Securities Exchange Act of 1934, as amended) during the last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420"/>
          </w:cols>
          <w:pgMar w:left="240" w:top="816" w:right="239" w:bottom="1440" w:gutter="0" w:footer="0" w:header="0"/>
        </w:sectPr>
      </w:pPr>
    </w:p>
    <w:bookmarkStart w:id="62" w:name="page63"/>
    <w:bookmarkEnd w:id="62"/>
    <w:p>
      <w:pPr>
        <w:ind w:left="5020"/>
        <w:spacing w:after="0"/>
        <w:rPr>
          <w:sz w:val="20"/>
          <w:szCs w:val="20"/>
          <w:color w:val="auto"/>
        </w:rPr>
      </w:pPr>
      <w:r>
        <w:rPr>
          <w:rFonts w:ascii="Arial" w:cs="Arial" w:eastAsia="Arial" w:hAnsi="Arial"/>
          <w:sz w:val="17"/>
          <w:szCs w:val="17"/>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3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set forth above under Note 17 in Item 1, “Notes to Consolidated Financial Statements” is incorporated herein by reference.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356" w:lineRule="exact"/>
        <w:rPr>
          <w:sz w:val="20"/>
          <w:szCs w:val="20"/>
          <w:color w:val="auto"/>
        </w:rPr>
      </w:pPr>
    </w:p>
    <w:p>
      <w:pPr>
        <w:ind w:right="20" w:firstLine="620"/>
        <w:spacing w:after="0" w:line="250" w:lineRule="auto"/>
        <w:rPr>
          <w:sz w:val="20"/>
          <w:szCs w:val="20"/>
          <w:color w:val="auto"/>
        </w:rPr>
      </w:pPr>
      <w:r>
        <w:rPr>
          <w:rFonts w:ascii="Arial" w:cs="Arial" w:eastAsia="Arial" w:hAnsi="Arial"/>
          <w:sz w:val="17"/>
          <w:szCs w:val="17"/>
          <w:color w:val="auto"/>
        </w:rPr>
        <w:t>There have been no material changes in risks since December 31, 2017. For discussion of risk factors, refer to Item 1A of our Annual Report on Form 10-K for the year ended December 31, 2017.</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356"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We made no share purchases during the second quarter of 2018. We remain authorized by the Board of Directors to purchase up to 2 million shares of our Class A Common Stock.</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3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3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3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Pr>
          <w:p>
            <w:pPr>
              <w:spacing w:after="0"/>
              <w:rPr>
                <w:sz w:val="20"/>
                <w:szCs w:val="20"/>
                <w:color w:val="auto"/>
              </w:rPr>
            </w:pPr>
            <w:r>
              <w:rPr>
                <w:rFonts w:ascii="Arial" w:cs="Arial" w:eastAsia="Arial" w:hAnsi="Arial"/>
                <w:sz w:val="17"/>
                <w:szCs w:val="17"/>
                <w:color w:val="auto"/>
              </w:rPr>
              <w:t>Exhibit No.</w:t>
            </w:r>
          </w:p>
        </w:tc>
        <w:tc>
          <w:tcPr>
            <w:tcW w:w="8160" w:type="dxa"/>
            <w:vAlign w:val="bottom"/>
            <w:gridSpan w:val="6"/>
          </w:tcPr>
          <w:p>
            <w:pPr>
              <w:spacing w:after="0"/>
              <w:rPr>
                <w:sz w:val="20"/>
                <w:szCs w:val="20"/>
                <w:color w:val="auto"/>
              </w:rPr>
            </w:pPr>
            <w:r>
              <w:rPr>
                <w:rFonts w:ascii="Arial" w:cs="Arial" w:eastAsia="Arial" w:hAnsi="Arial"/>
                <w:sz w:val="17"/>
                <w:szCs w:val="17"/>
                <w:color w:val="auto"/>
              </w:rPr>
              <w:t>Description</w:t>
            </w:r>
          </w:p>
        </w:tc>
      </w:tr>
      <w:tr>
        <w:trPr>
          <w:trHeight w:val="389"/>
        </w:trPr>
        <w:tc>
          <w:tcPr>
            <w:tcW w:w="1260" w:type="dxa"/>
            <w:vAlign w:val="bottom"/>
          </w:tcPr>
          <w:p>
            <w:pPr>
              <w:spacing w:after="0"/>
              <w:rPr>
                <w:sz w:val="20"/>
                <w:szCs w:val="20"/>
                <w:color w:val="auto"/>
              </w:rPr>
            </w:pPr>
            <w:r>
              <w:rPr>
                <w:rFonts w:ascii="Arial" w:cs="Arial" w:eastAsia="Arial" w:hAnsi="Arial"/>
                <w:sz w:val="17"/>
                <w:szCs w:val="17"/>
                <w:color w:val="auto"/>
              </w:rPr>
              <w:t>10(u)</w:t>
            </w:r>
          </w:p>
        </w:tc>
        <w:tc>
          <w:tcPr>
            <w:tcW w:w="1860" w:type="dxa"/>
            <w:vAlign w:val="bottom"/>
            <w:tcBorders>
              <w:bottom w:val="single" w:sz="8" w:color="0000EE"/>
            </w:tcBorders>
          </w:tcPr>
          <w:p>
            <w:pPr>
              <w:spacing w:after="0"/>
              <w:rPr>
                <w:rFonts w:ascii="Arial" w:cs="Arial" w:eastAsia="Arial" w:hAnsi="Arial"/>
                <w:sz w:val="17"/>
                <w:szCs w:val="17"/>
                <w:color w:val="0000EE"/>
              </w:rPr>
            </w:pPr>
            <w:hyperlink w:anchor="page66">
              <w:r>
                <w:rPr>
                  <w:rFonts w:ascii="Arial" w:cs="Arial" w:eastAsia="Arial" w:hAnsi="Arial"/>
                  <w:sz w:val="17"/>
                  <w:szCs w:val="17"/>
                  <w:color w:val="0000EE"/>
                </w:rPr>
                <w:t>Employment Agreement</w:t>
              </w:r>
            </w:hyperlink>
          </w:p>
        </w:tc>
        <w:tc>
          <w:tcPr>
            <w:tcW w:w="6300" w:type="dxa"/>
            <w:vAlign w:val="bottom"/>
            <w:gridSpan w:val="5"/>
          </w:tcPr>
          <w:p>
            <w:pPr>
              <w:spacing w:after="0"/>
              <w:rPr>
                <w:sz w:val="24"/>
                <w:szCs w:val="24"/>
                <w:color w:val="auto"/>
              </w:rPr>
            </w:pPr>
          </w:p>
        </w:tc>
      </w:tr>
      <w:tr>
        <w:trPr>
          <w:trHeight w:val="445"/>
        </w:trPr>
        <w:tc>
          <w:tcPr>
            <w:tcW w:w="1260" w:type="dxa"/>
            <w:vAlign w:val="bottom"/>
          </w:tcPr>
          <w:p>
            <w:pPr>
              <w:spacing w:after="0"/>
              <w:rPr>
                <w:sz w:val="20"/>
                <w:szCs w:val="20"/>
                <w:color w:val="auto"/>
              </w:rPr>
            </w:pPr>
            <w:r>
              <w:rPr>
                <w:rFonts w:ascii="Arial" w:cs="Arial" w:eastAsia="Arial" w:hAnsi="Arial"/>
                <w:sz w:val="17"/>
                <w:szCs w:val="17"/>
                <w:color w:val="auto"/>
              </w:rPr>
              <w:t>31.1</w:t>
            </w:r>
          </w:p>
        </w:tc>
        <w:tc>
          <w:tcPr>
            <w:tcW w:w="8160" w:type="dxa"/>
            <w:vAlign w:val="bottom"/>
            <w:gridSpan w:val="6"/>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Certification of the Chief Executive Officer pursuant to Rule 13a-14(a)/15d-14(a) of the Exchange Act.</w:t>
              </w:r>
            </w:hyperlink>
          </w:p>
        </w:tc>
      </w:tr>
      <w:tr>
        <w:trPr>
          <w:trHeight w:val="445"/>
        </w:trPr>
        <w:tc>
          <w:tcPr>
            <w:tcW w:w="1260" w:type="dxa"/>
            <w:vAlign w:val="bottom"/>
          </w:tcPr>
          <w:p>
            <w:pPr>
              <w:spacing w:after="0"/>
              <w:rPr>
                <w:sz w:val="20"/>
                <w:szCs w:val="20"/>
                <w:color w:val="auto"/>
              </w:rPr>
            </w:pPr>
            <w:r>
              <w:rPr>
                <w:rFonts w:ascii="Arial" w:cs="Arial" w:eastAsia="Arial" w:hAnsi="Arial"/>
                <w:sz w:val="17"/>
                <w:szCs w:val="17"/>
                <w:color w:val="auto"/>
              </w:rPr>
              <w:t>31.2</w:t>
            </w:r>
          </w:p>
        </w:tc>
        <w:tc>
          <w:tcPr>
            <w:tcW w:w="7720" w:type="dxa"/>
            <w:vAlign w:val="bottom"/>
            <w:tcBorders>
              <w:top w:val="single" w:sz="8" w:color="0000EE"/>
            </w:tcBorders>
            <w:gridSpan w:val="5"/>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Certification of the Chief Financial Officer pursuant to Rule 13a-14(a)/15d-14(a) of the Exchange Act.</w:t>
              </w:r>
            </w:hyperlink>
          </w:p>
        </w:tc>
        <w:tc>
          <w:tcPr>
            <w:tcW w:w="4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45"/>
        </w:trPr>
        <w:tc>
          <w:tcPr>
            <w:tcW w:w="1260" w:type="dxa"/>
            <w:vAlign w:val="bottom"/>
          </w:tcPr>
          <w:p>
            <w:pPr>
              <w:spacing w:after="0"/>
              <w:rPr>
                <w:sz w:val="20"/>
                <w:szCs w:val="20"/>
                <w:color w:val="auto"/>
              </w:rPr>
            </w:pPr>
            <w:r>
              <w:rPr>
                <w:rFonts w:ascii="Arial" w:cs="Arial" w:eastAsia="Arial" w:hAnsi="Arial"/>
                <w:sz w:val="17"/>
                <w:szCs w:val="17"/>
                <w:color w:val="auto"/>
              </w:rPr>
              <w:t>32.1</w:t>
            </w:r>
          </w:p>
        </w:tc>
        <w:tc>
          <w:tcPr>
            <w:tcW w:w="8160" w:type="dxa"/>
            <w:vAlign w:val="bottom"/>
            <w:tcBorders>
              <w:bottom w:val="single" w:sz="8" w:color="0000EE"/>
            </w:tcBorders>
            <w:gridSpan w:val="6"/>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Certification pursuant to Section 906 of the Sarbanes-Oxley Act of 2002 (Subsections (a) and (b) of Section</w:t>
              </w:r>
            </w:hyperlink>
          </w:p>
        </w:tc>
      </w:tr>
      <w:tr>
        <w:trPr>
          <w:trHeight w:val="174"/>
        </w:trPr>
        <w:tc>
          <w:tcPr>
            <w:tcW w:w="1260" w:type="dxa"/>
            <w:vAlign w:val="bottom"/>
          </w:tcPr>
          <w:p>
            <w:pPr>
              <w:spacing w:after="0"/>
              <w:rPr>
                <w:sz w:val="15"/>
                <w:szCs w:val="15"/>
                <w:color w:val="auto"/>
              </w:rPr>
            </w:pPr>
          </w:p>
        </w:tc>
        <w:tc>
          <w:tcPr>
            <w:tcW w:w="8160" w:type="dxa"/>
            <w:vAlign w:val="bottom"/>
            <w:gridSpan w:val="6"/>
          </w:tcPr>
          <w:p>
            <w:pPr>
              <w:spacing w:after="0" w:line="174" w:lineRule="exact"/>
              <w:rPr>
                <w:rFonts w:ascii="Arial" w:cs="Arial" w:eastAsia="Arial" w:hAnsi="Arial"/>
                <w:sz w:val="17"/>
                <w:szCs w:val="17"/>
                <w:color w:val="0000EE"/>
              </w:rPr>
            </w:pPr>
            <w:hyperlink w:anchor="page70">
              <w:r>
                <w:rPr>
                  <w:rFonts w:ascii="Arial" w:cs="Arial" w:eastAsia="Arial" w:hAnsi="Arial"/>
                  <w:sz w:val="17"/>
                  <w:szCs w:val="17"/>
                  <w:color w:val="0000EE"/>
                </w:rPr>
                <w:t>1350, Chapter 63 of Title 18, United States Code).</w:t>
              </w:r>
            </w:hyperlink>
          </w:p>
        </w:tc>
      </w:tr>
      <w:tr>
        <w:trPr>
          <w:trHeight w:val="20"/>
        </w:trPr>
        <w:tc>
          <w:tcPr>
            <w:tcW w:w="126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r>
      <w:tr>
        <w:trPr>
          <w:trHeight w:val="406"/>
        </w:trPr>
        <w:tc>
          <w:tcPr>
            <w:tcW w:w="1260" w:type="dxa"/>
            <w:vAlign w:val="bottom"/>
          </w:tcPr>
          <w:p>
            <w:pPr>
              <w:spacing w:after="0"/>
              <w:rPr>
                <w:sz w:val="20"/>
                <w:szCs w:val="20"/>
                <w:color w:val="auto"/>
              </w:rPr>
            </w:pPr>
            <w:r>
              <w:rPr>
                <w:rFonts w:ascii="Arial" w:cs="Arial" w:eastAsia="Arial" w:hAnsi="Arial"/>
                <w:sz w:val="17"/>
                <w:szCs w:val="17"/>
                <w:color w:val="auto"/>
              </w:rPr>
              <w:t>99.1</w:t>
            </w:r>
          </w:p>
        </w:tc>
        <w:tc>
          <w:tcPr>
            <w:tcW w:w="6740" w:type="dxa"/>
            <w:vAlign w:val="bottom"/>
            <w:tcBorders>
              <w:bottom w:val="single" w:sz="8" w:color="0000EE"/>
            </w:tcBorders>
            <w:gridSpan w:val="3"/>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Quantitative and qualitative disclosures about market risks as reported at June 30, 2018.</w:t>
              </w:r>
            </w:hyperlink>
          </w:p>
        </w:tc>
        <w:tc>
          <w:tcPr>
            <w:tcW w:w="1420" w:type="dxa"/>
            <w:vAlign w:val="bottom"/>
            <w:gridSpan w:val="3"/>
          </w:tcPr>
          <w:p>
            <w:pPr>
              <w:spacing w:after="0"/>
              <w:rPr>
                <w:sz w:val="24"/>
                <w:szCs w:val="24"/>
                <w:color w:val="auto"/>
              </w:rPr>
            </w:pPr>
          </w:p>
        </w:tc>
      </w:tr>
    </w:tbl>
    <w:p>
      <w:pPr>
        <w:spacing w:after="0" w:line="283" w:lineRule="exact"/>
        <w:rPr>
          <w:sz w:val="20"/>
          <w:szCs w:val="20"/>
          <w:color w:val="auto"/>
        </w:rPr>
      </w:pPr>
    </w:p>
    <w:p>
      <w:pPr>
        <w:ind w:left="1260" w:right="2260" w:hanging="1257"/>
        <w:spacing w:after="0" w:line="250"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June 30, 2018, formatted in extensible Business Reporting Language (XBRL), filed herewith:</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320"/>
          </w:cols>
          <w:pgMar w:left="240" w:top="826" w:right="339" w:bottom="1440" w:gutter="0" w:footer="0" w:header="0"/>
        </w:sectPr>
      </w:pPr>
    </w:p>
    <w:bookmarkStart w:id="63" w:name="page64"/>
    <w:bookmarkEnd w:id="63"/>
    <w:p>
      <w:pPr>
        <w:ind w:left="1120" w:hanging="368"/>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Consolidated Statements of Income for the three and six months ended June 30, 2018 and 2017.</w:t>
      </w:r>
    </w:p>
    <w:p>
      <w:pPr>
        <w:spacing w:after="0" w:line="200" w:lineRule="exact"/>
        <w:rPr>
          <w:rFonts w:ascii="Arial" w:cs="Arial" w:eastAsia="Arial" w:hAnsi="Arial"/>
          <w:sz w:val="17"/>
          <w:szCs w:val="17"/>
          <w:color w:val="auto"/>
        </w:rPr>
      </w:pPr>
    </w:p>
    <w:p>
      <w:pPr>
        <w:spacing w:after="0" w:line="236" w:lineRule="exact"/>
        <w:rPr>
          <w:rFonts w:ascii="Arial" w:cs="Arial" w:eastAsia="Arial" w:hAnsi="Arial"/>
          <w:sz w:val="17"/>
          <w:szCs w:val="17"/>
          <w:color w:val="auto"/>
        </w:rPr>
      </w:pPr>
    </w:p>
    <w:p>
      <w:pPr>
        <w:ind w:left="1120" w:hanging="368"/>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Consolidated Statements of Comprehensive Income/(Loss) for the three and six months ended June 30, 2018 and 2017.</w:t>
      </w: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ind w:left="1120" w:hanging="368"/>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Consolidated Balance Sheets at June 30, 2018 and December 31, 2017.</w:t>
      </w:r>
    </w:p>
    <w:p>
      <w:pPr>
        <w:spacing w:after="0" w:line="200" w:lineRule="exact"/>
        <w:rPr>
          <w:rFonts w:ascii="Arial" w:cs="Arial" w:eastAsia="Arial" w:hAnsi="Arial"/>
          <w:sz w:val="17"/>
          <w:szCs w:val="17"/>
          <w:color w:val="auto"/>
        </w:rPr>
      </w:pPr>
    </w:p>
    <w:p>
      <w:pPr>
        <w:spacing w:after="0" w:line="249" w:lineRule="exact"/>
        <w:rPr>
          <w:rFonts w:ascii="Arial" w:cs="Arial" w:eastAsia="Arial" w:hAnsi="Arial"/>
          <w:sz w:val="17"/>
          <w:szCs w:val="17"/>
          <w:color w:val="auto"/>
        </w:rPr>
      </w:pPr>
    </w:p>
    <w:p>
      <w:pPr>
        <w:ind w:left="1120" w:hanging="368"/>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Consolidated Statements of Cash Flows for the three and six months ended June 30, 2018 and 2017.</w:t>
      </w:r>
    </w:p>
    <w:p>
      <w:pPr>
        <w:spacing w:after="0" w:line="200" w:lineRule="exact"/>
        <w:rPr>
          <w:rFonts w:ascii="Arial" w:cs="Arial" w:eastAsia="Arial" w:hAnsi="Arial"/>
          <w:sz w:val="17"/>
          <w:szCs w:val="17"/>
          <w:color w:val="auto"/>
        </w:rPr>
      </w:pPr>
    </w:p>
    <w:p>
      <w:pPr>
        <w:spacing w:after="0" w:line="249" w:lineRule="exact"/>
        <w:rPr>
          <w:rFonts w:ascii="Arial" w:cs="Arial" w:eastAsia="Arial" w:hAnsi="Arial"/>
          <w:sz w:val="17"/>
          <w:szCs w:val="17"/>
          <w:color w:val="auto"/>
        </w:rPr>
      </w:pPr>
    </w:p>
    <w:p>
      <w:pPr>
        <w:ind w:left="1120" w:hanging="368"/>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5297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260"/>
          </w:cols>
          <w:pgMar w:left="240" w:top="474" w:right="399" w:bottom="1440" w:gutter="0" w:footer="0" w:header="0"/>
        </w:sectPr>
      </w:pPr>
    </w:p>
    <w:bookmarkStart w:id="64" w:name="page65"/>
    <w:bookmarkEnd w:id="64"/>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20"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820"/>
        <w:spacing w:after="0"/>
        <w:rPr>
          <w:sz w:val="20"/>
          <w:szCs w:val="20"/>
          <w:color w:val="auto"/>
        </w:rPr>
      </w:pPr>
      <w:r>
        <w:rPr>
          <w:rFonts w:ascii="Arial" w:cs="Arial" w:eastAsia="Arial" w:hAnsi="Arial"/>
          <w:sz w:val="17"/>
          <w:szCs w:val="17"/>
          <w:u w:val="single" w:color="auto"/>
          <w:color w:val="auto"/>
        </w:rPr>
        <w:t>ALBANY INTERNATIONAL CORP</w:t>
      </w:r>
      <w:r>
        <w:rPr>
          <w:rFonts w:ascii="Arial" w:cs="Arial" w:eastAsia="Arial" w:hAnsi="Arial"/>
          <w:sz w:val="17"/>
          <w:szCs w:val="17"/>
          <w:color w:val="auto"/>
        </w:rPr>
        <w:t>.</w:t>
      </w:r>
    </w:p>
    <w:p>
      <w:pPr>
        <w:ind w:left="6400"/>
        <w:spacing w:after="0"/>
        <w:rPr>
          <w:sz w:val="20"/>
          <w:szCs w:val="20"/>
          <w:color w:val="auto"/>
        </w:rPr>
      </w:pPr>
      <w:r>
        <w:rPr>
          <w:rFonts w:ascii="Arial" w:cs="Arial" w:eastAsia="Arial" w:hAnsi="Arial"/>
          <w:sz w:val="17"/>
          <w:szCs w:val="17"/>
          <w:color w:val="auto"/>
        </w:rPr>
        <w:t>(Registrant)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2018</w:t>
      </w:r>
    </w:p>
    <w:p>
      <w:pPr>
        <w:spacing w:after="0" w:line="200" w:lineRule="exact"/>
        <w:rPr>
          <w:sz w:val="20"/>
          <w:szCs w:val="20"/>
          <w:color w:val="auto"/>
        </w:rPr>
      </w:pPr>
    </w:p>
    <w:p>
      <w:pPr>
        <w:spacing w:after="0" w:line="209" w:lineRule="exact"/>
        <w:rPr>
          <w:sz w:val="20"/>
          <w:szCs w:val="20"/>
          <w:color w:val="auto"/>
        </w:rPr>
      </w:pPr>
    </w:p>
    <w:p>
      <w:pPr>
        <w:ind w:left="6280"/>
        <w:spacing w:after="0"/>
        <w:tabs>
          <w:tab w:leader="none" w:pos="6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John B. Cozzolino</w:t>
      </w:r>
    </w:p>
    <w:p>
      <w:pPr>
        <w:ind w:left="6760"/>
        <w:spacing w:after="0" w:line="237" w:lineRule="auto"/>
        <w:rPr>
          <w:sz w:val="20"/>
          <w:szCs w:val="20"/>
          <w:color w:val="auto"/>
        </w:rPr>
      </w:pPr>
      <w:r>
        <w:rPr>
          <w:rFonts w:ascii="Arial" w:cs="Arial" w:eastAsia="Arial" w:hAnsi="Arial"/>
          <w:sz w:val="17"/>
          <w:szCs w:val="17"/>
          <w:color w:val="auto"/>
        </w:rPr>
        <w:t>John B. Cozzolino</w:t>
      </w:r>
    </w:p>
    <w:p>
      <w:pPr>
        <w:ind w:left="6760"/>
        <w:spacing w:after="0" w:line="238" w:lineRule="auto"/>
        <w:rPr>
          <w:sz w:val="20"/>
          <w:szCs w:val="20"/>
          <w:color w:val="auto"/>
        </w:rPr>
      </w:pPr>
      <w:r>
        <w:rPr>
          <w:rFonts w:ascii="Arial" w:cs="Arial" w:eastAsia="Arial" w:hAnsi="Arial"/>
          <w:sz w:val="17"/>
          <w:szCs w:val="17"/>
          <w:color w:val="auto"/>
        </w:rPr>
        <w:t>Chief Financial Officer and Treasurer</w:t>
      </w:r>
    </w:p>
    <w:p>
      <w:pPr>
        <w:ind w:left="676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1240"/>
          </w:cols>
          <w:pgMar w:left="240" w:top="659" w:right="419" w:bottom="1440" w:gutter="0" w:footer="0" w:header="0"/>
        </w:sectPr>
      </w:pPr>
    </w:p>
    <w:bookmarkStart w:id="65" w:name="page66"/>
    <w:bookmarkEnd w:id="65"/>
    <w:p>
      <w:pPr>
        <w:jc w:val="right"/>
        <w:spacing w:after="0"/>
        <w:rPr>
          <w:sz w:val="20"/>
          <w:szCs w:val="20"/>
          <w:color w:val="auto"/>
        </w:rPr>
      </w:pPr>
      <w:r>
        <w:rPr>
          <w:rFonts w:ascii="Arial" w:cs="Arial" w:eastAsia="Arial" w:hAnsi="Arial"/>
          <w:sz w:val="21"/>
          <w:szCs w:val="21"/>
          <w:color w:val="auto"/>
        </w:rPr>
        <w:t>Exhibit 10 (u)</w:t>
      </w:r>
    </w:p>
    <w:p>
      <w:pPr>
        <w:spacing w:after="0" w:line="222"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AMENDMENT NO. 1 to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EMPLOYMENT AGREEMENT</w:t>
      </w:r>
    </w:p>
    <w:p>
      <w:pPr>
        <w:spacing w:after="0" w:line="205" w:lineRule="exact"/>
        <w:rPr>
          <w:sz w:val="20"/>
          <w:szCs w:val="20"/>
          <w:color w:val="auto"/>
        </w:rPr>
      </w:pPr>
    </w:p>
    <w:p>
      <w:pPr>
        <w:ind w:right="1540" w:firstLine="929"/>
        <w:spacing w:after="0" w:line="253" w:lineRule="auto"/>
        <w:rPr>
          <w:sz w:val="20"/>
          <w:szCs w:val="20"/>
          <w:color w:val="auto"/>
        </w:rPr>
      </w:pPr>
      <w:r>
        <w:rPr>
          <w:rFonts w:ascii="Arial" w:cs="Arial" w:eastAsia="Arial" w:hAnsi="Arial"/>
          <w:sz w:val="21"/>
          <w:szCs w:val="21"/>
          <w:color w:val="auto"/>
        </w:rPr>
        <w:t>This AMENDMENT NO. 1, dated as of July 9, 2018 (the “Amendment”), is by and between Albany International Corp. (the "Company") and Olivier Jarrault ("Executive").</w:t>
      </w:r>
    </w:p>
    <w:p>
      <w:pPr>
        <w:spacing w:after="0" w:line="188" w:lineRule="exact"/>
        <w:rPr>
          <w:sz w:val="20"/>
          <w:szCs w:val="20"/>
          <w:color w:val="auto"/>
        </w:rPr>
      </w:pPr>
    </w:p>
    <w:p>
      <w:pPr>
        <w:ind w:right="580" w:firstLine="929"/>
        <w:spacing w:after="0" w:line="253" w:lineRule="auto"/>
        <w:rPr>
          <w:sz w:val="20"/>
          <w:szCs w:val="20"/>
          <w:color w:val="auto"/>
        </w:rPr>
      </w:pPr>
      <w:r>
        <w:rPr>
          <w:rFonts w:ascii="Arial" w:cs="Arial" w:eastAsia="Arial" w:hAnsi="Arial"/>
          <w:sz w:val="21"/>
          <w:szCs w:val="21"/>
          <w:color w:val="auto"/>
        </w:rPr>
        <w:t>WHEREAS, the Company and Executive are parties to that certain Agreement entered into as of March 2, 2018, relating to Executive’s employment by the Company (the “Agreement”); and</w:t>
      </w:r>
    </w:p>
    <w:p>
      <w:pPr>
        <w:spacing w:after="0" w:line="188" w:lineRule="exact"/>
        <w:rPr>
          <w:sz w:val="20"/>
          <w:szCs w:val="20"/>
          <w:color w:val="auto"/>
        </w:rPr>
      </w:pPr>
    </w:p>
    <w:p>
      <w:pPr>
        <w:ind w:right="1040" w:firstLine="929"/>
        <w:spacing w:after="0" w:line="335" w:lineRule="auto"/>
        <w:rPr>
          <w:sz w:val="20"/>
          <w:szCs w:val="20"/>
          <w:color w:val="auto"/>
        </w:rPr>
      </w:pPr>
      <w:r>
        <w:rPr>
          <w:rFonts w:ascii="Arial" w:cs="Arial" w:eastAsia="Arial" w:hAnsi="Arial"/>
          <w:sz w:val="18"/>
          <w:szCs w:val="18"/>
          <w:color w:val="auto"/>
        </w:rPr>
        <w:t>WHEREAS, the Company and Executive desire to clarify their respective rights and obligations relating to reimbursement of certain business expenses incurred by Executive in the course of his employment by the Company;</w:t>
      </w:r>
    </w:p>
    <w:p>
      <w:pPr>
        <w:spacing w:after="0" w:line="119" w:lineRule="exact"/>
        <w:rPr>
          <w:sz w:val="20"/>
          <w:szCs w:val="20"/>
          <w:color w:val="auto"/>
        </w:rPr>
      </w:pPr>
    </w:p>
    <w:p>
      <w:pPr>
        <w:jc w:val="both"/>
        <w:ind w:right="660" w:firstLine="929"/>
        <w:spacing w:after="0" w:line="242" w:lineRule="auto"/>
        <w:rPr>
          <w:sz w:val="20"/>
          <w:szCs w:val="20"/>
          <w:color w:val="auto"/>
        </w:rPr>
      </w:pPr>
      <w:r>
        <w:rPr>
          <w:rFonts w:ascii="Arial" w:cs="Arial" w:eastAsia="Arial" w:hAnsi="Arial"/>
          <w:sz w:val="21"/>
          <w:szCs w:val="21"/>
          <w:color w:val="auto"/>
        </w:rPr>
        <w:t>NOW THEREFORE, in consideration of the premises, the mutual covenants and the agreements hereinafter set forth and other good and valuable consideration, the parties hereto hereby agree that the Agreement is hereby amended as follows, with effect from the Effective Date (as defined in the Agreement):</w:t>
      </w:r>
    </w:p>
    <w:p>
      <w:pPr>
        <w:spacing w:after="0" w:line="200" w:lineRule="exact"/>
        <w:rPr>
          <w:sz w:val="20"/>
          <w:szCs w:val="20"/>
          <w:color w:val="auto"/>
        </w:rPr>
      </w:pPr>
    </w:p>
    <w:p>
      <w:pPr>
        <w:spacing w:after="0" w:line="231" w:lineRule="exact"/>
        <w:rPr>
          <w:sz w:val="20"/>
          <w:szCs w:val="20"/>
          <w:color w:val="auto"/>
        </w:rPr>
      </w:pPr>
    </w:p>
    <w:p>
      <w:pPr>
        <w:ind w:left="340" w:hanging="337"/>
        <w:spacing w:after="0"/>
        <w:tabs>
          <w:tab w:leader="none" w:pos="3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xml:space="preserve"> Unless otherwise defined herein, terms defined in the Agreement are used herein as therein defined.</w:t>
      </w:r>
    </w:p>
    <w:p>
      <w:pPr>
        <w:spacing w:after="0" w:line="197" w:lineRule="exact"/>
        <w:rPr>
          <w:rFonts w:ascii="Arial" w:cs="Arial" w:eastAsia="Arial" w:hAnsi="Arial"/>
          <w:sz w:val="21"/>
          <w:szCs w:val="21"/>
          <w:color w:val="auto"/>
        </w:rPr>
      </w:pPr>
    </w:p>
    <w:p>
      <w:pPr>
        <w:ind w:left="200" w:hanging="197"/>
        <w:spacing w:after="0"/>
        <w:tabs>
          <w:tab w:leader="none" w:pos="2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Clause (e) of paragraph 3 of the Agreement is hereby amended and restated in its entirety to read as follows:</w:t>
      </w:r>
    </w:p>
    <w:p>
      <w:pPr>
        <w:spacing w:after="0" w:line="223" w:lineRule="exact"/>
        <w:rPr>
          <w:rFonts w:ascii="Arial" w:cs="Arial" w:eastAsia="Arial" w:hAnsi="Arial"/>
          <w:sz w:val="21"/>
          <w:szCs w:val="21"/>
          <w:color w:val="auto"/>
        </w:rPr>
      </w:pPr>
    </w:p>
    <w:p>
      <w:pPr>
        <w:ind w:left="460" w:right="1200" w:firstLine="7"/>
        <w:spacing w:after="0" w:line="274" w:lineRule="auto"/>
        <w:tabs>
          <w:tab w:leader="none" w:pos="741"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Relocation. Executive shall relocate to Rochester, New Hampshire area no later than March 1, 2019. In the interim, Executive shall be reimbursed for temporary housing expenses and shall be entitled to such other relocation benefits as (i) are provided for pursuant to the Company's Executive Relocation Policy, a copy of which has been provided to the Executive, with the caveat that neither the one-year policy expiration nor 90-day temporary housing limit shall apply to Executive, or (ii) are approved by the Chairman of the Board of the Company. Provided such expenses are incurred in compliance with the Company’s travel and expense policy, or have otherwise been approved by the Chairman, the Company will pay or reimburse Executive for all flight expenses incurred prior to March 1, 2019 for travel from any Company work location to Los Angeles, California, travel from Los Angeles, California to any Company work location, and travel from any Company work location to any other Company work location through Los Angeles, California. (Evidence of approval of any item covered by this clause may be in the form of an expense or relocation report reflecting such expenses that is approved by the Chairman.) The Company will provide tax assistance (gross-up) to Executive on all such expenses for travel to, from, or through Los Angeles, California that are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128270</wp:posOffset>
            </wp:positionV>
            <wp:extent cx="725297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41275"/>
                    </a:xfrm>
                    <a:prstGeom prst="rect">
                      <a:avLst/>
                    </a:prstGeom>
                    <a:noFill/>
                  </pic:spPr>
                </pic:pic>
              </a:graphicData>
            </a:graphic>
          </wp:anchor>
        </w:drawing>
      </w:r>
    </w:p>
    <w:p>
      <w:pPr>
        <w:sectPr>
          <w:pgSz w:w="11900" w:h="16838" w:orient="portrait"/>
          <w:cols w:equalWidth="0" w:num="1">
            <w:col w:w="10800"/>
          </w:cols>
          <w:pgMar w:left="860" w:top="120" w:right="239" w:bottom="1440" w:gutter="0" w:footer="0" w:header="0"/>
        </w:sectPr>
      </w:pPr>
    </w:p>
    <w:bookmarkStart w:id="66" w:name="page67"/>
    <w:bookmarkEnd w:id="66"/>
    <w:p>
      <w:pPr>
        <w:ind w:left="1080"/>
        <w:spacing w:after="0"/>
        <w:rPr>
          <w:sz w:val="20"/>
          <w:szCs w:val="20"/>
          <w:color w:val="auto"/>
        </w:rPr>
      </w:pPr>
      <w:r>
        <w:rPr>
          <w:rFonts w:ascii="Arial" w:cs="Arial" w:eastAsia="Arial" w:hAnsi="Arial"/>
          <w:sz w:val="21"/>
          <w:szCs w:val="21"/>
          <w:color w:val="auto"/>
        </w:rPr>
        <w:t>to Executive or will appear as income on Executive's Form W-2.</w:t>
      </w:r>
    </w:p>
    <w:p>
      <w:pPr>
        <w:spacing w:after="0" w:line="223" w:lineRule="exact"/>
        <w:rPr>
          <w:sz w:val="20"/>
          <w:szCs w:val="20"/>
          <w:color w:val="auto"/>
        </w:rPr>
      </w:pPr>
    </w:p>
    <w:p>
      <w:pPr>
        <w:ind w:left="820" w:hanging="197"/>
        <w:spacing w:after="0"/>
        <w:tabs>
          <w:tab w:leader="none" w:pos="8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 new clause (g) to paragraph 3 shall be added to the Agreement to read as follows:</w:t>
      </w:r>
    </w:p>
    <w:p>
      <w:pPr>
        <w:spacing w:after="0" w:line="223" w:lineRule="exact"/>
        <w:rPr>
          <w:rFonts w:ascii="Arial" w:cs="Arial" w:eastAsia="Arial" w:hAnsi="Arial"/>
          <w:sz w:val="21"/>
          <w:szCs w:val="21"/>
          <w:color w:val="auto"/>
        </w:rPr>
      </w:pPr>
    </w:p>
    <w:p>
      <w:pPr>
        <w:ind w:left="1080" w:right="1120" w:firstLine="7"/>
        <w:spacing w:after="0" w:line="251" w:lineRule="auto"/>
        <w:tabs>
          <w:tab w:leader="none" w:pos="1372" w:val="left"/>
        </w:tabs>
        <w:numPr>
          <w:ilvl w:val="1"/>
          <w:numId w:val="38"/>
        </w:numPr>
        <w:rPr>
          <w:rFonts w:ascii="Arial" w:cs="Arial" w:eastAsia="Arial" w:hAnsi="Arial"/>
          <w:sz w:val="20"/>
          <w:szCs w:val="20"/>
          <w:color w:val="auto"/>
        </w:rPr>
      </w:pPr>
      <w:r>
        <w:rPr>
          <w:rFonts w:ascii="Arial" w:cs="Arial" w:eastAsia="Arial" w:hAnsi="Arial"/>
          <w:sz w:val="20"/>
          <w:szCs w:val="20"/>
          <w:color w:val="auto"/>
        </w:rPr>
        <w:t>Travel, Meals and Entertainment Expenses. Executive shall be entitled to reimbursement of any business travel and entertainment expenses incurred by the Executive in the performance of his duties for or on behalf of the Company that are (i) in accordance with the Company’s policies as in effect from time to time, or (ii) approved by the Chairman of the Board. (Evidence of such approval may be in the form of an expense report reflecting such expenses that is approved by the Chairman.)</w:t>
      </w:r>
    </w:p>
    <w:p>
      <w:pPr>
        <w:spacing w:after="0" w:line="200" w:lineRule="exact"/>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620" w:right="580" w:firstLine="3"/>
        <w:spacing w:after="0" w:line="277" w:lineRule="auto"/>
        <w:tabs>
          <w:tab w:leader="none" w:pos="826"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Except as expressly amended, modified and supplemented hereby, the terms, provisions and conditions of the Agreement are unchanged and in full force and effect and are hereby ratified and confirmed in all respects.</w:t>
      </w:r>
    </w:p>
    <w:p>
      <w:pPr>
        <w:spacing w:after="0" w:line="398" w:lineRule="exact"/>
        <w:rPr>
          <w:rFonts w:ascii="Arial" w:cs="Arial" w:eastAsia="Arial" w:hAnsi="Arial"/>
          <w:sz w:val="20"/>
          <w:szCs w:val="20"/>
          <w:color w:val="auto"/>
        </w:rPr>
      </w:pPr>
    </w:p>
    <w:p>
      <w:pPr>
        <w:ind w:left="620" w:right="1200" w:firstLine="3"/>
        <w:spacing w:after="0" w:line="305" w:lineRule="auto"/>
        <w:tabs>
          <w:tab w:leader="none" w:pos="82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This Amendment may be executed in counterparts, and each counterpart will have the same force and effect as an original and will constitute an effective, binding agreement on the part of each of the undersigned.</w:t>
      </w:r>
    </w:p>
    <w:p>
      <w:pPr>
        <w:spacing w:after="0" w:line="374" w:lineRule="exact"/>
        <w:rPr>
          <w:sz w:val="20"/>
          <w:szCs w:val="20"/>
          <w:color w:val="auto"/>
        </w:rPr>
      </w:pPr>
    </w:p>
    <w:p>
      <w:pPr>
        <w:ind w:left="620" w:right="1080" w:firstLine="310"/>
        <w:spacing w:after="0" w:line="253" w:lineRule="auto"/>
        <w:rPr>
          <w:sz w:val="20"/>
          <w:szCs w:val="20"/>
          <w:color w:val="auto"/>
        </w:rPr>
      </w:pPr>
      <w:r>
        <w:rPr>
          <w:rFonts w:ascii="Arial" w:cs="Arial" w:eastAsia="Arial" w:hAnsi="Arial"/>
          <w:sz w:val="21"/>
          <w:szCs w:val="21"/>
          <w:color w:val="auto"/>
        </w:rPr>
        <w:t>IN WITNESS WHEREOF, each of the parties has executed this Agreement, in the case of the Company by a duly authorized officer, as of the day and year written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21"/>
                <w:szCs w:val="21"/>
                <w:color w:val="auto"/>
              </w:rPr>
              <w:t>COMPANY:</w:t>
            </w:r>
          </w:p>
        </w:tc>
        <w:tc>
          <w:tcPr>
            <w:tcW w:w="5740" w:type="dxa"/>
            <w:vAlign w:val="bottom"/>
          </w:tcPr>
          <w:p>
            <w:pPr>
              <w:spacing w:after="0"/>
              <w:rPr>
                <w:sz w:val="22"/>
                <w:szCs w:val="22"/>
                <w:color w:val="auto"/>
              </w:rPr>
            </w:pPr>
          </w:p>
        </w:tc>
      </w:tr>
      <w:tr>
        <w:trPr>
          <w:trHeight w:val="465"/>
        </w:trPr>
        <w:tc>
          <w:tcPr>
            <w:tcW w:w="6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1"/>
                <w:szCs w:val="21"/>
                <w:color w:val="auto"/>
              </w:rPr>
              <w:t>ALBANY INTERNATIONAL CORP.</w:t>
            </w:r>
          </w:p>
        </w:tc>
        <w:tc>
          <w:tcPr>
            <w:tcW w:w="5740" w:type="dxa"/>
            <w:vAlign w:val="bottom"/>
          </w:tcPr>
          <w:p>
            <w:pPr>
              <w:spacing w:after="0"/>
              <w:rPr>
                <w:sz w:val="24"/>
                <w:szCs w:val="24"/>
                <w:color w:val="auto"/>
              </w:rPr>
            </w:pPr>
          </w:p>
        </w:tc>
      </w:tr>
      <w:tr>
        <w:trPr>
          <w:trHeight w:val="416"/>
        </w:trPr>
        <w:tc>
          <w:tcPr>
            <w:tcW w:w="6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1"/>
                <w:szCs w:val="21"/>
                <w:color w:val="auto"/>
                <w:w w:val="91"/>
              </w:rPr>
              <w:t>By: /s/ John B. Cozzolino___________________________</w:t>
            </w:r>
          </w:p>
        </w:tc>
        <w:tc>
          <w:tcPr>
            <w:tcW w:w="5740" w:type="dxa"/>
            <w:vAlign w:val="bottom"/>
          </w:tcPr>
          <w:p>
            <w:pPr>
              <w:ind w:left="1460"/>
              <w:spacing w:after="0"/>
              <w:rPr>
                <w:sz w:val="20"/>
                <w:szCs w:val="20"/>
                <w:color w:val="auto"/>
              </w:rPr>
            </w:pPr>
            <w:r>
              <w:rPr>
                <w:rFonts w:ascii="Arial" w:cs="Arial" w:eastAsia="Arial" w:hAnsi="Arial"/>
                <w:sz w:val="21"/>
                <w:szCs w:val="21"/>
                <w:color w:val="auto"/>
              </w:rPr>
              <w:t>Date: July 25, 2018</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30"/>
        </w:trPr>
        <w:tc>
          <w:tcPr>
            <w:tcW w:w="620" w:type="dxa"/>
            <w:vAlign w:val="bottom"/>
          </w:tcPr>
          <w:p>
            <w:pPr>
              <w:spacing w:after="0"/>
              <w:rPr>
                <w:sz w:val="19"/>
                <w:szCs w:val="19"/>
                <w:color w:val="auto"/>
              </w:rPr>
            </w:pPr>
          </w:p>
        </w:tc>
        <w:tc>
          <w:tcPr>
            <w:tcW w:w="5060" w:type="dxa"/>
            <w:vAlign w:val="bottom"/>
            <w:gridSpan w:val="3"/>
          </w:tcPr>
          <w:p>
            <w:pPr>
              <w:spacing w:after="0" w:line="230" w:lineRule="exact"/>
              <w:rPr>
                <w:sz w:val="20"/>
                <w:szCs w:val="20"/>
                <w:color w:val="auto"/>
              </w:rPr>
            </w:pPr>
            <w:r>
              <w:rPr>
                <w:rFonts w:ascii="Arial" w:cs="Arial" w:eastAsia="Arial" w:hAnsi="Arial"/>
                <w:sz w:val="21"/>
                <w:szCs w:val="21"/>
                <w:color w:val="auto"/>
              </w:rPr>
              <w:t>Name: John B. Cozzolino</w:t>
            </w:r>
          </w:p>
        </w:tc>
        <w:tc>
          <w:tcPr>
            <w:tcW w:w="5740" w:type="dxa"/>
            <w:vAlign w:val="bottom"/>
          </w:tcPr>
          <w:p>
            <w:pPr>
              <w:spacing w:after="0"/>
              <w:rPr>
                <w:sz w:val="19"/>
                <w:szCs w:val="19"/>
                <w:color w:val="auto"/>
              </w:rPr>
            </w:pPr>
          </w:p>
        </w:tc>
      </w:tr>
      <w:tr>
        <w:trPr>
          <w:trHeight w:val="264"/>
        </w:trPr>
        <w:tc>
          <w:tcPr>
            <w:tcW w:w="62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21"/>
                <w:szCs w:val="21"/>
                <w:color w:val="auto"/>
              </w:rPr>
              <w:t>Title: Chief Financial Officer and Treasurer</w:t>
            </w:r>
          </w:p>
        </w:tc>
        <w:tc>
          <w:tcPr>
            <w:tcW w:w="5740" w:type="dxa"/>
            <w:vAlign w:val="bottom"/>
          </w:tcPr>
          <w:p>
            <w:pPr>
              <w:spacing w:after="0"/>
              <w:rPr>
                <w:sz w:val="22"/>
                <w:szCs w:val="22"/>
                <w:color w:val="auto"/>
              </w:rPr>
            </w:pPr>
          </w:p>
        </w:tc>
      </w:tr>
      <w:tr>
        <w:trPr>
          <w:trHeight w:val="697"/>
        </w:trPr>
        <w:tc>
          <w:tcPr>
            <w:tcW w:w="6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1"/>
                <w:szCs w:val="21"/>
                <w:color w:val="auto"/>
              </w:rPr>
              <w:t>EXECUTIVE</w:t>
            </w:r>
          </w:p>
        </w:tc>
        <w:tc>
          <w:tcPr>
            <w:tcW w:w="5740" w:type="dxa"/>
            <w:vAlign w:val="bottom"/>
          </w:tcPr>
          <w:p>
            <w:pPr>
              <w:spacing w:after="0"/>
              <w:rPr>
                <w:sz w:val="24"/>
                <w:szCs w:val="24"/>
                <w:color w:val="auto"/>
              </w:rPr>
            </w:pPr>
          </w:p>
        </w:tc>
      </w:tr>
      <w:tr>
        <w:trPr>
          <w:trHeight w:val="416"/>
        </w:trPr>
        <w:tc>
          <w:tcPr>
            <w:tcW w:w="620" w:type="dxa"/>
            <w:vAlign w:val="bottom"/>
          </w:tcPr>
          <w:p>
            <w:pPr>
              <w:spacing w:after="0"/>
              <w:rPr>
                <w:sz w:val="24"/>
                <w:szCs w:val="24"/>
                <w:color w:val="auto"/>
              </w:rPr>
            </w:pP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5"/>
              </w:rPr>
              <w:t>/s/ Olivier Jarrault_______________________________</w:t>
            </w:r>
          </w:p>
        </w:tc>
        <w:tc>
          <w:tcPr>
            <w:tcW w:w="5740" w:type="dxa"/>
            <w:vAlign w:val="bottom"/>
          </w:tcPr>
          <w:p>
            <w:pPr>
              <w:ind w:left="1520"/>
              <w:spacing w:after="0"/>
              <w:rPr>
                <w:sz w:val="20"/>
                <w:szCs w:val="20"/>
                <w:color w:val="auto"/>
              </w:rPr>
            </w:pPr>
            <w:r>
              <w:rPr>
                <w:rFonts w:ascii="Arial" w:cs="Arial" w:eastAsia="Arial" w:hAnsi="Arial"/>
                <w:sz w:val="21"/>
                <w:szCs w:val="21"/>
                <w:color w:val="auto"/>
              </w:rPr>
              <w:t>Date: July 25, 2018</w:t>
            </w:r>
          </w:p>
        </w:tc>
      </w:tr>
      <w:tr>
        <w:trPr>
          <w:trHeight w:val="261"/>
        </w:trPr>
        <w:tc>
          <w:tcPr>
            <w:tcW w:w="62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21"/>
                <w:szCs w:val="21"/>
                <w:color w:val="auto"/>
              </w:rPr>
              <w:t>Olivier Jarrault</w:t>
            </w:r>
          </w:p>
        </w:tc>
        <w:tc>
          <w:tcPr>
            <w:tcW w:w="5740" w:type="dxa"/>
            <w:vAlign w:val="bottom"/>
          </w:tcPr>
          <w:p>
            <w:pPr>
              <w:spacing w:after="0"/>
              <w:rPr>
                <w:sz w:val="22"/>
                <w:szCs w:val="22"/>
                <w:color w:val="auto"/>
              </w:rPr>
            </w:pPr>
          </w:p>
        </w:tc>
      </w:tr>
      <w:tr>
        <w:trPr>
          <w:trHeight w:val="364"/>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65"/>
        </w:trPr>
        <w:tc>
          <w:tcPr>
            <w:tcW w:w="6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2920" w:type="dxa"/>
            <w:vAlign w:val="bottom"/>
            <w:shd w:val="clear" w:color="auto" w:fill="000000"/>
          </w:tcPr>
          <w:p>
            <w:pPr>
              <w:spacing w:after="0"/>
              <w:rPr>
                <w:sz w:val="5"/>
                <w:szCs w:val="5"/>
                <w:color w:val="auto"/>
              </w:rPr>
            </w:pPr>
          </w:p>
        </w:tc>
        <w:tc>
          <w:tcPr>
            <w:tcW w:w="57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54"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7"/>
          <w:szCs w:val="17"/>
          <w:b w:val="1"/>
          <w:bCs w:val="1"/>
          <w:color w:val="auto"/>
        </w:rPr>
        <w:t>EXHIBIT (31.1)</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PURSUANT TO</w:t>
      </w:r>
    </w:p>
    <w:p>
      <w:pPr>
        <w:jc w:val="center"/>
        <w:ind w:right="-19"/>
        <w:spacing w:after="0" w:line="237" w:lineRule="auto"/>
        <w:rPr>
          <w:sz w:val="20"/>
          <w:szCs w:val="20"/>
          <w:color w:val="auto"/>
        </w:rPr>
      </w:pPr>
      <w:r>
        <w:rPr>
          <w:rFonts w:ascii="Arial" w:cs="Arial" w:eastAsia="Arial" w:hAnsi="Arial"/>
          <w:sz w:val="17"/>
          <w:szCs w:val="17"/>
          <w:b w:val="1"/>
          <w:bCs w:val="1"/>
          <w:color w:val="auto"/>
        </w:rPr>
        <w:t>RULE 13A-14 OF THE SECURITIES EXCHANGE ACT OF 1934,</w:t>
      </w:r>
    </w:p>
    <w:p>
      <w:pPr>
        <w:jc w:val="center"/>
        <w:ind w:right="-19"/>
        <w:spacing w:after="0" w:line="238" w:lineRule="auto"/>
        <w:rPr>
          <w:sz w:val="20"/>
          <w:szCs w:val="20"/>
          <w:color w:val="auto"/>
        </w:rPr>
      </w:pPr>
      <w:r>
        <w:rPr>
          <w:rFonts w:ascii="Arial" w:cs="Arial" w:eastAsia="Arial" w:hAnsi="Arial"/>
          <w:sz w:val="17"/>
          <w:szCs w:val="17"/>
          <w:b w:val="1"/>
          <w:bCs w:val="1"/>
          <w:color w:val="auto"/>
        </w:rPr>
        <w:t>AS ADOPTED PURSUANT TO</w:t>
      </w:r>
    </w:p>
    <w:p>
      <w:pPr>
        <w:jc w:val="center"/>
        <w:ind w:right="-19"/>
        <w:spacing w:after="0" w:line="238" w:lineRule="auto"/>
        <w:rPr>
          <w:sz w:val="20"/>
          <w:szCs w:val="20"/>
          <w:color w:val="auto"/>
        </w:rPr>
      </w:pPr>
      <w:r>
        <w:rPr>
          <w:rFonts w:ascii="Arial" w:cs="Arial" w:eastAsia="Arial" w:hAnsi="Arial"/>
          <w:sz w:val="17"/>
          <w:szCs w:val="17"/>
          <w:b w:val="1"/>
          <w:bCs w:val="1"/>
          <w:color w:val="auto"/>
        </w:rPr>
        <w:t>SECTION 302 OF THE SARBANES-OXLEY ACT OF 2002</w:t>
      </w:r>
    </w:p>
    <w:p>
      <w:pPr>
        <w:spacing w:after="0"/>
        <w:rPr>
          <w:sz w:val="20"/>
          <w:szCs w:val="20"/>
          <w:color w:val="auto"/>
        </w:rPr>
      </w:pPr>
      <w:r>
        <w:rPr>
          <w:rFonts w:ascii="Arial" w:cs="Arial" w:eastAsia="Arial" w:hAnsi="Arial"/>
          <w:sz w:val="17"/>
          <w:szCs w:val="17"/>
          <w:color w:val="auto"/>
        </w:rPr>
        <w:t>I, Olivier Jarrault, certify that:</w:t>
      </w:r>
    </w:p>
    <w:p>
      <w:pPr>
        <w:spacing w:after="0" w:line="166" w:lineRule="exact"/>
        <w:rPr>
          <w:sz w:val="20"/>
          <w:szCs w:val="20"/>
          <w:color w:val="auto"/>
        </w:rPr>
      </w:pPr>
    </w:p>
    <w:p>
      <w:pPr>
        <w:ind w:left="940" w:hanging="317"/>
        <w:spacing w:after="0"/>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report on Form 10-Q of Albany International Corp.;</w:t>
      </w:r>
    </w:p>
    <w:p>
      <w:pPr>
        <w:spacing w:after="0" w:line="178" w:lineRule="exact"/>
        <w:rPr>
          <w:rFonts w:ascii="Arial" w:cs="Arial" w:eastAsia="Arial" w:hAnsi="Arial"/>
          <w:sz w:val="17"/>
          <w:szCs w:val="17"/>
          <w:color w:val="auto"/>
        </w:rPr>
      </w:pPr>
    </w:p>
    <w:p>
      <w:pPr>
        <w:ind w:left="940" w:right="100" w:hanging="317"/>
        <w:spacing w:after="0" w:line="243" w:lineRule="auto"/>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7"/>
          <w:szCs w:val="17"/>
          <w:color w:val="auto"/>
        </w:rPr>
      </w:pPr>
    </w:p>
    <w:p>
      <w:pPr>
        <w:ind w:left="940" w:right="200" w:hanging="317"/>
        <w:spacing w:after="0" w:line="250" w:lineRule="auto"/>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940" w:right="100" w:hanging="317"/>
        <w:spacing w:after="0" w:line="243" w:lineRule="auto"/>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7"/>
          <w:szCs w:val="17"/>
          <w:color w:val="auto"/>
        </w:rPr>
      </w:pPr>
    </w:p>
    <w:p>
      <w:pPr>
        <w:ind w:left="1240" w:right="100" w:hanging="308"/>
        <w:spacing w:after="0" w:line="243" w:lineRule="auto"/>
        <w:tabs>
          <w:tab w:leader="none" w:pos="12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7"/>
          <w:szCs w:val="17"/>
          <w:color w:val="auto"/>
        </w:rPr>
      </w:pPr>
    </w:p>
    <w:p>
      <w:pPr>
        <w:ind w:left="1240" w:right="160" w:hanging="308"/>
        <w:spacing w:after="0" w:line="243" w:lineRule="auto"/>
        <w:tabs>
          <w:tab w:leader="none" w:pos="12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7"/>
          <w:szCs w:val="17"/>
          <w:color w:val="auto"/>
        </w:rPr>
      </w:pPr>
    </w:p>
    <w:p>
      <w:pPr>
        <w:ind w:left="1240" w:right="120" w:hanging="308"/>
        <w:spacing w:after="0" w:line="243" w:lineRule="auto"/>
        <w:tabs>
          <w:tab w:leader="none" w:pos="12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7"/>
          <w:szCs w:val="17"/>
          <w:color w:val="auto"/>
        </w:rPr>
      </w:pPr>
    </w:p>
    <w:p>
      <w:pPr>
        <w:ind w:left="1240" w:hanging="308"/>
        <w:spacing w:after="0" w:line="243" w:lineRule="auto"/>
        <w:tabs>
          <w:tab w:leader="none" w:pos="12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7"/>
          <w:szCs w:val="17"/>
          <w:color w:val="auto"/>
        </w:rPr>
      </w:pPr>
    </w:p>
    <w:p>
      <w:pPr>
        <w:ind w:left="940" w:right="180" w:hanging="317"/>
        <w:spacing w:after="0" w:line="243" w:lineRule="auto"/>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7"/>
          <w:szCs w:val="17"/>
          <w:color w:val="auto"/>
        </w:rPr>
      </w:pPr>
    </w:p>
    <w:p>
      <w:pPr>
        <w:ind w:left="1240" w:right="300" w:hanging="308"/>
        <w:spacing w:after="0" w:line="250" w:lineRule="auto"/>
        <w:tabs>
          <w:tab w:leader="none" w:pos="12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7"/>
          <w:szCs w:val="17"/>
          <w:color w:val="auto"/>
        </w:rPr>
      </w:pPr>
    </w:p>
    <w:p>
      <w:pPr>
        <w:ind w:left="1240" w:right="520" w:hanging="308"/>
        <w:spacing w:after="0" w:line="250" w:lineRule="auto"/>
        <w:tabs>
          <w:tab w:leader="none" w:pos="12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2018</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Olivier Jarrault</w:t>
      </w:r>
    </w:p>
    <w:p>
      <w:pPr>
        <w:ind w:left="6200"/>
        <w:spacing w:after="0" w:line="237" w:lineRule="auto"/>
        <w:rPr>
          <w:sz w:val="20"/>
          <w:szCs w:val="20"/>
          <w:color w:val="auto"/>
        </w:rPr>
      </w:pPr>
      <w:r>
        <w:rPr>
          <w:rFonts w:ascii="Arial" w:cs="Arial" w:eastAsia="Arial" w:hAnsi="Arial"/>
          <w:sz w:val="17"/>
          <w:szCs w:val="17"/>
          <w:color w:val="auto"/>
        </w:rPr>
        <w:t>Olivier Jarrault</w:t>
      </w:r>
    </w:p>
    <w:p>
      <w:pPr>
        <w:ind w:left="6200"/>
        <w:spacing w:after="0" w:line="238" w:lineRule="auto"/>
        <w:rPr>
          <w:sz w:val="20"/>
          <w:szCs w:val="20"/>
          <w:color w:val="auto"/>
        </w:rPr>
      </w:pPr>
      <w:r>
        <w:rPr>
          <w:rFonts w:ascii="Arial" w:cs="Arial" w:eastAsia="Arial" w:hAnsi="Arial"/>
          <w:sz w:val="17"/>
          <w:szCs w:val="17"/>
          <w:color w:val="auto"/>
        </w:rPr>
        <w:t>President and Chief Executive Officer</w:t>
      </w:r>
    </w:p>
    <w:p>
      <w:pPr>
        <w:ind w:left="620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970" cy="3302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7"/>
          <w:szCs w:val="17"/>
          <w:b w:val="1"/>
          <w:bCs w:val="1"/>
          <w:color w:val="auto"/>
        </w:rPr>
        <w:t>EXHIBIT (31.2)</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PURSUANT TO</w:t>
      </w:r>
    </w:p>
    <w:p>
      <w:pPr>
        <w:jc w:val="center"/>
        <w:ind w:right="-19"/>
        <w:spacing w:after="0" w:line="237" w:lineRule="auto"/>
        <w:rPr>
          <w:sz w:val="20"/>
          <w:szCs w:val="20"/>
          <w:color w:val="auto"/>
        </w:rPr>
      </w:pPr>
      <w:r>
        <w:rPr>
          <w:rFonts w:ascii="Arial" w:cs="Arial" w:eastAsia="Arial" w:hAnsi="Arial"/>
          <w:sz w:val="17"/>
          <w:szCs w:val="17"/>
          <w:b w:val="1"/>
          <w:bCs w:val="1"/>
          <w:color w:val="auto"/>
        </w:rPr>
        <w:t>RULE 13A-14 OF THE SECURITIES EXCHANGE ACT OF 1934,</w:t>
      </w:r>
    </w:p>
    <w:p>
      <w:pPr>
        <w:jc w:val="center"/>
        <w:ind w:right="-19"/>
        <w:spacing w:after="0" w:line="238" w:lineRule="auto"/>
        <w:rPr>
          <w:sz w:val="20"/>
          <w:szCs w:val="20"/>
          <w:color w:val="auto"/>
        </w:rPr>
      </w:pPr>
      <w:r>
        <w:rPr>
          <w:rFonts w:ascii="Arial" w:cs="Arial" w:eastAsia="Arial" w:hAnsi="Arial"/>
          <w:sz w:val="17"/>
          <w:szCs w:val="17"/>
          <w:b w:val="1"/>
          <w:bCs w:val="1"/>
          <w:color w:val="auto"/>
        </w:rPr>
        <w:t>AS ADOPTED PURSUANT TO</w:t>
      </w:r>
    </w:p>
    <w:p>
      <w:pPr>
        <w:jc w:val="center"/>
        <w:ind w:right="-19"/>
        <w:spacing w:after="0" w:line="238" w:lineRule="auto"/>
        <w:rPr>
          <w:sz w:val="20"/>
          <w:szCs w:val="20"/>
          <w:color w:val="auto"/>
        </w:rPr>
      </w:pPr>
      <w:r>
        <w:rPr>
          <w:rFonts w:ascii="Arial" w:cs="Arial" w:eastAsia="Arial" w:hAnsi="Arial"/>
          <w:sz w:val="17"/>
          <w:szCs w:val="17"/>
          <w:b w:val="1"/>
          <w:bCs w:val="1"/>
          <w:color w:val="auto"/>
        </w:rPr>
        <w:t>SECTION 302 OF THE SARBANES-OXLEY ACT OF 2002</w:t>
      </w:r>
    </w:p>
    <w:p>
      <w:pPr>
        <w:spacing w:after="0"/>
        <w:rPr>
          <w:sz w:val="20"/>
          <w:szCs w:val="20"/>
          <w:color w:val="auto"/>
        </w:rPr>
      </w:pPr>
      <w:r>
        <w:rPr>
          <w:rFonts w:ascii="Arial" w:cs="Arial" w:eastAsia="Arial" w:hAnsi="Arial"/>
          <w:sz w:val="17"/>
          <w:szCs w:val="17"/>
          <w:color w:val="auto"/>
        </w:rPr>
        <w:t>I, John B. Cozzolino, certify that:</w:t>
      </w:r>
    </w:p>
    <w:p>
      <w:pPr>
        <w:spacing w:after="0" w:line="166" w:lineRule="exact"/>
        <w:rPr>
          <w:sz w:val="20"/>
          <w:szCs w:val="20"/>
          <w:color w:val="auto"/>
        </w:rPr>
      </w:pPr>
    </w:p>
    <w:p>
      <w:pPr>
        <w:ind w:left="940" w:hanging="317"/>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report on Form 10-Q of Albany International Corp.;</w:t>
      </w:r>
    </w:p>
    <w:p>
      <w:pPr>
        <w:spacing w:after="0" w:line="178" w:lineRule="exact"/>
        <w:rPr>
          <w:rFonts w:ascii="Arial" w:cs="Arial" w:eastAsia="Arial" w:hAnsi="Arial"/>
          <w:sz w:val="17"/>
          <w:szCs w:val="17"/>
          <w:color w:val="auto"/>
        </w:rPr>
      </w:pPr>
    </w:p>
    <w:p>
      <w:pPr>
        <w:ind w:left="940" w:right="100" w:hanging="317"/>
        <w:spacing w:after="0" w:line="243" w:lineRule="auto"/>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7"/>
          <w:szCs w:val="17"/>
          <w:color w:val="auto"/>
        </w:rPr>
      </w:pPr>
    </w:p>
    <w:p>
      <w:pPr>
        <w:ind w:left="940" w:right="200" w:hanging="317"/>
        <w:spacing w:after="0" w:line="250" w:lineRule="auto"/>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940" w:right="100" w:hanging="317"/>
        <w:spacing w:after="0" w:line="243" w:lineRule="auto"/>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7"/>
          <w:szCs w:val="17"/>
          <w:color w:val="auto"/>
        </w:rPr>
      </w:pPr>
    </w:p>
    <w:p>
      <w:pPr>
        <w:ind w:left="1240" w:right="100" w:hanging="308"/>
        <w:spacing w:after="0" w:line="243" w:lineRule="auto"/>
        <w:tabs>
          <w:tab w:leader="none" w:pos="12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7"/>
          <w:szCs w:val="17"/>
          <w:color w:val="auto"/>
        </w:rPr>
      </w:pPr>
    </w:p>
    <w:p>
      <w:pPr>
        <w:ind w:left="1240" w:right="160" w:hanging="308"/>
        <w:spacing w:after="0" w:line="243" w:lineRule="auto"/>
        <w:tabs>
          <w:tab w:leader="none" w:pos="12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7"/>
          <w:szCs w:val="17"/>
          <w:color w:val="auto"/>
        </w:rPr>
      </w:pPr>
    </w:p>
    <w:p>
      <w:pPr>
        <w:ind w:left="1240" w:right="120" w:hanging="308"/>
        <w:spacing w:after="0" w:line="243" w:lineRule="auto"/>
        <w:tabs>
          <w:tab w:leader="none" w:pos="12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7"/>
          <w:szCs w:val="17"/>
          <w:color w:val="auto"/>
        </w:rPr>
      </w:pPr>
    </w:p>
    <w:p>
      <w:pPr>
        <w:ind w:left="1240" w:hanging="308"/>
        <w:spacing w:after="0" w:line="243" w:lineRule="auto"/>
        <w:tabs>
          <w:tab w:leader="none" w:pos="12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7"/>
          <w:szCs w:val="17"/>
          <w:color w:val="auto"/>
        </w:rPr>
      </w:pPr>
    </w:p>
    <w:p>
      <w:pPr>
        <w:ind w:left="940" w:right="180" w:hanging="317"/>
        <w:spacing w:after="0" w:line="243" w:lineRule="auto"/>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7"/>
          <w:szCs w:val="17"/>
          <w:color w:val="auto"/>
        </w:rPr>
      </w:pPr>
    </w:p>
    <w:p>
      <w:pPr>
        <w:ind w:left="1240" w:right="300" w:hanging="308"/>
        <w:spacing w:after="0" w:line="250" w:lineRule="auto"/>
        <w:tabs>
          <w:tab w:leader="none" w:pos="12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7"/>
          <w:szCs w:val="17"/>
          <w:color w:val="auto"/>
        </w:rPr>
      </w:pPr>
    </w:p>
    <w:p>
      <w:pPr>
        <w:ind w:left="1240" w:right="520" w:hanging="308"/>
        <w:spacing w:after="0" w:line="250" w:lineRule="auto"/>
        <w:tabs>
          <w:tab w:leader="none" w:pos="12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2018</w:t>
      </w:r>
    </w:p>
    <w:p>
      <w:pPr>
        <w:spacing w:after="0" w:line="3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John B. Cozzolino</w:t>
      </w:r>
    </w:p>
    <w:p>
      <w:pPr>
        <w:ind w:left="5960"/>
        <w:spacing w:after="0" w:line="237" w:lineRule="auto"/>
        <w:rPr>
          <w:sz w:val="20"/>
          <w:szCs w:val="20"/>
          <w:color w:val="auto"/>
        </w:rPr>
      </w:pPr>
      <w:r>
        <w:rPr>
          <w:rFonts w:ascii="Arial" w:cs="Arial" w:eastAsia="Arial" w:hAnsi="Arial"/>
          <w:sz w:val="17"/>
          <w:szCs w:val="17"/>
          <w:color w:val="auto"/>
        </w:rPr>
        <w:t>John B. Cozzolino</w:t>
      </w:r>
    </w:p>
    <w:p>
      <w:pPr>
        <w:ind w:left="5960"/>
        <w:spacing w:after="0" w:line="238" w:lineRule="auto"/>
        <w:rPr>
          <w:sz w:val="20"/>
          <w:szCs w:val="20"/>
          <w:color w:val="auto"/>
        </w:rPr>
      </w:pPr>
      <w:r>
        <w:rPr>
          <w:rFonts w:ascii="Arial" w:cs="Arial" w:eastAsia="Arial" w:hAnsi="Arial"/>
          <w:sz w:val="17"/>
          <w:szCs w:val="17"/>
          <w:color w:val="auto"/>
        </w:rPr>
        <w:t>Chief Financial Officer and Treasurer</w:t>
      </w:r>
    </w:p>
    <w:p>
      <w:pPr>
        <w:ind w:left="5960"/>
        <w:spacing w:after="0"/>
        <w:rPr>
          <w:sz w:val="20"/>
          <w:szCs w:val="20"/>
          <w:color w:val="auto"/>
        </w:rPr>
      </w:pPr>
      <w:r>
        <w:rPr>
          <w:rFonts w:ascii="Arial" w:cs="Arial" w:eastAsia="Arial" w:hAnsi="Arial"/>
          <w:sz w:val="17"/>
          <w:szCs w:val="17"/>
          <w:color w:val="auto"/>
        </w:rPr>
        <w:t>(Principal Financial Officer)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3302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9" w:name="page70"/>
    <w:bookmarkEnd w:id="69"/>
    <w:p>
      <w:pPr>
        <w:jc w:val="center"/>
        <w:ind w:right="-179"/>
        <w:spacing w:after="0"/>
        <w:rPr>
          <w:sz w:val="20"/>
          <w:szCs w:val="20"/>
          <w:color w:val="auto"/>
        </w:rPr>
      </w:pPr>
      <w:r>
        <w:rPr>
          <w:rFonts w:ascii="Arial" w:cs="Arial" w:eastAsia="Arial" w:hAnsi="Arial"/>
          <w:sz w:val="17"/>
          <w:szCs w:val="17"/>
          <w:b w:val="1"/>
          <w:bCs w:val="1"/>
          <w:color w:val="auto"/>
        </w:rPr>
        <w:t>EXHIBIT (32.1)</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CERTIFICATION PURSUANT TO</w:t>
      </w:r>
    </w:p>
    <w:p>
      <w:pPr>
        <w:jc w:val="center"/>
        <w:ind w:right="-179"/>
        <w:spacing w:after="0" w:line="237" w:lineRule="auto"/>
        <w:rPr>
          <w:sz w:val="20"/>
          <w:szCs w:val="20"/>
          <w:color w:val="auto"/>
        </w:rPr>
      </w:pPr>
      <w:r>
        <w:rPr>
          <w:rFonts w:ascii="Arial" w:cs="Arial" w:eastAsia="Arial" w:hAnsi="Arial"/>
          <w:sz w:val="17"/>
          <w:szCs w:val="17"/>
          <w:b w:val="1"/>
          <w:bCs w:val="1"/>
          <w:color w:val="auto"/>
        </w:rPr>
        <w:t>18 U.S.C. SECTION 1350,</w:t>
      </w:r>
    </w:p>
    <w:p>
      <w:pPr>
        <w:jc w:val="center"/>
        <w:ind w:right="-179"/>
        <w:spacing w:after="0" w:line="238" w:lineRule="auto"/>
        <w:rPr>
          <w:sz w:val="20"/>
          <w:szCs w:val="20"/>
          <w:color w:val="auto"/>
        </w:rPr>
      </w:pPr>
      <w:r>
        <w:rPr>
          <w:rFonts w:ascii="Arial" w:cs="Arial" w:eastAsia="Arial" w:hAnsi="Arial"/>
          <w:sz w:val="17"/>
          <w:szCs w:val="17"/>
          <w:b w:val="1"/>
          <w:bCs w:val="1"/>
          <w:color w:val="auto"/>
        </w:rPr>
        <w:t>AS ADOPTED PURSUANT TO</w:t>
      </w:r>
    </w:p>
    <w:p>
      <w:pPr>
        <w:jc w:val="center"/>
        <w:ind w:right="-17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left="620" w:firstLine="619"/>
        <w:spacing w:after="0" w:line="241" w:lineRule="auto"/>
        <w:rPr>
          <w:sz w:val="20"/>
          <w:szCs w:val="20"/>
          <w:color w:val="auto"/>
        </w:rPr>
      </w:pPr>
      <w:r>
        <w:rPr>
          <w:rFonts w:ascii="Arial" w:cs="Arial" w:eastAsia="Arial" w:hAnsi="Arial"/>
          <w:sz w:val="17"/>
          <w:szCs w:val="17"/>
          <w:color w:val="auto"/>
        </w:rPr>
        <w:t>In connection with the Quarterly Report of Albany International Corp. (the Company) on Form 10-Q for the period ending June 30, 2018, as filed with the Securities and Exchange Commission on the date hereof (the Report), Olivier Jarrault, President and Chief Executive Officer, and John B. Cozzolino, Chief Financial Officer and Treasurer of the Company, certify, pursuant to 18 U.S.C. § 1350, as adopted pursuant to § 906 of the Sarbanes-Oxley Act of 2002, that:</w:t>
      </w:r>
    </w:p>
    <w:p>
      <w:pPr>
        <w:spacing w:after="0" w:line="196" w:lineRule="exact"/>
        <w:rPr>
          <w:sz w:val="20"/>
          <w:szCs w:val="20"/>
          <w:color w:val="auto"/>
        </w:rPr>
      </w:pPr>
    </w:p>
    <w:p>
      <w:pPr>
        <w:ind w:left="940" w:hanging="317"/>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and Exchange Act of 1934; and</w:t>
      </w:r>
    </w:p>
    <w:p>
      <w:pPr>
        <w:spacing w:after="0" w:line="204" w:lineRule="exact"/>
        <w:rPr>
          <w:rFonts w:ascii="Arial" w:cs="Arial" w:eastAsia="Arial" w:hAnsi="Arial"/>
          <w:sz w:val="17"/>
          <w:szCs w:val="17"/>
          <w:color w:val="auto"/>
        </w:rPr>
      </w:pPr>
    </w:p>
    <w:p>
      <w:pPr>
        <w:ind w:left="940" w:right="200" w:hanging="317"/>
        <w:spacing w:after="0" w:line="250" w:lineRule="auto"/>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Dated: August 7, 2018</w:t>
      </w:r>
    </w:p>
    <w:p>
      <w:pPr>
        <w:spacing w:after="0" w:line="396" w:lineRule="exact"/>
        <w:rPr>
          <w:sz w:val="20"/>
          <w:szCs w:val="20"/>
          <w:color w:val="auto"/>
        </w:rPr>
      </w:pPr>
    </w:p>
    <w:p>
      <w:pPr>
        <w:ind w:left="6860"/>
        <w:spacing w:after="0"/>
        <w:rPr>
          <w:sz w:val="20"/>
          <w:szCs w:val="20"/>
          <w:color w:val="auto"/>
        </w:rPr>
      </w:pPr>
      <w:r>
        <w:rPr>
          <w:rFonts w:ascii="Arial" w:cs="Arial" w:eastAsia="Arial" w:hAnsi="Arial"/>
          <w:sz w:val="17"/>
          <w:szCs w:val="17"/>
          <w:u w:val="single" w:color="auto"/>
          <w:color w:val="auto"/>
        </w:rPr>
        <w:t>/s/ Olivier Jarrault</w:t>
      </w:r>
    </w:p>
    <w:p>
      <w:pPr>
        <w:ind w:left="6860"/>
        <w:spacing w:after="0" w:line="237" w:lineRule="auto"/>
        <w:rPr>
          <w:sz w:val="20"/>
          <w:szCs w:val="20"/>
          <w:color w:val="auto"/>
        </w:rPr>
      </w:pPr>
      <w:r>
        <w:rPr>
          <w:rFonts w:ascii="Arial" w:cs="Arial" w:eastAsia="Arial" w:hAnsi="Arial"/>
          <w:sz w:val="17"/>
          <w:szCs w:val="17"/>
          <w:color w:val="auto"/>
        </w:rPr>
        <w:t>Olivier Jarrault</w:t>
      </w:r>
    </w:p>
    <w:p>
      <w:pPr>
        <w:ind w:left="6860"/>
        <w:spacing w:after="0" w:line="238" w:lineRule="auto"/>
        <w:rPr>
          <w:sz w:val="20"/>
          <w:szCs w:val="20"/>
          <w:color w:val="auto"/>
        </w:rPr>
      </w:pPr>
      <w:r>
        <w:rPr>
          <w:rFonts w:ascii="Arial" w:cs="Arial" w:eastAsia="Arial" w:hAnsi="Arial"/>
          <w:sz w:val="17"/>
          <w:szCs w:val="17"/>
          <w:color w:val="auto"/>
        </w:rPr>
        <w:t>President and Chief Executive Officer</w:t>
      </w:r>
    </w:p>
    <w:p>
      <w:pPr>
        <w:ind w:left="686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377" w:lineRule="exact"/>
        <w:rPr>
          <w:sz w:val="20"/>
          <w:szCs w:val="20"/>
          <w:color w:val="auto"/>
        </w:rPr>
      </w:pPr>
    </w:p>
    <w:p>
      <w:pPr>
        <w:ind w:left="6860"/>
        <w:spacing w:after="0"/>
        <w:rPr>
          <w:sz w:val="20"/>
          <w:szCs w:val="20"/>
          <w:color w:val="auto"/>
        </w:rPr>
      </w:pPr>
      <w:r>
        <w:rPr>
          <w:rFonts w:ascii="Arial" w:cs="Arial" w:eastAsia="Arial" w:hAnsi="Arial"/>
          <w:sz w:val="17"/>
          <w:szCs w:val="17"/>
          <w:u w:val="single" w:color="auto"/>
          <w:color w:val="auto"/>
        </w:rPr>
        <w:t>/s/ John B. Cozzolino</w:t>
      </w:r>
    </w:p>
    <w:p>
      <w:pPr>
        <w:ind w:left="6860"/>
        <w:spacing w:after="0" w:line="237" w:lineRule="auto"/>
        <w:rPr>
          <w:sz w:val="20"/>
          <w:szCs w:val="20"/>
          <w:color w:val="auto"/>
        </w:rPr>
      </w:pPr>
      <w:r>
        <w:rPr>
          <w:rFonts w:ascii="Arial" w:cs="Arial" w:eastAsia="Arial" w:hAnsi="Arial"/>
          <w:sz w:val="17"/>
          <w:szCs w:val="17"/>
          <w:color w:val="auto"/>
        </w:rPr>
        <w:t>John B. Cozzolino</w:t>
      </w:r>
    </w:p>
    <w:p>
      <w:pPr>
        <w:ind w:left="6860"/>
        <w:spacing w:after="0" w:line="238" w:lineRule="auto"/>
        <w:rPr>
          <w:sz w:val="20"/>
          <w:szCs w:val="20"/>
          <w:color w:val="auto"/>
        </w:rPr>
      </w:pPr>
      <w:r>
        <w:rPr>
          <w:rFonts w:ascii="Arial" w:cs="Arial" w:eastAsia="Arial" w:hAnsi="Arial"/>
          <w:sz w:val="17"/>
          <w:szCs w:val="17"/>
          <w:color w:val="auto"/>
        </w:rPr>
        <w:t>Chief Financial Officer and Treasurer</w:t>
      </w:r>
    </w:p>
    <w:p>
      <w:pPr>
        <w:ind w:left="6860"/>
        <w:spacing w:after="0"/>
        <w:rPr>
          <w:sz w:val="20"/>
          <w:szCs w:val="20"/>
          <w:color w:val="auto"/>
        </w:rPr>
      </w:pPr>
      <w:r>
        <w:rPr>
          <w:rFonts w:ascii="Arial" w:cs="Arial" w:eastAsia="Arial" w:hAnsi="Arial"/>
          <w:sz w:val="17"/>
          <w:szCs w:val="17"/>
          <w:color w:val="auto"/>
        </w:rPr>
        <w:t>(Principal Financial Officer)</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33020"/>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7"/>
          <w:szCs w:val="17"/>
          <w:b w:val="1"/>
          <w:bCs w:val="1"/>
          <w:color w:val="auto"/>
        </w:rPr>
        <w:t>EXHIBIT (99.1)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MARKET RISK SENSITIVITY – As of June 30, 2018</w:t>
      </w:r>
    </w:p>
    <w:p>
      <w:pPr>
        <w:spacing w:after="0" w:line="192" w:lineRule="exact"/>
        <w:rPr>
          <w:sz w:val="20"/>
          <w:szCs w:val="20"/>
          <w:color w:val="auto"/>
        </w:rPr>
      </w:pPr>
    </w:p>
    <w:p>
      <w:pPr>
        <w:ind w:right="460" w:firstLine="620"/>
        <w:spacing w:after="0" w:line="250" w:lineRule="auto"/>
        <w:rPr>
          <w:sz w:val="20"/>
          <w:szCs w:val="20"/>
          <w:color w:val="auto"/>
        </w:rPr>
      </w:pPr>
      <w:r>
        <w:rPr>
          <w:rFonts w:ascii="Arial" w:cs="Arial" w:eastAsia="Arial" w:hAnsi="Arial"/>
          <w:sz w:val="17"/>
          <w:szCs w:val="17"/>
          <w:color w:val="auto"/>
        </w:rPr>
        <w:t>We have market risk with respect to foreign currency exchange rates and interest rates. The market risk is the potential loss arising from adverse changes in these rates as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62"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$539.8 million. The potential loss in fair value resulting from a hypothetical 10% adverse change in quoted foreign currency exchange rates amounts to $54 million. Furthermore, related to foreign currency transactions, we have exposure to various nonfunctional currency balances totaling $89.7 million. This amount includes, on an absolute basis, exposures to assets and liabilities held in currencies other than our local entity’s functional currency. On a net basis, we had $57.3 million of foreign currency liabilities as of June 30, 2018. As currency rates change, these nonfunctional currency balances are revalued, and the corresponding adjustment is recorded in the income statement. A hypothetical change of 10% in currency rates could result in an adjustment to the income statement of approximately $5.7 million. Actual results may differ.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exposed to interest rate fluctuations with respect to our variable rate debt, depending on general economic conditions.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June 30, 2018,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106045</wp:posOffset>
            </wp:positionV>
            <wp:extent cx="58019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01995" cy="8255"/>
                    </a:xfrm>
                    <a:prstGeom prst="rect">
                      <a:avLst/>
                    </a:prstGeom>
                    <a:noFill/>
                  </pic:spPr>
                </pic:pic>
              </a:graphicData>
            </a:graphic>
          </wp:anchor>
        </w:drawing>
      </w:r>
    </w:p>
    <w:p>
      <w:pPr>
        <w:spacing w:after="0" w:line="33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 thousands, except interest rates)</w:t>
      </w:r>
    </w:p>
    <w:p>
      <w:pPr>
        <w:spacing w:after="0" w:line="21" w:lineRule="exact"/>
        <w:rPr>
          <w:sz w:val="20"/>
          <w:szCs w:val="20"/>
          <w:color w:val="auto"/>
        </w:rPr>
      </w:pPr>
    </w:p>
    <w:tbl>
      <w:tblPr>
        <w:tblLayout w:type="fixed"/>
        <w:tblInd w:w="600" w:type="dxa"/>
        <w:tblCellMar>
          <w:top w:w="0" w:type="dxa"/>
          <w:left w:w="0" w:type="dxa"/>
          <w:bottom w:w="0" w:type="dxa"/>
          <w:right w:w="0" w:type="dxa"/>
        </w:tblCellMar>
      </w:tblPr>
      <w:tr>
        <w:trPr>
          <w:trHeight w:val="186"/>
        </w:trPr>
        <w:tc>
          <w:tcPr>
            <w:tcW w:w="644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Short-term debt</w:t>
            </w:r>
          </w:p>
        </w:tc>
        <w:tc>
          <w:tcPr>
            <w:tcW w:w="2700" w:type="dxa"/>
            <w:vAlign w:val="bottom"/>
            <w:tcBorders>
              <w:top w:val="single" w:sz="8" w:color="auto"/>
            </w:tcBorders>
          </w:tcPr>
          <w:p>
            <w:pPr>
              <w:spacing w:after="0"/>
              <w:rPr>
                <w:sz w:val="16"/>
                <w:szCs w:val="16"/>
                <w:color w:val="auto"/>
              </w:rPr>
            </w:pPr>
          </w:p>
        </w:tc>
      </w:tr>
      <w:tr>
        <w:trPr>
          <w:trHeight w:val="172"/>
        </w:trPr>
        <w:tc>
          <w:tcPr>
            <w:tcW w:w="6440" w:type="dxa"/>
            <w:vAlign w:val="bottom"/>
          </w:tcPr>
          <w:p>
            <w:pPr>
              <w:spacing w:after="0" w:line="172" w:lineRule="exact"/>
              <w:rPr>
                <w:sz w:val="20"/>
                <w:szCs w:val="20"/>
                <w:color w:val="auto"/>
              </w:rPr>
            </w:pPr>
            <w:r>
              <w:rPr>
                <w:rFonts w:ascii="Arial" w:cs="Arial" w:eastAsia="Arial" w:hAnsi="Arial"/>
                <w:sz w:val="17"/>
                <w:szCs w:val="17"/>
                <w:color w:val="auto"/>
              </w:rPr>
              <w:t>Notes payable, end of period interest rate of 1.190%</w:t>
            </w:r>
          </w:p>
        </w:tc>
        <w:tc>
          <w:tcPr>
            <w:tcW w:w="2700" w:type="dxa"/>
            <w:vAlign w:val="bottom"/>
          </w:tcPr>
          <w:p>
            <w:pPr>
              <w:jc w:val="right"/>
              <w:spacing w:after="0" w:line="172" w:lineRule="exact"/>
              <w:rPr>
                <w:sz w:val="20"/>
                <w:szCs w:val="20"/>
                <w:color w:val="auto"/>
              </w:rPr>
            </w:pPr>
            <w:r>
              <w:rPr>
                <w:rFonts w:ascii="Arial" w:cs="Arial" w:eastAsia="Arial" w:hAnsi="Arial"/>
                <w:sz w:val="17"/>
                <w:szCs w:val="17"/>
                <w:color w:val="auto"/>
              </w:rPr>
              <w:t>$26</w:t>
            </w:r>
          </w:p>
        </w:tc>
      </w:tr>
      <w:tr>
        <w:trPr>
          <w:trHeight w:val="216"/>
        </w:trPr>
        <w:tc>
          <w:tcPr>
            <w:tcW w:w="6440" w:type="dxa"/>
            <w:vAlign w:val="bottom"/>
          </w:tcPr>
          <w:p>
            <w:pPr>
              <w:spacing w:after="0"/>
              <w:rPr>
                <w:sz w:val="20"/>
                <w:szCs w:val="20"/>
                <w:color w:val="auto"/>
              </w:rPr>
            </w:pPr>
            <w:r>
              <w:rPr>
                <w:rFonts w:ascii="Arial" w:cs="Arial" w:eastAsia="Arial" w:hAnsi="Arial"/>
                <w:sz w:val="17"/>
                <w:szCs w:val="17"/>
                <w:b w:val="1"/>
                <w:bCs w:val="1"/>
                <w:color w:val="auto"/>
              </w:rPr>
              <w:t>Long-term debt</w:t>
            </w:r>
          </w:p>
        </w:tc>
        <w:tc>
          <w:tcPr>
            <w:tcW w:w="2700" w:type="dxa"/>
            <w:vAlign w:val="bottom"/>
          </w:tcPr>
          <w:p>
            <w:pPr>
              <w:spacing w:after="0"/>
              <w:rPr>
                <w:sz w:val="18"/>
                <w:szCs w:val="18"/>
                <w:color w:val="auto"/>
              </w:rPr>
            </w:pP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Credit agreement with borrowings outstanding, net of fixed</w:t>
            </w:r>
          </w:p>
        </w:tc>
        <w:tc>
          <w:tcPr>
            <w:tcW w:w="2700" w:type="dxa"/>
            <w:vAlign w:val="bottom"/>
          </w:tcPr>
          <w:p>
            <w:pPr>
              <w:spacing w:after="0"/>
              <w:rPr>
                <w:sz w:val="16"/>
                <w:szCs w:val="16"/>
                <w:color w:val="auto"/>
              </w:rPr>
            </w:pPr>
          </w:p>
        </w:tc>
      </w:tr>
      <w:tr>
        <w:trPr>
          <w:trHeight w:val="194"/>
        </w:trPr>
        <w:tc>
          <w:tcPr>
            <w:tcW w:w="6440" w:type="dxa"/>
            <w:vAlign w:val="bottom"/>
          </w:tcPr>
          <w:p>
            <w:pPr>
              <w:spacing w:after="0" w:line="194" w:lineRule="exact"/>
              <w:rPr>
                <w:sz w:val="20"/>
                <w:szCs w:val="20"/>
                <w:color w:val="auto"/>
              </w:rPr>
            </w:pPr>
            <w:r>
              <w:rPr>
                <w:rFonts w:ascii="Arial" w:cs="Arial" w:eastAsia="Arial" w:hAnsi="Arial"/>
                <w:sz w:val="17"/>
                <w:szCs w:val="17"/>
                <w:color w:val="auto"/>
              </w:rPr>
              <w:t>rate portion, at an end of period interest rate of 3.513% in</w:t>
            </w:r>
          </w:p>
        </w:tc>
        <w:tc>
          <w:tcPr>
            <w:tcW w:w="2700" w:type="dxa"/>
            <w:vAlign w:val="bottom"/>
          </w:tcPr>
          <w:p>
            <w:pPr>
              <w:spacing w:after="0"/>
              <w:rPr>
                <w:sz w:val="16"/>
                <w:szCs w:val="16"/>
                <w:color w:val="auto"/>
              </w:rPr>
            </w:pPr>
          </w:p>
        </w:tc>
      </w:tr>
      <w:tr>
        <w:trPr>
          <w:trHeight w:val="206"/>
        </w:trPr>
        <w:tc>
          <w:tcPr>
            <w:tcW w:w="6440" w:type="dxa"/>
            <w:vAlign w:val="bottom"/>
          </w:tcPr>
          <w:p>
            <w:pPr>
              <w:spacing w:after="0"/>
              <w:rPr>
                <w:sz w:val="20"/>
                <w:szCs w:val="20"/>
                <w:color w:val="auto"/>
              </w:rPr>
            </w:pPr>
            <w:r>
              <w:rPr>
                <w:rFonts w:ascii="Arial" w:cs="Arial" w:eastAsia="Arial" w:hAnsi="Arial"/>
                <w:sz w:val="17"/>
                <w:szCs w:val="17"/>
                <w:color w:val="auto"/>
              </w:rPr>
              <w:t>2018, due in 2022</w:t>
            </w:r>
          </w:p>
        </w:tc>
        <w:tc>
          <w:tcPr>
            <w:tcW w:w="2700" w:type="dxa"/>
            <w:vAlign w:val="bottom"/>
          </w:tcPr>
          <w:p>
            <w:pPr>
              <w:jc w:val="right"/>
              <w:spacing w:after="0"/>
              <w:rPr>
                <w:sz w:val="20"/>
                <w:szCs w:val="20"/>
                <w:color w:val="auto"/>
              </w:rPr>
            </w:pPr>
            <w:r>
              <w:rPr>
                <w:rFonts w:ascii="Arial" w:cs="Arial" w:eastAsia="Arial" w:hAnsi="Arial"/>
                <w:sz w:val="17"/>
                <w:szCs w:val="17"/>
                <w:color w:val="auto"/>
              </w:rPr>
              <w:t>161,000</w:t>
            </w:r>
          </w:p>
        </w:tc>
      </w:tr>
      <w:tr>
        <w:trPr>
          <w:trHeight w:val="182"/>
        </w:trPr>
        <w:tc>
          <w:tcPr>
            <w:tcW w:w="64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r>
      <w:tr>
        <w:trPr>
          <w:trHeight w:val="380"/>
        </w:trPr>
        <w:tc>
          <w:tcPr>
            <w:tcW w:w="6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$161,026</w:t>
            </w:r>
          </w:p>
        </w:tc>
      </w:tr>
    </w:tbl>
    <w:p>
      <w:pPr>
        <w:spacing w:after="0" w:line="167" w:lineRule="exact"/>
        <w:rPr>
          <w:sz w:val="20"/>
          <w:szCs w:val="20"/>
          <w:color w:val="auto"/>
        </w:rPr>
      </w:pPr>
    </w:p>
    <w:p>
      <w:pPr>
        <w:ind w:right="140" w:firstLine="620"/>
        <w:spacing w:after="0" w:line="241" w:lineRule="auto"/>
        <w:rPr>
          <w:sz w:val="20"/>
          <w:szCs w:val="20"/>
          <w:color w:val="auto"/>
        </w:rPr>
      </w:pPr>
      <w:r>
        <w:rPr>
          <w:rFonts w:ascii="Arial" w:cs="Arial" w:eastAsia="Arial" w:hAnsi="Arial"/>
          <w:sz w:val="17"/>
          <w:szCs w:val="17"/>
          <w:color w:val="auto"/>
        </w:rPr>
        <w:t>Assuming borrowings were outstanding for an entire year, an increase of one percentage point in weighted average interest rates would increase interest expense by $1.6 million. To manage interest rate risk, we may periodically enter into interest rate swap agreements to effectively fix the interest rates on variable debt to a specific rate for a period of time. (See Note 16 to the Consolidated Financial Statements in Item 1, which is incorporated herein by reference).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3302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lvl w:ilvl="1">
      <w:lvlJc w:val="left"/>
      <w:lvlText w:val="(%2)"/>
      <w:numFmt w:val="lowerLetter"/>
      <w:start w:val="1"/>
    </w:lvl>
  </w:abstractNum>
  <w:abstractNum w:abstractNumId="3">
    <w:nsid w:val="2443A858"/>
    <w:multiLevelType w:val="hybridMultilevel"/>
    <w:lvl w:ilvl="0">
      <w:lvlJc w:val="left"/>
      <w:lvlText w:val="%1."/>
      <w:numFmt w:val="decimal"/>
      <w:start w:val="11"/>
    </w:lvl>
    <w:lvl w:ilvl="1">
      <w:lvlJc w:val="left"/>
      <w:lvlText w:val="%2"/>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lvl w:ilvl="1">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lvl w:ilvl="1">
      <w:lvlJc w:val="left"/>
      <w:lvlText w:val="•"/>
      <w:numFmt w:val="bullet"/>
      <w:start w:val="1"/>
    </w:lvl>
  </w:abstractNum>
  <w:abstractNum w:abstractNumId="10">
    <w:nsid w:val="B03E0C6"/>
    <w:multiLevelType w:val="hybridMultilevel"/>
    <w:lvl w:ilvl="0">
      <w:lvlJc w:val="left"/>
      <w:lvlText w:val="·"/>
      <w:numFmt w:val="bullet"/>
      <w:start w:val="1"/>
    </w:lvl>
    <w:lvl w:ilvl="1">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lvl w:ilvl="1">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decimal"/>
      <w:start w:val="101"/>
    </w:lvl>
  </w:abstractNum>
  <w:abstractNum w:abstractNumId="35">
    <w:nsid w:val="2463B9EA"/>
    <w:multiLevelType w:val="hybridMultilevel"/>
    <w:lvl w:ilvl="0">
      <w:lvlJc w:val="left"/>
      <w:lvlText w:val="(%1)"/>
      <w:numFmt w:val="lowerRoman"/>
      <w:start w:val="1"/>
    </w:lvl>
  </w:abstractNum>
  <w:abstractNum w:abstractNumId="36">
    <w:nsid w:val="5E884ADC"/>
    <w:multiLevelType w:val="hybridMultilevel"/>
    <w:lvl w:ilvl="0">
      <w:lvlJc w:val="left"/>
      <w:lvlText w:val="%1."/>
      <w:numFmt w:val="decimal"/>
      <w:start w:val="1"/>
    </w:lvl>
    <w:lvl w:ilvl="1">
      <w:lvlJc w:val="left"/>
      <w:lvlText w:val="(%2)"/>
      <w:numFmt w:val="lowerLetter"/>
      <w:start w:val="5"/>
    </w:lvl>
  </w:abstractNum>
  <w:abstractNum w:abstractNumId="37">
    <w:nsid w:val="51EAD36B"/>
    <w:multiLevelType w:val="hybridMultilevel"/>
    <w:lvl w:ilvl="0">
      <w:lvlJc w:val="left"/>
      <w:lvlText w:val="%1."/>
      <w:numFmt w:val="decimal"/>
      <w:start w:val="2"/>
    </w:lvl>
    <w:lvl w:ilvl="1">
      <w:lvlJc w:val="left"/>
      <w:lvlText w:val="(%2)"/>
      <w:numFmt w:val="lowerLetter"/>
      <w:start w:val="7"/>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2019-12-28T20:30:06Z</dcterms:created>
  <dcterms:modified xsi:type="dcterms:W3CDTF">2019-12-28T20:30:06Z</dcterms:modified>
</cp:coreProperties>
</file>