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1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September 30, 2022</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8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26670</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6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34925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89" w:lineRule="exact"/>
        <w:rPr>
          <w:sz w:val="24"/>
          <w:szCs w:val="24"/>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9" w:lineRule="exact"/>
        <w:rPr>
          <w:sz w:val="24"/>
          <w:szCs w:val="24"/>
          <w:color w:val="auto"/>
        </w:rPr>
      </w:pPr>
    </w:p>
    <w:p>
      <w:pPr>
        <w:ind w:right="2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ind w:right="40"/>
        <w:spacing w:after="0" w:line="287" w:lineRule="auto"/>
        <w:rPr>
          <w:sz w:val="20"/>
          <w:szCs w:val="20"/>
          <w:color w:val="auto"/>
        </w:rPr>
      </w:pPr>
      <w:r>
        <w:rPr>
          <w:rFonts w:ascii="Arial" w:cs="Arial" w:eastAsia="Arial" w:hAnsi="Arial"/>
          <w:sz w:val="18"/>
          <w:szCs w:val="18"/>
          <w:color w:val="auto"/>
        </w:rPr>
        <w:t>The registrant had 31.1 million shares of Class A Common Stock and no shares of Class B Common Stock outstanding as of October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49" w:right="319" w:bottom="52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187960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Page</w:t>
            </w: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No.</w:t>
            </w:r>
          </w:p>
        </w:tc>
      </w:tr>
      <w:tr>
        <w:trPr>
          <w:trHeight w:val="21"/>
        </w:trPr>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gridSpan w:val="2"/>
          </w:tcPr>
          <w:p>
            <w:pPr>
              <w:spacing w:after="0" w:line="20" w:lineRule="exact"/>
              <w:rPr>
                <w:sz w:val="1"/>
                <w:szCs w:val="1"/>
                <w:color w:val="auto"/>
              </w:rPr>
            </w:pPr>
          </w:p>
        </w:tc>
        <w:tc>
          <w:tcPr>
            <w:tcW w:w="56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B2B2B2"/>
          </w:tcPr>
          <w:p>
            <w:pPr>
              <w:spacing w:after="0"/>
              <w:rPr>
                <w:sz w:val="19"/>
                <w:szCs w:val="19"/>
                <w:color w:val="auto"/>
              </w:rPr>
            </w:pPr>
          </w:p>
        </w:tc>
        <w:tc>
          <w:tcPr>
            <w:tcW w:w="10580" w:type="dxa"/>
            <w:vAlign w:val="bottom"/>
            <w:gridSpan w:val="35"/>
            <w:shd w:val="clear" w:color="auto" w:fill="B2B2B2"/>
          </w:tcPr>
          <w:p>
            <w:pPr>
              <w:spacing w:after="0"/>
              <w:rPr>
                <w:sz w:val="20"/>
                <w:szCs w:val="20"/>
                <w:color w:val="auto"/>
              </w:rPr>
            </w:pPr>
            <w:r>
              <w:rPr>
                <w:rFonts w:ascii="Arial" w:cs="Arial" w:eastAsia="Arial" w:hAnsi="Arial"/>
                <w:sz w:val="16"/>
                <w:szCs w:val="16"/>
                <w:b w:val="1"/>
                <w:bCs w:val="1"/>
                <w:color w:val="0000FF"/>
              </w:rPr>
              <w:t>Part I Financial information</w:t>
            </w:r>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Financial Statements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statements of income – </w:t>
            </w:r>
            <w:r>
              <w:rPr>
                <w:rFonts w:ascii="Arial" w:cs="Arial" w:eastAsia="Arial" w:hAnsi="Arial"/>
                <w:sz w:val="16"/>
                <w:szCs w:val="16"/>
                <w:color w:val="000000"/>
              </w:rPr>
              <w:t>three and 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2022</w:t>
            </w:r>
            <w:r>
              <w:rPr>
                <w:rFonts w:ascii="Arial" w:cs="Arial" w:eastAsia="Arial" w:hAnsi="Arial"/>
                <w:sz w:val="16"/>
                <w:szCs w:val="16"/>
                <w:color w:val="0000FF"/>
              </w:rPr>
              <w:t xml:space="preserve"> and </w:t>
            </w:r>
            <w:r>
              <w:rPr>
                <w:rFonts w:ascii="Arial" w:cs="Arial" w:eastAsia="Arial" w:hAnsi="Arial"/>
                <w:sz w:val="16"/>
                <w:szCs w:val="16"/>
                <w:color w:val="000000"/>
              </w:rPr>
              <w:t>2021</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1</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 xml:space="preserve">Consolidated statements of comprehensive income/(loss) – </w:t>
            </w:r>
            <w:r>
              <w:rPr>
                <w:rFonts w:ascii="Arial" w:cs="Arial" w:eastAsia="Arial" w:hAnsi="Arial"/>
                <w:sz w:val="16"/>
                <w:szCs w:val="16"/>
                <w:color w:val="000000"/>
              </w:rPr>
              <w:t>three and 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2022</w:t>
            </w:r>
            <w:r>
              <w:rPr>
                <w:rFonts w:ascii="Arial" w:cs="Arial" w:eastAsia="Arial" w:hAnsi="Arial"/>
                <w:sz w:val="16"/>
                <w:szCs w:val="16"/>
                <w:color w:val="0000FF"/>
              </w:rPr>
              <w:t xml:space="preserve"> and </w:t>
            </w:r>
            <w:r>
              <w:rPr>
                <w:rFonts w:ascii="Arial" w:cs="Arial" w:eastAsia="Arial" w:hAnsi="Arial"/>
                <w:sz w:val="16"/>
                <w:szCs w:val="16"/>
                <w:color w:val="000000"/>
              </w:rPr>
              <w:t>2021</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balance sheets as of </w:t>
            </w:r>
            <w:r>
              <w:rPr>
                <w:rFonts w:ascii="Arial" w:cs="Arial" w:eastAsia="Arial" w:hAnsi="Arial"/>
                <w:sz w:val="16"/>
                <w:szCs w:val="16"/>
                <w:color w:val="000000"/>
              </w:rPr>
              <w:t>September 30, 2022</w:t>
            </w:r>
            <w:r>
              <w:rPr>
                <w:rFonts w:ascii="Arial" w:cs="Arial" w:eastAsia="Arial" w:hAnsi="Arial"/>
                <w:sz w:val="16"/>
                <w:szCs w:val="16"/>
                <w:color w:val="0000FF"/>
              </w:rPr>
              <w:t xml:space="preserve"> and </w:t>
            </w:r>
            <w:r>
              <w:rPr>
                <w:rFonts w:ascii="Arial" w:cs="Arial" w:eastAsia="Arial" w:hAnsi="Arial"/>
                <w:sz w:val="16"/>
                <w:szCs w:val="16"/>
                <w:color w:val="000000"/>
              </w:rPr>
              <w:t>December 31, 2021</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 xml:space="preserve">Consolidated statements of cash flows – </w:t>
            </w:r>
            <w:r>
              <w:rPr>
                <w:rFonts w:ascii="Arial" w:cs="Arial" w:eastAsia="Arial" w:hAnsi="Arial"/>
                <w:sz w:val="16"/>
                <w:szCs w:val="16"/>
                <w:color w:val="000000"/>
              </w:rPr>
              <w:t>three and 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2022</w:t>
            </w:r>
            <w:r>
              <w:rPr>
                <w:rFonts w:ascii="Arial" w:cs="Arial" w:eastAsia="Arial" w:hAnsi="Arial"/>
                <w:sz w:val="16"/>
                <w:szCs w:val="16"/>
                <w:color w:val="0000FF"/>
              </w:rPr>
              <w:t xml:space="preserve"> and </w:t>
            </w:r>
            <w:r>
              <w:rPr>
                <w:rFonts w:ascii="Arial" w:cs="Arial" w:eastAsia="Arial" w:hAnsi="Arial"/>
                <w:sz w:val="16"/>
                <w:szCs w:val="16"/>
                <w:color w:val="000000"/>
              </w:rPr>
              <w:t>2021</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Notes to consolidated financial statements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6</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23</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Forward-looking statements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23</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Quantitative and Qualitative Disclosures about Market Risk</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38</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Controls and Procedures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38</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10580" w:type="dxa"/>
            <w:vAlign w:val="bottom"/>
            <w:gridSpan w:val="35"/>
          </w:tcPr>
          <w:p>
            <w:pPr>
              <w:spacing w:after="0"/>
              <w:rPr>
                <w:sz w:val="20"/>
                <w:szCs w:val="20"/>
                <w:color w:val="auto"/>
              </w:rPr>
            </w:pPr>
            <w:r>
              <w:rPr>
                <w:rFonts w:ascii="Arial" w:cs="Arial" w:eastAsia="Arial" w:hAnsi="Arial"/>
                <w:sz w:val="16"/>
                <w:szCs w:val="16"/>
                <w:b w:val="1"/>
                <w:bCs w:val="1"/>
                <w:color w:val="0000FF"/>
              </w:rPr>
              <w:t>Part II Other Information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3"/>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1.</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Legal Proceedings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39</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Risk Factors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39</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2.</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40</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70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Defaults upon Senior Securities</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40</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Mine Safety Disclosures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40</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7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840" w:type="dxa"/>
            <w:vAlign w:val="bottom"/>
            <w:gridSpan w:val="32"/>
          </w:tcPr>
          <w:p>
            <w:pPr>
              <w:ind w:left="120"/>
              <w:spacing w:after="0"/>
              <w:rPr>
                <w:sz w:val="20"/>
                <w:szCs w:val="20"/>
                <w:color w:val="auto"/>
              </w:rPr>
            </w:pPr>
            <w:r>
              <w:rPr>
                <w:rFonts w:ascii="Arial" w:cs="Arial" w:eastAsia="Arial" w:hAnsi="Arial"/>
                <w:sz w:val="16"/>
                <w:szCs w:val="16"/>
                <w:color w:val="0000FF"/>
              </w:rPr>
              <w:t>Other Information</w:t>
            </w:r>
          </w:p>
        </w:tc>
        <w:tc>
          <w:tcPr>
            <w:tcW w:w="620" w:type="dxa"/>
            <w:vAlign w:val="bottom"/>
            <w:gridSpan w:val="3"/>
          </w:tcPr>
          <w:p>
            <w:pPr>
              <w:jc w:val="right"/>
              <w:spacing w:after="0"/>
              <w:rPr>
                <w:sz w:val="20"/>
                <w:szCs w:val="20"/>
                <w:color w:val="auto"/>
              </w:rPr>
            </w:pPr>
            <w:r>
              <w:rPr>
                <w:rFonts w:ascii="Arial" w:cs="Arial" w:eastAsia="Arial" w:hAnsi="Arial"/>
                <w:sz w:val="16"/>
                <w:szCs w:val="16"/>
                <w:color w:val="0000FF"/>
              </w:rPr>
              <w:t>40</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6.</w:t>
            </w:r>
          </w:p>
        </w:tc>
        <w:tc>
          <w:tcPr>
            <w:tcW w:w="984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Exhibits</w:t>
            </w:r>
          </w:p>
        </w:tc>
        <w:tc>
          <w:tcPr>
            <w:tcW w:w="62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41</w:t>
            </w:r>
          </w:p>
        </w:tc>
        <w:tc>
          <w:tcPr>
            <w:tcW w:w="20" w:type="dxa"/>
            <w:vAlign w:val="bottom"/>
            <w:shd w:val="clear" w:color="auto" w:fill="B2B2B2"/>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1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70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100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00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44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22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0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689,322</w:t>
            </w:r>
          </w:p>
        </w:tc>
      </w:tr>
      <w:tr>
        <w:trPr>
          <w:trHeight w:val="21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407,006</w:t>
            </w:r>
          </w:p>
        </w:tc>
      </w:tr>
      <w:tr>
        <w:trPr>
          <w:trHeight w:val="237"/>
        </w:trPr>
        <w:tc>
          <w:tcPr>
            <w:tcW w:w="6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100,493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92,042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282,316</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116,899</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28,916</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37"/>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136,271</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11,521</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Aviation Manufacturing Jobs Protection (AMJP) grant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(5,832)</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(income)/expense,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(17,891)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4,215</w:t>
            </w:r>
          </w:p>
        </w:tc>
      </w:tr>
      <w:tr>
        <w:trPr>
          <w:trHeight w:val="237"/>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126,367</w:t>
            </w:r>
          </w:p>
        </w:tc>
      </w:tr>
      <w:tr>
        <w:trPr>
          <w:trHeight w:val="21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expense/(benefit)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36,375</w:t>
            </w:r>
          </w:p>
        </w:tc>
      </w:tr>
      <w:tr>
        <w:trPr>
          <w:trHeight w:val="237"/>
        </w:trPr>
        <w:tc>
          <w:tcPr>
            <w:tcW w:w="6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78,267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89,992</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77,632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89,842</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57"/>
        </w:trPr>
        <w:tc>
          <w:tcPr>
            <w:tcW w:w="6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57"/>
        </w:trPr>
        <w:tc>
          <w:tcPr>
            <w:tcW w:w="6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32,369</w:t>
            </w:r>
          </w:p>
        </w:tc>
      </w:tr>
      <w:tr>
        <w:trPr>
          <w:trHeight w:val="257"/>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32,424</w:t>
            </w:r>
          </w:p>
        </w:tc>
      </w:tr>
      <w:tr>
        <w:trPr>
          <w:trHeight w:val="256"/>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share, Class A and Class B</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r>
    </w:tbl>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89,992</w:t>
            </w:r>
          </w:p>
        </w:tc>
      </w:tr>
      <w:tr>
        <w:trPr>
          <w:trHeight w:val="256"/>
        </w:trPr>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(38,971)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(79,841)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(16,497)</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Reclassification of loss on pension settlement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42,657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5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credit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w:t>
            </w:r>
          </w:p>
        </w:tc>
      </w:tr>
      <w:tr>
        <w:trPr>
          <w:trHeight w:val="215"/>
        </w:trPr>
        <w:tc>
          <w:tcPr>
            <w:tcW w:w="5820" w:type="dxa"/>
            <w:vAlign w:val="bottom"/>
          </w:tcPr>
          <w:p>
            <w:pPr>
              <w:ind w:left="220"/>
              <w:spacing w:after="0"/>
              <w:rPr>
                <w:sz w:val="20"/>
                <w:szCs w:val="20"/>
                <w:color w:val="auto"/>
              </w:rPr>
            </w:pPr>
            <w:r>
              <w:rPr>
                <w:rFonts w:ascii="Arial" w:cs="Arial" w:eastAsia="Arial" w:hAnsi="Arial"/>
                <w:sz w:val="16"/>
                <w:szCs w:val="16"/>
                <w:color w:val="auto"/>
              </w:rPr>
              <w:t>Net actuarial loss</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3,320</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5,049</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Derivative valuation adjustment</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8,492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57"/>
        </w:trPr>
        <w:tc>
          <w:tcPr>
            <w:tcW w:w="5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Reclassification of loss on pension settlement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1,007</w:t>
            </w:r>
          </w:p>
        </w:tc>
      </w:tr>
      <w:tr>
        <w:trPr>
          <w:trHeight w:val="217"/>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15"/>
        </w:trPr>
        <w:tc>
          <w:tcPr>
            <w:tcW w:w="582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(1,304)</w:t>
            </w:r>
          </w:p>
        </w:tc>
      </w:tr>
      <w:tr>
        <w:trPr>
          <w:trHeight w:val="244"/>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9"/>
        </w:trPr>
        <w:tc>
          <w:tcPr>
            <w:tcW w:w="582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4,150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43,878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77,489</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the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Comprehensive income attributable to the Company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4,077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43,334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77,558</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5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276,482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302,036</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191,985</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148,729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112,546</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133,840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117,882</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46,761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32,394</w:t>
            </w:r>
          </w:p>
        </w:tc>
        <w:tc>
          <w:tcPr>
            <w:tcW w:w="0" w:type="dxa"/>
            <w:vAlign w:val="bottom"/>
          </w:tcPr>
          <w:p>
            <w:pPr>
              <w:spacing w:after="0"/>
              <w:rPr>
                <w:sz w:val="1"/>
                <w:szCs w:val="1"/>
                <w:color w:val="auto"/>
              </w:rPr>
            </w:pPr>
          </w:p>
        </w:tc>
      </w:tr>
      <w:tr>
        <w:trPr>
          <w:trHeight w:val="192"/>
        </w:trPr>
        <w:tc>
          <w:tcPr>
            <w:tcW w:w="850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808,714</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758,801</w:t>
            </w:r>
          </w:p>
        </w:tc>
        <w:tc>
          <w:tcPr>
            <w:tcW w:w="0" w:type="dxa"/>
            <w:vAlign w:val="bottom"/>
          </w:tcPr>
          <w:p>
            <w:pPr>
              <w:spacing w:after="0"/>
              <w:rPr>
                <w:sz w:val="1"/>
                <w:szCs w:val="1"/>
                <w:color w:val="auto"/>
              </w:rPr>
            </w:pPr>
          </w:p>
        </w:tc>
      </w:tr>
      <w:tr>
        <w:trPr>
          <w:trHeight w:val="220"/>
        </w:trPr>
        <w:tc>
          <w:tcPr>
            <w:tcW w:w="8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411,139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436,417</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39,081</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172,820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182,124</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26,376</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31,849</w:t>
            </w: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98,146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81,416</w:t>
            </w:r>
          </w:p>
        </w:tc>
        <w:tc>
          <w:tcPr>
            <w:tcW w:w="0" w:type="dxa"/>
            <w:vAlign w:val="bottom"/>
          </w:tcPr>
          <w:p>
            <w:pPr>
              <w:spacing w:after="0"/>
              <w:rPr>
                <w:sz w:val="1"/>
                <w:szCs w:val="1"/>
                <w:color w:val="auto"/>
              </w:rPr>
            </w:pPr>
          </w:p>
        </w:tc>
      </w:tr>
      <w:tr>
        <w:trPr>
          <w:trHeight w:val="200"/>
        </w:trPr>
        <w:tc>
          <w:tcPr>
            <w:tcW w:w="850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1,571,849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1,556,064</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68,954</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106,831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124,325</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maturities of long-term debt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14,887</w:t>
            </w:r>
          </w:p>
        </w:tc>
        <w:tc>
          <w:tcPr>
            <w:tcW w:w="0" w:type="dxa"/>
            <w:vAlign w:val="bottom"/>
          </w:tcPr>
          <w:p>
            <w:pPr>
              <w:spacing w:after="0"/>
              <w:rPr>
                <w:sz w:val="1"/>
                <w:szCs w:val="1"/>
                <w:color w:val="auto"/>
              </w:rPr>
            </w:pPr>
          </w:p>
        </w:tc>
      </w:tr>
      <w:tr>
        <w:trPr>
          <w:trHeight w:val="200"/>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208,166</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103,843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107,794</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 and 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12,499</w:t>
            </w:r>
          </w:p>
        </w:tc>
        <w:tc>
          <w:tcPr>
            <w:tcW w:w="0" w:type="dxa"/>
            <w:vAlign w:val="bottom"/>
          </w:tcPr>
          <w:p>
            <w:pPr>
              <w:spacing w:after="0"/>
              <w:rPr>
                <w:sz w:val="1"/>
                <w:szCs w:val="1"/>
                <w:color w:val="auto"/>
              </w:rPr>
            </w:pPr>
          </w:p>
        </w:tc>
      </w:tr>
      <w:tr>
        <w:trPr>
          <w:trHeight w:val="192"/>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751,661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678,459</w:t>
            </w:r>
          </w:p>
        </w:tc>
        <w:tc>
          <w:tcPr>
            <w:tcW w:w="0" w:type="dxa"/>
            <w:vAlign w:val="bottom"/>
          </w:tcPr>
          <w:p>
            <w:pPr>
              <w:spacing w:after="0"/>
              <w:rPr>
                <w:sz w:val="1"/>
                <w:szCs w:val="1"/>
                <w:color w:val="auto"/>
              </w:rPr>
            </w:pPr>
          </w:p>
        </w:tc>
      </w:tr>
      <w:tr>
        <w:trPr>
          <w:trHeight w:val="200"/>
        </w:trPr>
        <w:tc>
          <w:tcPr>
            <w:tcW w:w="8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500" w:type="dxa"/>
            <w:vAlign w:val="bottom"/>
          </w:tcPr>
          <w:p>
            <w:pPr>
              <w:ind w:left="140"/>
              <w:spacing w:after="0" w:line="149" w:lineRule="exact"/>
              <w:rPr>
                <w:sz w:val="20"/>
                <w:szCs w:val="20"/>
                <w:color w:val="auto"/>
              </w:rPr>
            </w:pPr>
            <w:r>
              <w:rPr>
                <w:rFonts w:ascii="Arial" w:cs="Arial" w:eastAsia="Arial" w:hAnsi="Arial"/>
                <w:sz w:val="14"/>
                <w:szCs w:val="14"/>
                <w:color w:val="auto"/>
              </w:rPr>
              <w:t>Class A Common Stock, par value $.001 per share; authorized 100,000,000 shares; 40,785,434 issued in 2022 and 40,760,577 in</w:t>
            </w: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8500" w:type="dxa"/>
            <w:vAlign w:val="bottom"/>
          </w:tcPr>
          <w:p>
            <w:pPr>
              <w:ind w:left="14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Class B Common Stock, par value $.001 per share; authorized 25,000,000 shares; none issued and outstanding in 2022 and 104</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 2021</w:t>
            </w:r>
          </w:p>
        </w:tc>
        <w:tc>
          <w:tcPr>
            <w:tcW w:w="1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440,295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436,996</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920,966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863,057</w:t>
            </w:r>
          </w:p>
        </w:tc>
        <w:tc>
          <w:tcPr>
            <w:tcW w:w="0" w:type="dxa"/>
            <w:vAlign w:val="bottom"/>
          </w:tcPr>
          <w:p>
            <w:pPr>
              <w:spacing w:after="0"/>
              <w:rPr>
                <w:sz w:val="1"/>
                <w:szCs w:val="1"/>
                <w:color w:val="auto"/>
              </w:rPr>
            </w:pPr>
          </w:p>
        </w:tc>
      </w:tr>
      <w:tr>
        <w:trPr>
          <w:trHeight w:val="198"/>
        </w:trPr>
        <w:tc>
          <w:tcPr>
            <w:tcW w:w="8500" w:type="dxa"/>
            <w:vAlign w:val="bottom"/>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 adjustments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(105,880)</w:t>
            </w:r>
          </w:p>
        </w:tc>
        <w:tc>
          <w:tcPr>
            <w:tcW w:w="0" w:type="dxa"/>
            <w:vAlign w:val="bottom"/>
          </w:tcPr>
          <w:p>
            <w:pPr>
              <w:spacing w:after="0"/>
              <w:rPr>
                <w:sz w:val="1"/>
                <w:szCs w:val="1"/>
                <w:color w:val="auto"/>
              </w:rPr>
            </w:pPr>
          </w:p>
        </w:tc>
      </w:tr>
      <w:tr>
        <w:trPr>
          <w:trHeight w:val="198"/>
        </w:trPr>
        <w:tc>
          <w:tcPr>
            <w:tcW w:w="8500" w:type="dxa"/>
            <w:vAlign w:val="bottom"/>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(38,490)</w:t>
            </w:r>
          </w:p>
        </w:tc>
        <w:tc>
          <w:tcPr>
            <w:tcW w:w="0" w:type="dxa"/>
            <w:vAlign w:val="bottom"/>
          </w:tcPr>
          <w:p>
            <w:pPr>
              <w:spacing w:after="0"/>
              <w:rPr>
                <w:sz w:val="1"/>
                <w:szCs w:val="1"/>
                <w:color w:val="auto"/>
              </w:rPr>
            </w:pPr>
          </w:p>
        </w:tc>
      </w:tr>
      <w:tr>
        <w:trPr>
          <w:trHeight w:val="207"/>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valuation adjustment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198"/>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(Class A), at cost; 9,674,542 shares in 2022 and 8,665,090 in 2021</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(280,143)</w:t>
            </w:r>
          </w:p>
        </w:tc>
        <w:tc>
          <w:tcPr>
            <w:tcW w:w="0" w:type="dxa"/>
            <w:vAlign w:val="bottom"/>
          </w:tcPr>
          <w:p>
            <w:pPr>
              <w:spacing w:after="0"/>
              <w:rPr>
                <w:sz w:val="1"/>
                <w:szCs w:val="1"/>
                <w:color w:val="auto"/>
              </w:rPr>
            </w:pPr>
          </w:p>
        </w:tc>
      </w:tr>
      <w:tr>
        <w:trPr>
          <w:trHeight w:val="200"/>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Company shareholders' equity</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816,006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873,967</w:t>
            </w:r>
          </w:p>
        </w:tc>
        <w:tc>
          <w:tcPr>
            <w:tcW w:w="0" w:type="dxa"/>
            <w:vAlign w:val="bottom"/>
          </w:tcPr>
          <w:p>
            <w:pPr>
              <w:spacing w:after="0"/>
              <w:rPr>
                <w:sz w:val="1"/>
                <w:szCs w:val="1"/>
                <w:color w:val="auto"/>
              </w:rPr>
            </w:pPr>
          </w:p>
        </w:tc>
      </w:tr>
      <w:tr>
        <w:trPr>
          <w:trHeight w:val="198"/>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820,188</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877,605</w:t>
            </w:r>
          </w:p>
        </w:tc>
        <w:tc>
          <w:tcPr>
            <w:tcW w:w="0" w:type="dxa"/>
            <w:vAlign w:val="bottom"/>
          </w:tcPr>
          <w:p>
            <w:pPr>
              <w:spacing w:after="0"/>
              <w:rPr>
                <w:sz w:val="1"/>
                <w:szCs w:val="1"/>
                <w:color w:val="auto"/>
              </w:rPr>
            </w:pPr>
          </w:p>
        </w:tc>
      </w:tr>
      <w:tr>
        <w:trPr>
          <w:trHeight w:val="200"/>
        </w:trPr>
        <w:tc>
          <w:tcPr>
            <w:tcW w:w="850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1,571,849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1,556,064</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21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r>
      <w:tr>
        <w:trPr>
          <w:trHeight w:val="194"/>
        </w:trPr>
        <w:tc>
          <w:tcPr>
            <w:tcW w:w="63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r>
      <w:tr>
        <w:trPr>
          <w:trHeight w:val="181"/>
        </w:trPr>
        <w:tc>
          <w:tcPr>
            <w:tcW w:w="63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7"/>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89,992</w:t>
            </w:r>
          </w:p>
        </w:tc>
      </w:tr>
      <w:tr>
        <w:trPr>
          <w:trHeight w:val="198"/>
        </w:trPr>
        <w:tc>
          <w:tcPr>
            <w:tcW w:w="630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48,485</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6,862</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 in deferred taxes and other liabilities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7,022</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Impairment of property, plant, equipment, and inventory</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563</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Non-cash interest expense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Non-cash portion of pension settlement expense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42,657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42,657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Provision/(recovery) for credit losses from uncollected receivables and contract assets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(1,158)</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remeasurement (gain)/loss on intercompany loans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Fair value adjustment on foreign currency options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07"/>
        </w:trPr>
        <w:tc>
          <w:tcPr>
            <w:tcW w:w="6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630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(14,292)</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Contract assets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(37,201)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22,170</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(9,838)</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2,444</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prepaid and receivable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4,312</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(12,311)</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(1,085)</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receivables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(5,582)</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3,232</w:t>
            </w:r>
          </w:p>
        </w:tc>
      </w:tr>
      <w:tr>
        <w:trPr>
          <w:trHeight w:val="192"/>
        </w:trPr>
        <w:tc>
          <w:tcPr>
            <w:tcW w:w="63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29,594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52,859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67,307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148,499</w:t>
            </w:r>
          </w:p>
        </w:tc>
      </w:tr>
      <w:tr>
        <w:trPr>
          <w:trHeight w:val="133"/>
        </w:trPr>
        <w:tc>
          <w:tcPr>
            <w:tcW w:w="6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98"/>
        </w:trPr>
        <w:tc>
          <w:tcPr>
            <w:tcW w:w="63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(31,754)</w:t>
            </w:r>
          </w:p>
        </w:tc>
      </w:tr>
      <w:tr>
        <w:trPr>
          <w:trHeight w:val="198"/>
        </w:trPr>
        <w:tc>
          <w:tcPr>
            <w:tcW w:w="63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Purchased software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w:t>
            </w:r>
          </w:p>
        </w:tc>
      </w:tr>
      <w:tr>
        <w:trPr>
          <w:trHeight w:val="196"/>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(52,832)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(32,148)</w:t>
            </w:r>
          </w:p>
        </w:tc>
      </w:tr>
      <w:tr>
        <w:trPr>
          <w:trHeight w:val="133"/>
        </w:trPr>
        <w:tc>
          <w:tcPr>
            <w:tcW w:w="6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8,000</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Principal payments on debt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(56,009)</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Principal payments on finance lease liabilities</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(1,067)</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 of Treasury shares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300" w:type="dxa"/>
            <w:vAlign w:val="bottom"/>
          </w:tcPr>
          <w:p>
            <w:pPr>
              <w:ind w:left="480"/>
              <w:spacing w:after="0"/>
              <w:rPr>
                <w:sz w:val="20"/>
                <w:szCs w:val="20"/>
                <w:color w:val="auto"/>
              </w:rPr>
            </w:pPr>
            <w:r>
              <w:rPr>
                <w:rFonts w:ascii="Arial" w:cs="Arial" w:eastAsia="Arial" w:hAnsi="Arial"/>
                <w:sz w:val="14"/>
                <w:szCs w:val="14"/>
                <w:color w:val="auto"/>
              </w:rPr>
              <w:t>Taxes paid in lieu of share issuance</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(998)</w:t>
            </w:r>
          </w:p>
        </w:tc>
      </w:tr>
      <w:tr>
        <w:trPr>
          <w:trHeight w:val="207"/>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options exercised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98"/>
        </w:trPr>
        <w:tc>
          <w:tcPr>
            <w:tcW w:w="63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Dividends paid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(19,932)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(19,418)</w:t>
            </w:r>
          </w:p>
        </w:tc>
      </w:tr>
      <w:tr>
        <w:trPr>
          <w:trHeight w:val="196"/>
        </w:trPr>
        <w:tc>
          <w:tcPr>
            <w:tcW w:w="63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(69,339)</w:t>
            </w:r>
          </w:p>
        </w:tc>
      </w:tr>
      <w:tr>
        <w:trPr>
          <w:trHeight w:val="133"/>
        </w:trPr>
        <w:tc>
          <w:tcPr>
            <w:tcW w:w="63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92"/>
        </w:trPr>
        <w:tc>
          <w:tcPr>
            <w:tcW w:w="63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(30,910)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w:t>
            </w:r>
          </w:p>
        </w:tc>
      </w:tr>
      <w:tr>
        <w:trPr>
          <w:trHeight w:val="133"/>
        </w:trPr>
        <w:tc>
          <w:tcPr>
            <w:tcW w:w="6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(Decrease)/increase in cash and cash equivalents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44,901</w:t>
            </w:r>
          </w:p>
        </w:tc>
      </w:tr>
      <w:tr>
        <w:trPr>
          <w:trHeight w:val="19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320,870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253,330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302,036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241,316</w:t>
            </w:r>
          </w:p>
        </w:tc>
      </w:tr>
      <w:tr>
        <w:trPr>
          <w:trHeight w:val="22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276,482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286,217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276,482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286,217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113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ind w:left="340" w:right="8340" w:hanging="332"/>
        <w:spacing w:after="0" w:line="396"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6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2021.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 and Revenue Recognition</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Albany Engineered Composites (“AEC”) segment provides highly engineered, advanced composite structures to customers in the commercial and defense aerospace industries. The segment includes Albany Safran Composites, LLC (“ASC”), in which our customer SAFRAN Group (“Safran”) owns a 10 percent noncontrolling interest. AEC, through ASC, is the exclusive supplier of the LEAP program of advanced composite fan blades and fan cases under a long-term supply contract. The LEAP engine is used on the Airbus A320neo, Boeing 737 MAX, and COMAC 919 aircraft . AEC's largest aerospace customer is the SAFRAN Group and sales to SAFRAN (consisting primarily of fan blades and cases for CFM's LEAP engine) accounted for approximately 12 percent of the Company's consolidated Net sales in 2021. AEC net sales to Safran were $125.4 million and $81.6 million in the first nine months of 2022 and 2021, respectively. The total of Accounts receivable, Contract assets and Noncurrent receivables due from Safran amounted to $76.4 million and $79.6 million as of September 30, 2022 and December 31, 2021, respectively.</w:t>
      </w:r>
    </w:p>
    <w:p>
      <w:pPr>
        <w:spacing w:after="0" w:line="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Other significant programs by AEC include the Sikorsky CH-53K, F-35, JASSM, and Boeing 787 programs. AEC also supplies vacuum waste tanks for the Boeing 7-Series programs, and specialty components for the Rolls Royce lift fan on the F-35, as well as the fan case for the GE9X engine. In 2021, approximately 47 percent of AEC sales were related to U.S. government contracts or programs.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r>
      <w:tr>
        <w:trPr>
          <w:trHeight w:val="211"/>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153,389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154,171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459,121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462,298</w:t>
            </w:r>
          </w:p>
        </w:tc>
      </w:tr>
      <w:tr>
        <w:trPr>
          <w:trHeight w:val="216"/>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107,174</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78,271</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306,980</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227,024</w:t>
            </w:r>
          </w:p>
        </w:tc>
      </w:tr>
      <w:tr>
        <w:trPr>
          <w:trHeight w:val="23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260,563</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766,101</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689,322</w:t>
            </w: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57,247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55,467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161,752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161,731</w:t>
            </w: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9,958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20,688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13,019</w:t>
            </w:r>
          </w:p>
        </w:tc>
      </w:tr>
      <w:tr>
        <w:trPr>
          <w:trHeight w:val="24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(13,561)</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(13,898)</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(39,327)</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(38,479)</w:t>
            </w: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53,644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143,113</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136,271</w:t>
            </w:r>
          </w:p>
        </w:tc>
      </w:tr>
      <w:tr>
        <w:trPr>
          <w:trHeight w:val="235"/>
        </w:trPr>
        <w:tc>
          <w:tcPr>
            <w:tcW w:w="560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4"/>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r>
      <w:tr>
        <w:trPr>
          <w:trHeight w:val="243"/>
        </w:trPr>
        <w:tc>
          <w:tcPr>
            <w:tcW w:w="56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4,759</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4,388</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13,799</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13,105</w:t>
            </w:r>
          </w:p>
        </w:tc>
      </w:tr>
      <w:tr>
        <w:trPr>
          <w:trHeight w:val="216"/>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 expense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49,128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49,128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600" w:type="dxa"/>
            <w:vAlign w:val="bottom"/>
          </w:tcPr>
          <w:p>
            <w:pPr>
              <w:ind w:left="140"/>
              <w:spacing w:after="0"/>
              <w:rPr>
                <w:sz w:val="20"/>
                <w:szCs w:val="20"/>
                <w:color w:val="auto"/>
              </w:rPr>
            </w:pPr>
            <w:r>
              <w:rPr>
                <w:rFonts w:ascii="Arial" w:cs="Arial" w:eastAsia="Arial" w:hAnsi="Arial"/>
                <w:sz w:val="16"/>
                <w:szCs w:val="16"/>
                <w:color w:val="auto"/>
              </w:rPr>
              <w:t>AMJP grant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(5,832)</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(5,832)</w:t>
            </w:r>
          </w:p>
        </w:tc>
      </w:tr>
      <w:tr>
        <w:trPr>
          <w:trHeight w:val="216"/>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(income)/expense, net</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(6,918)</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(17,891)</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4,215</w:t>
            </w:r>
          </w:p>
        </w:tc>
      </w:tr>
      <w:tr>
        <w:trPr>
          <w:trHeight w:val="209"/>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7,640</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100,540</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126,367</w:t>
            </w:r>
          </w:p>
        </w:tc>
      </w:tr>
    </w:tbl>
    <w:p>
      <w:pPr>
        <w:spacing w:after="0" w:line="200" w:lineRule="exact"/>
        <w:rPr>
          <w:sz w:val="20"/>
          <w:szCs w:val="20"/>
          <w:color w:val="auto"/>
        </w:rPr>
      </w:pPr>
    </w:p>
    <w:p>
      <w:pPr>
        <w:spacing w:after="0" w:line="227" w:lineRule="exact"/>
        <w:rPr>
          <w:sz w:val="20"/>
          <w:szCs w:val="20"/>
          <w:color w:val="auto"/>
        </w:rPr>
      </w:pPr>
    </w:p>
    <w:p>
      <w:pPr>
        <w:ind w:right="120" w:firstLine="324"/>
        <w:spacing w:after="0" w:line="241" w:lineRule="auto"/>
        <w:rPr>
          <w:sz w:val="20"/>
          <w:szCs w:val="20"/>
          <w:color w:val="auto"/>
        </w:rPr>
      </w:pPr>
      <w:r>
        <w:rPr>
          <w:rFonts w:ascii="Arial" w:cs="Arial" w:eastAsia="Arial" w:hAnsi="Arial"/>
          <w:sz w:val="17"/>
          <w:szCs w:val="17"/>
          <w:color w:val="auto"/>
        </w:rPr>
        <w:t>A subsidiary within our Machine Clothing segment has been a partner in a joint venture (“JV”) that supplies paper machine clothing products to local papermakers in Russia. In March 2022, we made the decision to cease doing business in Russia, including giving notice to our JV partner of our intent to exit the venture. As a result, we recognized $1.6 million expense in the consolidated statement of operations, representing reserves against the risk of uncollectible customer receivables and obsolescence of certain inventory destined for Russian</w:t>
      </w:r>
    </w:p>
    <w:p>
      <w:pPr>
        <w:spacing w:after="0" w:line="2"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customers. We also wrote down the net book value of our investment in the aforementioned JV to reflect our intent to exit such venture, resulting in $0.8 million impairment loss during the first quarter of 2022.</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the third quarter, we took actions to settle certain pension plan liabilities in the U.S., leading to charges totaling $49.1 million, which were included as Corporate expenses and other. This led to a reduction of unfunded pension liabilities of $6.2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 Changes in the estimated profitability of long-term contracts increased operating income by $2.6 million for the third quarter of 2022 and $2.0 million for the first nine months of 2022. Adjustments in the estimated profitability of long-term contracts increased operating income by $2.1 million and $2.4 million for the three and nine month periods ended September 30, 2021,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540" w:type="dxa"/>
            <w:vAlign w:val="bottom"/>
            <w:tcBorders>
              <w:top w:val="single" w:sz="8" w:color="auto"/>
              <w:bottom w:val="single" w:sz="8" w:color="auto"/>
            </w:tcBorders>
            <w:gridSpan w:val="4"/>
          </w:tcPr>
          <w:p>
            <w:pPr>
              <w:jc w:val="center"/>
              <w:ind w:left="582"/>
              <w:spacing w:after="0"/>
              <w:rPr>
                <w:sz w:val="20"/>
                <w:szCs w:val="20"/>
                <w:color w:val="auto"/>
              </w:rPr>
            </w:pPr>
            <w:r>
              <w:rPr>
                <w:rFonts w:ascii="Arial" w:cs="Arial" w:eastAsia="Arial" w:hAnsi="Arial"/>
                <w:sz w:val="14"/>
                <w:szCs w:val="14"/>
                <w:b w:val="1"/>
                <w:bCs w:val="1"/>
                <w:color w:val="auto"/>
              </w:rPr>
              <w:t>Three months ended September 30, 2022</w:t>
            </w:r>
          </w:p>
        </w:tc>
        <w:tc>
          <w:tcPr>
            <w:tcW w:w="9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5"/>
                <w:szCs w:val="15"/>
                <w:color w:val="auto"/>
              </w:rPr>
            </w:pPr>
          </w:p>
        </w:tc>
        <w:tc>
          <w:tcPr>
            <w:tcW w:w="1500" w:type="dxa"/>
            <w:vAlign w:val="bottom"/>
          </w:tcPr>
          <w:p>
            <w:pPr>
              <w:jc w:val="center"/>
              <w:ind w:right="2"/>
              <w:spacing w:after="0"/>
              <w:rPr>
                <w:sz w:val="20"/>
                <w:szCs w:val="20"/>
                <w:color w:val="auto"/>
              </w:rPr>
            </w:pPr>
            <w:r>
              <w:rPr>
                <w:rFonts w:ascii="Arial" w:cs="Arial" w:eastAsia="Arial" w:hAnsi="Arial"/>
                <w:sz w:val="14"/>
                <w:szCs w:val="14"/>
                <w:b w:val="1"/>
                <w:bCs w:val="1"/>
                <w:color w:val="auto"/>
              </w:rPr>
              <w:t>Over Time Revenue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152,490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899</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153,389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41,463</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41,463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5,819</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59,892</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65,711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5,819</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101,355</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107,174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158,309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102,254</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260,563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3"/>
        </w:trPr>
        <w:tc>
          <w:tcPr>
            <w:tcW w:w="6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center"/>
              <w:ind w:left="582"/>
              <w:spacing w:after="0"/>
              <w:rPr>
                <w:sz w:val="20"/>
                <w:szCs w:val="20"/>
                <w:color w:val="auto"/>
              </w:rPr>
            </w:pPr>
            <w:r>
              <w:rPr>
                <w:rFonts w:ascii="Arial" w:cs="Arial" w:eastAsia="Arial" w:hAnsi="Arial"/>
                <w:sz w:val="14"/>
                <w:szCs w:val="14"/>
                <w:b w:val="1"/>
                <w:bCs w:val="1"/>
                <w:color w:val="auto"/>
              </w:rPr>
              <w:t>Three months ended September 30, 2021</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5"/>
                <w:szCs w:val="15"/>
                <w:color w:val="auto"/>
              </w:rPr>
            </w:pPr>
          </w:p>
        </w:tc>
        <w:tc>
          <w:tcPr>
            <w:tcW w:w="1500" w:type="dxa"/>
            <w:vAlign w:val="bottom"/>
          </w:tcPr>
          <w:p>
            <w:pPr>
              <w:jc w:val="right"/>
              <w:ind w:right="82"/>
              <w:spacing w:after="0"/>
              <w:rPr>
                <w:sz w:val="20"/>
                <w:szCs w:val="20"/>
                <w:color w:val="auto"/>
              </w:rPr>
            </w:pPr>
            <w:r>
              <w:rPr>
                <w:rFonts w:ascii="Arial" w:cs="Arial" w:eastAsia="Arial" w:hAnsi="Arial"/>
                <w:sz w:val="14"/>
                <w:szCs w:val="14"/>
                <w:b w:val="1"/>
                <w:bCs w:val="1"/>
                <w:color w:val="auto"/>
              </w:rPr>
              <w:t>Over Time Revenue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8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Pr>
          <w:p>
            <w:pPr>
              <w:spacing w:after="0"/>
              <w:rPr>
                <w:sz w:val="19"/>
                <w:szCs w:val="19"/>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5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153,306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154,171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26,904</w:t>
            </w:r>
          </w:p>
        </w:tc>
        <w:tc>
          <w:tcPr>
            <w:tcW w:w="54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26,904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3,589</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47,778</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3,589</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74,682</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156,895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75,547</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232,442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1"/>
        </w:trPr>
        <w:tc>
          <w:tcPr>
            <w:tcW w:w="6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center"/>
              <w:ind w:left="582"/>
              <w:spacing w:after="0"/>
              <w:rPr>
                <w:sz w:val="20"/>
                <w:szCs w:val="20"/>
                <w:color w:val="auto"/>
              </w:rPr>
            </w:pPr>
            <w:r>
              <w:rPr>
                <w:rFonts w:ascii="Arial" w:cs="Arial" w:eastAsia="Arial" w:hAnsi="Arial"/>
                <w:sz w:val="14"/>
                <w:szCs w:val="14"/>
                <w:b w:val="1"/>
                <w:bCs w:val="1"/>
                <w:color w:val="auto"/>
              </w:rPr>
              <w:t>Nine months ended September 30, 2022</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6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center"/>
              <w:ind w:right="2"/>
              <w:spacing w:after="0" w:line="143" w:lineRule="exact"/>
              <w:rPr>
                <w:sz w:val="20"/>
                <w:szCs w:val="20"/>
                <w:color w:val="auto"/>
              </w:rPr>
            </w:pPr>
            <w:r>
              <w:rPr>
                <w:rFonts w:ascii="Arial" w:cs="Arial" w:eastAsia="Arial" w:hAnsi="Arial"/>
                <w:sz w:val="14"/>
                <w:szCs w:val="14"/>
                <w:b w:val="1"/>
                <w:bCs w:val="1"/>
                <w:color w:val="auto"/>
              </w:rPr>
              <w:t>Over Time Revenue</w:t>
            </w:r>
          </w:p>
        </w:tc>
        <w:tc>
          <w:tcPr>
            <w:tcW w:w="5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456,423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2,698</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459,121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122,836</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122,836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14,750</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169,394</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184,144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14,750</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292,230</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306,980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471,173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294,928</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766,101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2021</w:t>
            </w: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500" w:type="dxa"/>
            <w:vAlign w:val="bottom"/>
          </w:tcPr>
          <w:p>
            <w:pPr>
              <w:jc w:val="right"/>
              <w:ind w:right="62"/>
              <w:spacing w:after="0" w:line="147" w:lineRule="exact"/>
              <w:rPr>
                <w:sz w:val="20"/>
                <w:szCs w:val="20"/>
                <w:color w:val="auto"/>
              </w:rPr>
            </w:pPr>
            <w:r>
              <w:rPr>
                <w:rFonts w:ascii="Arial" w:cs="Arial" w:eastAsia="Arial" w:hAnsi="Arial"/>
                <w:sz w:val="14"/>
                <w:szCs w:val="14"/>
                <w:b w:val="1"/>
                <w:bCs w:val="1"/>
                <w:color w:val="auto"/>
              </w:rPr>
              <w:t>Over Time Revenue</w:t>
            </w:r>
          </w:p>
        </w:tc>
        <w:tc>
          <w:tcPr>
            <w:tcW w:w="500" w:type="dxa"/>
            <w:vAlign w:val="bottom"/>
          </w:tcPr>
          <w:p>
            <w:pPr>
              <w:spacing w:after="0"/>
              <w:rPr>
                <w:sz w:val="12"/>
                <w:szCs w:val="12"/>
                <w:color w:val="auto"/>
              </w:rPr>
            </w:pPr>
          </w:p>
        </w:tc>
        <w:tc>
          <w:tcPr>
            <w:tcW w:w="9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459,703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462,298</w:t>
            </w: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80" w:type="dxa"/>
            <w:vAlign w:val="bottom"/>
          </w:tcPr>
          <w:p>
            <w:pPr>
              <w:ind w:left="2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80,158</w:t>
            </w:r>
          </w:p>
        </w:tc>
        <w:tc>
          <w:tcPr>
            <w:tcW w:w="5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80,158</w:t>
            </w: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11,901</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134,965</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146,866</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11,901</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215,123</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227,024</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217,718</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689,322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tcBorders>
              <w:top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11"/>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83,124</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240,173</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237,425</w:t>
            </w:r>
          </w:p>
        </w:tc>
      </w:tr>
      <w:tr>
        <w:trPr>
          <w:trHeight w:val="243"/>
        </w:trPr>
        <w:tc>
          <w:tcPr>
            <w:tcW w:w="588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49,828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53,277</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157,751</w:t>
            </w:r>
          </w:p>
        </w:tc>
        <w:tc>
          <w:tcPr>
            <w:tcW w:w="34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164,320</w:t>
            </w:r>
          </w:p>
        </w:tc>
      </w:tr>
      <w:tr>
        <w:trPr>
          <w:trHeight w:val="216"/>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20,437</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19,114</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61,197</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60,553</w:t>
            </w:r>
          </w:p>
        </w:tc>
      </w:tr>
      <w:tr>
        <w:trPr>
          <w:trHeight w:val="237"/>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sales</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153,389</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459,121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462,298</w:t>
            </w:r>
          </w:p>
        </w:tc>
      </w:tr>
    </w:tbl>
    <w:p>
      <w:pPr>
        <w:spacing w:after="0" w:line="200" w:lineRule="exact"/>
        <w:rPr>
          <w:sz w:val="20"/>
          <w:szCs w:val="20"/>
          <w:color w:val="auto"/>
        </w:rPr>
      </w:pPr>
    </w:p>
    <w:p>
      <w:pPr>
        <w:spacing w:after="0" w:line="2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disclose the value of unsatisfied performance obligations for contracts with an original expected duration of one year or less. Contracts in the MC segment are generally for periods of less than a year. Most contracts in the AEC segment are relatively short duration firm-fixed-price orders. Remaining performance obligations on contracts that had an original duration of greater than one year totaled $ 600 million and $155 million as of September 30, 2022 and 2021, respectively, and related primarily to firm contracts in the AEC segment. Of the remaining performance obligations as of September 30, 2022, we expect to recognize as revenue approximately $46 million during 2022, $124 million during 2023, $107 million during 2024,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Pensions and Other Postretirement Benefit Plans</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nine months ended September 30, 2022 and 2021,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1,061</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1,630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4,235</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(5,099)</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(4,802)</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cost/(credit)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(3,366)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r>
      <w:tr>
        <w:trPr>
          <w:trHeight w:val="24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1,412</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w:t>
            </w:r>
          </w:p>
        </w:tc>
      </w:tr>
      <w:tr>
        <w:trPr>
          <w:trHeight w:val="21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cost/(credit)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1,688</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(952)</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r>
      <w:tr>
        <w:trPr>
          <w:trHeight w:val="20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Settlement charge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49,128</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benefit cost/(credit)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50,816</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(952)</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r>
    </w:tbl>
    <w:p>
      <w:pPr>
        <w:spacing w:after="0" w:line="30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amount of net benefit cost/(credit) is determined at the beginning of each year and generally only varies from quarter to quarter when a significant event occurs, such as a curtailment or a settlement. In the third quarter, we took actions to settle certain pension plan liabilities for a plan in the U.S., leading to charges totaling $49.1 million. No similar charges were incurred in the prior year.</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Other (Income)/Expense, net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top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r>
      <w:tr>
        <w:trPr>
          <w:trHeight w:val="211"/>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transaction (gains)/losses</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(6,636)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(17,660)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813</w:t>
            </w:r>
          </w:p>
        </w:tc>
      </w:tr>
      <w:tr>
        <w:trPr>
          <w:trHeight w:val="243"/>
        </w:trPr>
        <w:tc>
          <w:tcPr>
            <w:tcW w:w="616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252</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284</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 cost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3,130</w:t>
            </w:r>
          </w:p>
        </w:tc>
      </w:tr>
      <w:tr>
        <w:trPr>
          <w:trHeight w:val="21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(6,918)</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(17,891)</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4,215</w:t>
            </w:r>
          </w:p>
        </w:tc>
      </w:tr>
    </w:tbl>
    <w:p>
      <w:pPr>
        <w:spacing w:after="0" w:line="200" w:lineRule="exact"/>
        <w:rPr>
          <w:sz w:val="20"/>
          <w:szCs w:val="20"/>
          <w:color w:val="auto"/>
        </w:rPr>
      </w:pPr>
    </w:p>
    <w:p>
      <w:pPr>
        <w:spacing w:after="0" w:line="24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Other (income)/expense, net, included foreign currency gains of $6.6 million and $17.7 million in the three and nine month periods ended September 30, 2022, respectively, as compared to losses of $0.5 million and $ 0.8 million in the three and nine month periods ended September 30, 2021, respectively. The weaker Euro during the three and nine month periods ended September 30, 2022 led to the gains on foreign currency related transactions during such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Income Taxes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nine months ended September 30, 2022 and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3"/>
          </w:tcPr>
          <w:p>
            <w:pPr>
              <w:jc w:val="right"/>
              <w:ind w:right="290"/>
              <w:spacing w:after="0" w:line="189" w:lineRule="exact"/>
              <w:rPr>
                <w:sz w:val="20"/>
                <w:szCs w:val="20"/>
                <w:color w:val="auto"/>
              </w:rPr>
            </w:pPr>
            <w:r>
              <w:rPr>
                <w:rFonts w:ascii="Arial" w:cs="Arial" w:eastAsia="Arial" w:hAnsi="Arial"/>
                <w:sz w:val="18"/>
                <w:szCs w:val="18"/>
                <w:b w:val="1"/>
                <w:bCs w:val="1"/>
                <w:color w:val="auto"/>
              </w:rPr>
              <w:t>Three months ended</w:t>
            </w:r>
          </w:p>
        </w:tc>
        <w:tc>
          <w:tcPr>
            <w:tcW w:w="28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3"/>
          </w:tcPr>
          <w:p>
            <w:pPr>
              <w:jc w:val="right"/>
              <w:ind w:right="350"/>
              <w:spacing w:after="0" w:line="189" w:lineRule="exact"/>
              <w:rPr>
                <w:sz w:val="20"/>
                <w:szCs w:val="20"/>
                <w:color w:val="auto"/>
              </w:rPr>
            </w:pPr>
            <w:r>
              <w:rPr>
                <w:rFonts w:ascii="Arial" w:cs="Arial" w:eastAsia="Arial" w:hAnsi="Arial"/>
                <w:sz w:val="18"/>
                <w:szCs w:val="18"/>
                <w:b w:val="1"/>
                <w:bCs w:val="1"/>
                <w:color w:val="auto"/>
              </w:rPr>
              <w:t>Nine months ended</w:t>
            </w:r>
          </w:p>
        </w:tc>
      </w:tr>
      <w:tr>
        <w:trPr>
          <w:trHeight w:val="243"/>
        </w:trPr>
        <w:tc>
          <w:tcPr>
            <w:tcW w:w="6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6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based on income from continuing operations (1)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28,315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37,733</w:t>
            </w:r>
          </w:p>
        </w:tc>
      </w:tr>
      <w:tr>
        <w:trPr>
          <w:trHeight w:val="22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change in estimated tax rate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before discrete items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29,055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37,912</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Discrete tax expense: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U.S. stock options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Impact of amended tax returns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True-up of prior year estimated taxes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Enacted tax legislation and rate change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for/resolution of tax audits and contingencies,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US Pension Settlement - Release of Residual Tax Effect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(5,217)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(5,217)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0"/>
        </w:trPr>
        <w:tc>
          <w:tcPr>
            <w:tcW w:w="6160" w:type="dxa"/>
            <w:vAlign w:val="bottom"/>
          </w:tcPr>
          <w:p>
            <w:pPr>
              <w:ind w:left="20"/>
              <w:spacing w:after="0"/>
              <w:rPr>
                <w:sz w:val="20"/>
                <w:szCs w:val="20"/>
                <w:color w:val="auto"/>
              </w:rPr>
            </w:pPr>
            <w:r>
              <w:rPr>
                <w:rFonts w:ascii="Arial" w:cs="Arial" w:eastAsia="Arial" w:hAnsi="Arial"/>
                <w:sz w:val="18"/>
                <w:szCs w:val="18"/>
                <w:color w:val="auto"/>
              </w:rPr>
              <w:t>Total income tax expense/(benefit)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(3,183)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12,889</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22,273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right="5500" w:firstLine="6"/>
        <w:spacing w:after="0" w:line="234" w:lineRule="auto"/>
        <w:tabs>
          <w:tab w:leader="none" w:pos="29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at estimated annual tax rates of 28.9% and 30.0% for the three and nine months ended September 30, 2022 and 2021.</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6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Company's policy for releasing income tax effects from accumulated other comprehensive income is the specific identification approach, whereas these items are released to income tax expense when the individual items are disposed of, terminated or extinguished.</w:t>
      </w:r>
    </w:p>
    <w:p>
      <w:pPr>
        <w:spacing w:after="0" w:line="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Tax Cuts and Jobs Act lowered the U.S. corporate tax rate from 35% to 21% as of December 31, 2017, creating residual tax effects as a result of the remeasurement of deferred tax assets and liabilities originally established in other comprehensive income. As a result of the U.S. pension liability settlement (see Note 3), and consistent with the Company's policy, in the third quarter of 2022, the Company recorded a net tax benefit of $5.2 million for the release of the residual tax effects within other comprehensive income related to the U.S. pension settlement.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Earnings Per Share</w:t>
      </w:r>
    </w:p>
    <w:p>
      <w:pPr>
        <w:spacing w:after="0" w:line="11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Borders>
              <w:top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10,694</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77,632</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89,842</w:t>
            </w:r>
          </w:p>
        </w:tc>
        <w:tc>
          <w:tcPr>
            <w:tcW w:w="0" w:type="dxa"/>
            <w:vAlign w:val="bottom"/>
          </w:tcPr>
          <w:p>
            <w:pPr>
              <w:spacing w:after="0"/>
              <w:rPr>
                <w:sz w:val="1"/>
                <w:szCs w:val="1"/>
                <w:color w:val="auto"/>
              </w:rPr>
            </w:pPr>
          </w:p>
        </w:tc>
      </w:tr>
      <w:tr>
        <w:trPr>
          <w:trHeight w:val="128"/>
        </w:trPr>
        <w:tc>
          <w:tcPr>
            <w:tcW w:w="6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 income per</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00" w:type="dxa"/>
            <w:vAlign w:val="bottom"/>
          </w:tcPr>
          <w:p>
            <w:pPr>
              <w:ind w:left="140"/>
              <w:spacing w:after="0"/>
              <w:rPr>
                <w:sz w:val="20"/>
                <w:szCs w:val="20"/>
                <w:color w:val="auto"/>
              </w:rPr>
            </w:pPr>
            <w:r>
              <w:rPr>
                <w:rFonts w:ascii="Arial" w:cs="Arial" w:eastAsia="Arial" w:hAnsi="Arial"/>
                <w:sz w:val="16"/>
                <w:szCs w:val="16"/>
                <w:color w:val="auto"/>
              </w:rPr>
              <w:t>share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31,111</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32,381</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31,416</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32,369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6"/>
                <w:szCs w:val="16"/>
                <w:color w:val="auto"/>
              </w:rPr>
              <w:t>Stock options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RSU and MPP shares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w:t>
            </w: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28"/>
        </w:trPr>
        <w:tc>
          <w:tcPr>
            <w:tcW w:w="6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Weighted average number of shares used in calculating diluted net income per</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31,223</w:t>
            </w:r>
          </w:p>
        </w:tc>
        <w:tc>
          <w:tcPr>
            <w:tcW w:w="3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32,434</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31,518</w:t>
            </w:r>
          </w:p>
        </w:tc>
        <w:tc>
          <w:tcPr>
            <w:tcW w:w="3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32,424</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share</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Average market price of common stock used for calculation of dilutive shares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86.00</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84.53</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0.34</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0.95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2.47</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0.34</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Accumulated Other Comprehensive Income (AOCI)</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2021 to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(38,490)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(145,984)</w:t>
            </w:r>
          </w:p>
        </w:tc>
        <w:tc>
          <w:tcPr>
            <w:tcW w:w="0" w:type="dxa"/>
            <w:vAlign w:val="bottom"/>
          </w:tcPr>
          <w:p>
            <w:pPr>
              <w:spacing w:after="0"/>
              <w:rPr>
                <w:sz w:val="1"/>
                <w:szCs w:val="1"/>
                <w:color w:val="auto"/>
              </w:rPr>
            </w:pPr>
          </w:p>
        </w:tc>
      </w:tr>
      <w:tr>
        <w:trPr>
          <w:trHeight w:val="235"/>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(79,841)</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17,569</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(62,272)</w:t>
            </w: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 net of tax</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26,198</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26,198</w:t>
            </w:r>
          </w:p>
        </w:tc>
        <w:tc>
          <w:tcPr>
            <w:tcW w:w="0" w:type="dxa"/>
            <w:vAlign w:val="bottom"/>
          </w:tcPr>
          <w:p>
            <w:pPr>
              <w:spacing w:after="0"/>
              <w:rPr>
                <w:sz w:val="1"/>
                <w:szCs w:val="1"/>
                <w:color w:val="auto"/>
              </w:rPr>
            </w:pPr>
          </w:p>
        </w:tc>
      </w:tr>
      <w:tr>
        <w:trPr>
          <w:trHeight w:val="162"/>
        </w:trPr>
        <w:tc>
          <w:tcPr>
            <w:tcW w:w="5100" w:type="dxa"/>
            <w:vAlign w:val="bottom"/>
          </w:tcPr>
          <w:p>
            <w:pPr>
              <w:ind w:left="20"/>
              <w:spacing w:after="0" w:line="162"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6"/>
                <w:szCs w:val="16"/>
                <w:color w:val="auto"/>
              </w:rPr>
              <w:t>2,006</w:t>
            </w:r>
          </w:p>
        </w:tc>
        <w:tc>
          <w:tcPr>
            <w:tcW w:w="160" w:type="dxa"/>
            <w:vAlign w:val="bottom"/>
          </w:tcPr>
          <w:p>
            <w:pPr>
              <w:spacing w:after="0"/>
              <w:rPr>
                <w:sz w:val="14"/>
                <w:szCs w:val="14"/>
                <w:color w:val="auto"/>
              </w:rPr>
            </w:pPr>
          </w:p>
        </w:tc>
        <w:tc>
          <w:tcPr>
            <w:tcW w:w="1360" w:type="dxa"/>
            <w:vAlign w:val="bottom"/>
            <w:vMerge w:val="restart"/>
          </w:tcPr>
          <w:p>
            <w:pPr>
              <w:jc w:val="right"/>
              <w:ind w:right="2"/>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(79,841)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25,877</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19,575</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(34,389)</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2022</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(185,721)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(12,613)</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17,961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(180,373)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2020 to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(83,203)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(39,661)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(132,408)</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(17,124)</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627</w:t>
            </w:r>
          </w:p>
        </w:tc>
        <w:tc>
          <w:tcPr>
            <w:tcW w:w="24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274</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(16,223)</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3,745</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3,745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20"/>
              <w:spacing w:after="0" w:line="162" w:lineRule="exact"/>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4"/>
                <w:szCs w:val="14"/>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(17,124)</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4,019</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(12,503)</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(100,327)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(39,059)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(144,911)</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table below presents the expense/(income) amounts reclassified from AOCI, and the line items of the Statement of Income that were affected for the three and nine months ended September 30, 2022 and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top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7"/>
        </w:trPr>
        <w:tc>
          <w:tcPr>
            <w:tcW w:w="61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60" w:type="dxa"/>
            <w:vAlign w:val="bottom"/>
          </w:tcPr>
          <w:p>
            <w:pPr>
              <w:ind w:left="140"/>
              <w:spacing w:after="0"/>
              <w:rPr>
                <w:sz w:val="20"/>
                <w:szCs w:val="20"/>
                <w:color w:val="auto"/>
              </w:rPr>
            </w:pPr>
            <w:r>
              <w:rPr>
                <w:rFonts w:ascii="Arial" w:cs="Arial" w:eastAsia="Arial" w:hAnsi="Arial"/>
                <w:sz w:val="16"/>
                <w:szCs w:val="16"/>
                <w:color w:val="auto"/>
              </w:rPr>
              <w:t>Expense/(income) related to interest rate swaps included in Income before taxes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160" w:type="dxa"/>
            <w:vAlign w:val="bottom"/>
          </w:tcPr>
          <w:p>
            <w:pPr>
              <w:ind w:left="140"/>
              <w:spacing w:after="0"/>
              <w:rPr>
                <w:sz w:val="20"/>
                <w:szCs w:val="20"/>
                <w:color w:val="auto"/>
              </w:rPr>
            </w:pPr>
            <w:r>
              <w:rPr>
                <w:rFonts w:ascii="Arial" w:cs="Arial" w:eastAsia="Arial" w:hAnsi="Arial"/>
                <w:sz w:val="16"/>
                <w:szCs w:val="16"/>
                <w:color w:val="auto"/>
              </w:rPr>
              <w:t>(a)</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1,803</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2,758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5,049</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(752)</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195"/>
        </w:trPr>
        <w:tc>
          <w:tcPr>
            <w:tcW w:w="616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w:t>
            </w:r>
          </w:p>
        </w:tc>
        <w:tc>
          <w:tcPr>
            <w:tcW w:w="0" w:type="dxa"/>
            <w:vAlign w:val="bottom"/>
          </w:tcPr>
          <w:p>
            <w:pPr>
              <w:spacing w:after="0"/>
              <w:rPr>
                <w:sz w:val="1"/>
                <w:szCs w:val="1"/>
                <w:color w:val="auto"/>
              </w:rPr>
            </w:pPr>
          </w:p>
        </w:tc>
      </w:tr>
      <w:tr>
        <w:trPr>
          <w:trHeight w:val="236"/>
        </w:trPr>
        <w:tc>
          <w:tcPr>
            <w:tcW w:w="6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42,657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42,657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(1,123)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(1,119)</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(3,368)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(3,356)</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967</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2,905</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3,320</w:t>
            </w: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Arial" w:cs="Arial" w:eastAsia="Arial" w:hAnsi="Arial"/>
                <w:sz w:val="16"/>
                <w:szCs w:val="16"/>
                <w:color w:val="auto"/>
              </w:rPr>
              <w:t>Total pretax amount reclassified (b)</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42,501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42,194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(16,411)</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(16,317)</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55"/>
        </w:trPr>
        <w:tc>
          <w:tcPr>
            <w:tcW w:w="6160" w:type="dxa"/>
            <w:vAlign w:val="bottom"/>
          </w:tcPr>
          <w:p>
            <w:pPr>
              <w:ind w:left="20"/>
              <w:spacing w:after="0" w:line="155" w:lineRule="exact"/>
              <w:rPr>
                <w:sz w:val="20"/>
                <w:szCs w:val="20"/>
                <w:color w:val="auto"/>
              </w:rPr>
            </w:pPr>
            <w:r>
              <w:rPr>
                <w:rFonts w:ascii="Arial" w:cs="Arial" w:eastAsia="Arial" w:hAnsi="Arial"/>
                <w:sz w:val="16"/>
                <w:szCs w:val="16"/>
                <w:color w:val="auto"/>
              </w:rPr>
              <w:t>Effect on net income due to items reclassified from Accumulated Other</w:t>
            </w:r>
          </w:p>
        </w:tc>
        <w:tc>
          <w:tcPr>
            <w:tcW w:w="3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26,090</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3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25,877</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65"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13 and 14).</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pension cost (see Note 3).</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Noncontrolling Interest</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The table below presents a reconciliation of income attributable to the noncontrolling interest and noncontrolling equity in the Company’s subsidiary Albany Safran Composites, LLC:</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Nine months ended September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Albany Safran Composites (ASC)</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7,320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2,495</w:t>
            </w:r>
          </w:p>
        </w:tc>
      </w:tr>
      <w:tr>
        <w:trPr>
          <w:trHeight w:val="21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974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991</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ASC available for common ownership</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6,346</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1,504</w:t>
            </w:r>
          </w:p>
        </w:tc>
      </w:tr>
      <w:tr>
        <w:trPr>
          <w:trHeight w:val="21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09"/>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635</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r>
      <w:tr>
        <w:trPr>
          <w:trHeight w:val="237"/>
        </w:trPr>
        <w:tc>
          <w:tcPr>
            <w:tcW w:w="7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3,638</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3,799</w:t>
            </w:r>
          </w:p>
        </w:tc>
      </w:tr>
      <w:tr>
        <w:trPr>
          <w:trHeight w:val="216"/>
        </w:trPr>
        <w:tc>
          <w:tcPr>
            <w:tcW w:w="71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5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b w:val="1"/>
                <w:bCs w:val="1"/>
                <w:color w:val="auto"/>
              </w:rPr>
              <w:t>635</w:t>
            </w:r>
          </w:p>
        </w:tc>
        <w:tc>
          <w:tcPr>
            <w:tcW w:w="34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150</w:t>
            </w:r>
          </w:p>
        </w:tc>
      </w:tr>
      <w:tr>
        <w:trPr>
          <w:trHeight w:val="21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(91)</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(219)</w:t>
            </w:r>
          </w:p>
        </w:tc>
      </w:tr>
      <w:tr>
        <w:trPr>
          <w:trHeight w:val="21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end of interim period</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4,182</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3,730</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Accounts Receivable</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Accounts receivable includes trade receivables. In connection with certain sales in Asia, the Company accepts a bank promissory note as customer payment. The notes may be presented for payment at maturity, which is less than one year. As of September 30, 2022 and December 31, 2021, Accounts receivable consisted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64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179,734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168,046</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21,654</w:t>
            </w:r>
          </w:p>
        </w:tc>
        <w:tc>
          <w:tcPr>
            <w:tcW w:w="16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26,284</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(2,541)</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198,847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191,985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over a 10-year period, which began in 2020. As of September 30, 2022 and December 31, 2021, Noncurrent receivables consisted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receivables</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28,914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32,049</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receivables, net</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31,849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Contract Assets and Liabilities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and December 31, 2021, Contract assets and Contract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149,477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113,249</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(748)</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148,729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112,546</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6,959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Contract assets increased $36.2 million during the nine-month period ended September 30, 2022. The increase was primarily due to an increase in unbilled revenue related to the satisfaction of performance obligations, in excess of the amounts billed to customers for contracts that were in a contract asset position. There were no impairment losses related to our Contract assets during the nine month periods ended September 30, 2022 and September 30, 2021.</w:t>
      </w:r>
    </w:p>
    <w:p>
      <w:pPr>
        <w:spacing w:after="0" w:line="68"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Contract liabilities decreased $1.3 million during the nine-month period ended September 30, 2022, primarily due to revenue recognized from satisfied performance obligations exceeding amounts invoiced to customers that were in a contract liability position. Revenue recognized for the nine-month periods ended September 30, 2022 and 2021 that was included in the Contract liability balance at the beginning of the year was $5.0 million and $5.3 million, respectively.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and December 31, 2021, Inventories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920" w:type="dxa"/>
            <w:vAlign w:val="bottom"/>
            <w:tcBorders>
              <w:bottom w:val="single" w:sz="8" w:color="auto"/>
            </w:tcBorders>
            <w:vMerge w:val="continue"/>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66,911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58,689</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8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51,756</w:t>
            </w:r>
          </w:p>
        </w:tc>
        <w:tc>
          <w:tcPr>
            <w:tcW w:w="18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44,839</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8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15,173</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14,354</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117,882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 Our reportable segments are consistent with our operating segments.</w:t>
      </w:r>
    </w:p>
    <w:p>
      <w:pPr>
        <w:spacing w:after="0" w:line="130" w:lineRule="exact"/>
        <w:rPr>
          <w:sz w:val="20"/>
          <w:szCs w:val="20"/>
          <w:color w:val="auto"/>
        </w:rPr>
      </w:pPr>
    </w:p>
    <w:p>
      <w:pPr>
        <w:jc w:val="both"/>
        <w:ind w:right="40" w:firstLine="405"/>
        <w:spacing w:after="0" w:line="262" w:lineRule="auto"/>
        <w:rPr>
          <w:sz w:val="20"/>
          <w:szCs w:val="20"/>
          <w:color w:val="auto"/>
        </w:rPr>
      </w:pPr>
      <w:r>
        <w:rPr>
          <w:rFonts w:ascii="Arial" w:cs="Arial" w:eastAsia="Arial" w:hAnsi="Arial"/>
          <w:sz w:val="18"/>
          <w:szCs w:val="18"/>
          <w:color w:val="auto"/>
        </w:rPr>
        <w:t>In the second quarter of 2022, management applied the qualitative assessment approach in performing its annual evaluation of goodwill for the Company's Machine Clothing reporting unit and two AEC reporting units and concluded that each reporting unit’s fair value continued to exceed its carrying value. In addition, there were no amounts at risk due to the estimated excess between the fair and carrying values. Accordingly, no impairment charges were recorded.</w:t>
      </w:r>
    </w:p>
    <w:p>
      <w:pPr>
        <w:spacing w:after="0" w:line="6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When a quantitative assessment is performed, 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3.87% in 2022</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3.74% in 2021 (including the effect of interest rate hedging transactions, as described below), due</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44"/>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2024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447,000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350,000</w:t>
            </w:r>
          </w:p>
        </w:tc>
      </w:tr>
    </w:tbl>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current maturities of Long-term debt as of September 30, 2022 or December 31, 2021.</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$447 million of borrowings were outstanding as of September 30, 2022. The applicable interest rate for borrowings was LIBOR plus a spread, based on our leverage ratio at the time of borrowing. At the time of the last borrowing on September 26, 2022, the spread was 1.625%. The spread was based on a pricing grid, which ranged from 1.500% to 2.000%, based on our leverage ratio. Based on our maximum leverage ratio and our Consolidated EBITDA, and without modification to any other credit agreements, as of September 30, 2022, we would have been able to borrow an additional $253 million under the Agreement.</w:t>
      </w:r>
    </w:p>
    <w:p>
      <w:pPr>
        <w:spacing w:after="0" w:line="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2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14, 2021, we entered into interest rate swap agreements for the period October 17, 2022 through October 27, 2024. These transactions have the effect of fixing the LIBOR portion of the effective interest rate (before addition of the spread) on $350 million of indebtedness drawn under the Credit Agreement at the rate of 0.838% during the period. Under the terms of these transactions, we pay the fixed rate of 0.838% and the counterparties pay a floating rate based on the one-month LIBOR rate at each monthly calculation date. The monthly calculation date is the 16th day of each month, and on September 16, 2022, one-month LIBOR was 2.94%.</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The monthly calculation date is the 16th day of each month, and on September 16, 2022, one-month LIBOR was 2.94%. On September 16, 2022, the all-in-rate on the $350 million of debt was 3.735%.</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No cash collateral was received or pledged in relation to the swap agreements.</w:t>
      </w:r>
    </w:p>
    <w:p>
      <w:pPr>
        <w:spacing w:after="0" w:line="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4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September 30, 2022, our leverage ratio was 1.22 to 1.00 and our interest coverage ratio was 15.79 to 1.00. We may purchase our Common Stock or pay dividends to the extent our leverage ratio remains at or below 3.50 to 1.00, and may make acquisitions with cash, provided our leverage ratio does not exceed the limits noted above.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Indebtedness under the Credit Agreement is ranked equally in right of payment to all unsecured senior debt. We were in compliance with all debt covenants as of September 30, 2022.</w:t>
      </w:r>
    </w:p>
    <w:p>
      <w:pPr>
        <w:spacing w:after="0" w:line="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Currently, our Credit Agreement and certain of our derivative instruments reference one-month USD LIBOR-based rates, which are set to discontinue after June 30, 2023. Regulators in the U.S. and other jurisdictions have been working to replace these rates with alternative reference interest rates that are supported by transactions in liquid and observable markets, such as the Secured Overnight Financing Rate (SOFR) for USD LIBOR. Our Credit Agreement contains provisions specifying alternative interest rate calculations to be employed when LIBOR ceases to be available as a benchmark and we have adhered to the ISDA IBOR Fallbacks Protocol, which will govern our derivatives upon the final cessation of USD LIBOR. ASU 2020-04, Reference Rate Reform, helps limit the accounting impact from contract modifications, including hedging relationships, due to the transition from LIBOR to alternative reference rates that are completed by December 31, 2022. We adopted certain provisions of ASU 2020-04 during 2021. While we currently do not expect a significant impact to our operating results, financial position or cash flows from the transition from LIBOR to alternative reference interest rates, we will continue to monitor the impact of this transition until it is completed.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September 30, 2022, or at December 31, 2021.</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944"/>
              <w:spacing w:after="0"/>
              <w:rPr>
                <w:sz w:val="20"/>
                <w:szCs w:val="20"/>
                <w:color w:val="auto"/>
              </w:rPr>
            </w:pPr>
            <w:r>
              <w:rPr>
                <w:rFonts w:ascii="Arial" w:cs="Arial" w:eastAsia="Arial" w:hAnsi="Arial"/>
                <w:sz w:val="14"/>
                <w:szCs w:val="14"/>
                <w:b w:val="1"/>
                <w:bCs w:val="1"/>
                <w:color w:val="auto"/>
              </w:rPr>
              <w:t>September 30, 2022</w:t>
            </w:r>
          </w:p>
        </w:tc>
        <w:tc>
          <w:tcPr>
            <w:tcW w:w="2500" w:type="dxa"/>
            <w:vAlign w:val="bottom"/>
            <w:tcBorders>
              <w:top w:val="single" w:sz="8" w:color="auto"/>
              <w:bottom w:val="single" w:sz="8" w:color="auto"/>
            </w:tcBorders>
            <w:gridSpan w:val="3"/>
          </w:tcPr>
          <w:p>
            <w:pPr>
              <w:jc w:val="right"/>
              <w:ind w:right="644"/>
              <w:spacing w:after="0"/>
              <w:rPr>
                <w:sz w:val="20"/>
                <w:szCs w:val="20"/>
                <w:color w:val="auto"/>
              </w:rPr>
            </w:pPr>
            <w:r>
              <w:rPr>
                <w:rFonts w:ascii="Arial" w:cs="Arial" w:eastAsia="Arial" w:hAnsi="Arial"/>
                <w:sz w:val="14"/>
                <w:szCs w:val="14"/>
                <w:b w:val="1"/>
                <w:bCs w:val="1"/>
                <w:color w:val="auto"/>
              </w:rPr>
              <w:t>December 31, 2021</w:t>
            </w:r>
          </w:p>
        </w:tc>
      </w:tr>
      <w:tr>
        <w:trPr>
          <w:trHeight w:val="174"/>
        </w:trPr>
        <w:tc>
          <w:tcPr>
            <w:tcW w:w="5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5"/>
                <w:szCs w:val="15"/>
                <w:color w:val="auto"/>
              </w:rPr>
            </w:pPr>
          </w:p>
        </w:tc>
        <w:tc>
          <w:tcPr>
            <w:tcW w:w="1440" w:type="dxa"/>
            <w:vAlign w:val="bottom"/>
          </w:tcPr>
          <w:p>
            <w:pPr>
              <w:jc w:val="center"/>
              <w:ind w:right="464"/>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5"/>
                <w:szCs w:val="15"/>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Significant</w:t>
            </w:r>
          </w:p>
        </w:tc>
      </w:tr>
      <w:tr>
        <w:trPr>
          <w:trHeight w:val="175"/>
        </w:trPr>
        <w:tc>
          <w:tcPr>
            <w:tcW w:w="5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other</w:t>
            </w:r>
          </w:p>
        </w:tc>
      </w:tr>
      <w:tr>
        <w:trPr>
          <w:trHeight w:val="175"/>
        </w:trPr>
        <w:tc>
          <w:tcPr>
            <w:tcW w:w="5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5"/>
                <w:szCs w:val="15"/>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observable</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5"/>
                <w:szCs w:val="15"/>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observable</w:t>
            </w:r>
          </w:p>
        </w:tc>
      </w:tr>
      <w:tr>
        <w:trPr>
          <w:trHeight w:val="196"/>
        </w:trPr>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3"/>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inputs</w:t>
            </w:r>
          </w:p>
        </w:tc>
      </w:tr>
      <w:tr>
        <w:trPr>
          <w:trHeight w:val="238"/>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64"/>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(Level 2)</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5"/>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28,819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20,665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35"/>
        </w:trPr>
        <w:tc>
          <w:tcPr>
            <w:tcW w:w="568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4"/>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558</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4"/>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702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56"/>
        </w:trPr>
        <w:tc>
          <w:tcPr>
            <w:tcW w:w="5680" w:type="dxa"/>
            <w:vAlign w:val="bottom"/>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24"/>
              <w:spacing w:after="0"/>
              <w:rPr>
                <w:sz w:val="20"/>
                <w:szCs w:val="20"/>
                <w:color w:val="auto"/>
              </w:rPr>
            </w:pPr>
            <w:r>
              <w:rPr>
                <w:rFonts w:ascii="Arial" w:cs="Arial" w:eastAsia="Arial" w:hAnsi="Arial"/>
                <w:sz w:val="16"/>
                <w:szCs w:val="16"/>
                <w:b w:val="1"/>
                <w:bCs w:val="1"/>
                <w:color w:val="auto"/>
              </w:rPr>
              <w:t>23,987</w:t>
            </w:r>
          </w:p>
        </w:tc>
        <w:tc>
          <w:tcPr>
            <w:tcW w:w="1100" w:type="dxa"/>
            <w:vAlign w:val="bottom"/>
          </w:tcPr>
          <w:p>
            <w:pPr>
              <w:jc w:val="right"/>
              <w:ind w:right="23"/>
              <w:spacing w:after="0" w:line="234" w:lineRule="exact"/>
              <w:rPr>
                <w:sz w:val="20"/>
                <w:szCs w:val="20"/>
                <w:color w:val="auto"/>
              </w:rPr>
            </w:pPr>
            <w:r>
              <w:rPr>
                <w:rFonts w:ascii="Calibri" w:cs="Calibri" w:eastAsia="Calibri" w:hAnsi="Calibri"/>
                <w:sz w:val="20"/>
                <w:szCs w:val="20"/>
                <w:color w:val="auto"/>
              </w:rPr>
              <w:t>—</w:t>
            </w:r>
          </w:p>
        </w:tc>
        <w:tc>
          <w:tcPr>
            <w:tcW w:w="28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3,328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w:t>
            </w:r>
          </w:p>
        </w:tc>
      </w:tr>
    </w:tbl>
    <w:p>
      <w:pPr>
        <w:spacing w:after="0" w:line="62"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cost basis $0.5 million.</w:t>
      </w:r>
    </w:p>
    <w:p>
      <w:pPr>
        <w:spacing w:after="0" w:line="36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Amounts determined to be due within one year are reclassified to Other current assets and/or Accrued liabilities in the Consolidated Balance Sheets. Unrealized gains and losses on the swaps flow through the caption Derivative valuation adjustment in the Shareholders’ equity section of the Consolidated Balance Sheets. As of September 30, 2022,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$2.8 million for the nine month period ended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September 30, 2022, and $5.3 million for the nine month period ended September 30, 2021. Additionally, non-cash interest income related to the amortization of swap buyouts totaled $0.0 million for the nine month period ended September 30, 2022 and $0.3 million for the nine month period ended September 30, 2021.</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60" w:type="dxa"/>
            <w:vAlign w:val="bottom"/>
            <w:gridSpan w:val="3"/>
          </w:tcPr>
          <w:p>
            <w:pPr>
              <w:jc w:val="right"/>
              <w:ind w:right="304"/>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298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r>
      <w:tr>
        <w:trPr>
          <w:trHeight w:val="156"/>
        </w:trPr>
        <w:tc>
          <w:tcPr>
            <w:tcW w:w="32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rPr>
              <w:t>Derivatives not designated as hedging</w:t>
            </w:r>
          </w:p>
        </w:tc>
        <w:tc>
          <w:tcPr>
            <w:tcW w:w="5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2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Foreign currency options (gains)/losses</w:t>
            </w: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169</w:t>
            </w:r>
          </w:p>
        </w:tc>
      </w:tr>
    </w:tbl>
    <w:p>
      <w:pPr>
        <w:spacing w:after="0" w:line="200" w:lineRule="exact"/>
        <w:rPr>
          <w:sz w:val="20"/>
          <w:szCs w:val="20"/>
          <w:color w:val="auto"/>
        </w:rPr>
      </w:pPr>
    </w:p>
    <w:p>
      <w:pPr>
        <w:spacing w:after="0" w:line="337" w:lineRule="exact"/>
        <w:rPr>
          <w:sz w:val="20"/>
          <w:szCs w:val="20"/>
          <w:color w:val="auto"/>
        </w:rPr>
      </w:pPr>
    </w:p>
    <w:p>
      <w:pPr>
        <w:ind w:right="9560" w:firstLine="8"/>
        <w:spacing w:after="0" w:line="374" w:lineRule="auto"/>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3,603 claims as of September 30, 2022.</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062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Claims</w:t>
            </w: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05"/>
              <w:spacing w:after="0"/>
              <w:rPr>
                <w:sz w:val="20"/>
                <w:szCs w:val="20"/>
                <w:color w:val="auto"/>
              </w:rPr>
            </w:pPr>
            <w:r>
              <w:rPr>
                <w:rFonts w:ascii="Arial" w:cs="Arial" w:eastAsia="Arial" w:hAnsi="Arial"/>
                <w:sz w:val="14"/>
                <w:szCs w:val="14"/>
                <w:b w:val="1"/>
                <w:bCs w:val="1"/>
                <w:color w:val="auto"/>
              </w:rPr>
              <w:t>Amounts Paid</w:t>
            </w:r>
          </w:p>
        </w:tc>
      </w:tr>
      <w:tr>
        <w:trPr>
          <w:trHeight w:val="176"/>
        </w:trPr>
        <w:tc>
          <w:tcPr>
            <w:tcW w:w="3060" w:type="dxa"/>
            <w:vAlign w:val="bottom"/>
          </w:tcPr>
          <w:p>
            <w:pPr>
              <w:spacing w:after="0"/>
              <w:rPr>
                <w:sz w:val="15"/>
                <w:szCs w:val="15"/>
                <w:color w:val="auto"/>
              </w:rPr>
            </w:pPr>
          </w:p>
        </w:tc>
        <w:tc>
          <w:tcPr>
            <w:tcW w:w="2280" w:type="dxa"/>
            <w:vAlign w:val="bottom"/>
          </w:tcPr>
          <w:p>
            <w:pPr>
              <w:jc w:val="center"/>
              <w:ind w:left="424"/>
              <w:spacing w:after="0"/>
              <w:rPr>
                <w:sz w:val="20"/>
                <w:szCs w:val="20"/>
                <w:color w:val="auto"/>
              </w:rPr>
            </w:pPr>
            <w:r>
              <w:rPr>
                <w:rFonts w:ascii="Arial" w:cs="Arial" w:eastAsia="Arial" w:hAnsi="Arial"/>
                <w:sz w:val="14"/>
                <w:szCs w:val="14"/>
                <w:b w:val="1"/>
                <w:bCs w:val="1"/>
                <w:color w:val="auto"/>
              </w:rPr>
              <w:t>Opening</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Dismissed,</w:t>
            </w: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Closing</w:t>
            </w:r>
          </w:p>
        </w:tc>
        <w:tc>
          <w:tcPr>
            <w:tcW w:w="200" w:type="dxa"/>
            <w:vAlign w:val="bottom"/>
          </w:tcPr>
          <w:p>
            <w:pPr>
              <w:spacing w:after="0"/>
              <w:rPr>
                <w:sz w:val="15"/>
                <w:szCs w:val="15"/>
                <w:color w:val="auto"/>
              </w:rPr>
            </w:pPr>
          </w:p>
        </w:tc>
        <w:tc>
          <w:tcPr>
            <w:tcW w:w="1340" w:type="dxa"/>
            <w:vAlign w:val="bottom"/>
          </w:tcPr>
          <w:p>
            <w:pPr>
              <w:jc w:val="center"/>
              <w:ind w:right="105"/>
              <w:spacing w:after="0"/>
              <w:rPr>
                <w:sz w:val="20"/>
                <w:szCs w:val="20"/>
                <w:color w:val="auto"/>
              </w:rPr>
            </w:pPr>
            <w:r>
              <w:rPr>
                <w:rFonts w:ascii="Arial" w:cs="Arial" w:eastAsia="Arial" w:hAnsi="Arial"/>
                <w:sz w:val="14"/>
                <w:szCs w:val="14"/>
                <w:b w:val="1"/>
                <w:bCs w:val="1"/>
                <w:color w:val="auto"/>
              </w:rPr>
              <w:t>(thousands) to</w:t>
            </w:r>
          </w:p>
        </w:tc>
      </w:tr>
      <w:tr>
        <w:trPr>
          <w:trHeight w:val="175"/>
        </w:trPr>
        <w:tc>
          <w:tcPr>
            <w:tcW w:w="3060" w:type="dxa"/>
            <w:vAlign w:val="bottom"/>
          </w:tcPr>
          <w:p>
            <w:pPr>
              <w:spacing w:after="0"/>
              <w:rPr>
                <w:sz w:val="15"/>
                <w:szCs w:val="15"/>
                <w:color w:val="auto"/>
              </w:rPr>
            </w:pPr>
          </w:p>
        </w:tc>
        <w:tc>
          <w:tcPr>
            <w:tcW w:w="2280" w:type="dxa"/>
            <w:vAlign w:val="bottom"/>
          </w:tcPr>
          <w:p>
            <w:pPr>
              <w:jc w:val="center"/>
              <w:ind w:left="404"/>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center"/>
              <w:ind w:left="88"/>
              <w:spacing w:after="0"/>
              <w:rPr>
                <w:sz w:val="20"/>
                <w:szCs w:val="20"/>
                <w:color w:val="auto"/>
              </w:rPr>
            </w:pPr>
            <w:r>
              <w:rPr>
                <w:rFonts w:ascii="Arial" w:cs="Arial" w:eastAsia="Arial" w:hAnsi="Arial"/>
                <w:sz w:val="14"/>
                <w:szCs w:val="14"/>
                <w:b w:val="1"/>
                <w:bCs w:val="1"/>
                <w:color w:val="auto"/>
              </w:rPr>
              <w:t>Settled, or</w:t>
            </w:r>
          </w:p>
        </w:tc>
        <w:tc>
          <w:tcPr>
            <w:tcW w:w="1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340" w:type="dxa"/>
            <w:vAlign w:val="bottom"/>
          </w:tcPr>
          <w:p>
            <w:pPr>
              <w:jc w:val="center"/>
              <w:ind w:right="85"/>
              <w:spacing w:after="0"/>
              <w:rPr>
                <w:sz w:val="20"/>
                <w:szCs w:val="20"/>
                <w:color w:val="auto"/>
              </w:rPr>
            </w:pPr>
            <w:r>
              <w:rPr>
                <w:rFonts w:ascii="Arial" w:cs="Arial" w:eastAsia="Arial" w:hAnsi="Arial"/>
                <w:sz w:val="14"/>
                <w:szCs w:val="14"/>
                <w:b w:val="1"/>
                <w:bCs w:val="1"/>
                <w:color w:val="auto"/>
              </w:rPr>
              <w:t>Settle or</w:t>
            </w:r>
          </w:p>
        </w:tc>
      </w:tr>
      <w:tr>
        <w:trPr>
          <w:trHeight w:val="197"/>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28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rPr>
              <w:t>Claims</w:t>
            </w:r>
          </w:p>
        </w:tc>
        <w:tc>
          <w:tcPr>
            <w:tcW w:w="10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Resolved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New Claims</w:t>
            </w: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Resolve</w:t>
            </w: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28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3,615</w:t>
            </w:r>
          </w:p>
        </w:tc>
        <w:tc>
          <w:tcPr>
            <w:tcW w:w="10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2"/>
              <w:spacing w:after="0"/>
              <w:rPr>
                <w:sz w:val="20"/>
                <w:szCs w:val="20"/>
                <w:color w:val="auto"/>
              </w:rPr>
            </w:pPr>
            <w:r>
              <w:rPr>
                <w:rFonts w:ascii="Arial" w:cs="Arial" w:eastAsia="Arial" w:hAnsi="Arial"/>
                <w:sz w:val="16"/>
                <w:szCs w:val="16"/>
                <w:color w:val="auto"/>
              </w:rPr>
              <w:t>32</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93</w:t>
            </w:r>
          </w:p>
        </w:tc>
      </w:tr>
      <w:tr>
        <w:trPr>
          <w:trHeight w:val="21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2022 (As of September 30)</w:t>
            </w:r>
          </w:p>
        </w:tc>
        <w:tc>
          <w:tcPr>
            <w:tcW w:w="228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3,609</w:t>
            </w:r>
          </w:p>
        </w:tc>
        <w:tc>
          <w:tcPr>
            <w:tcW w:w="1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202"/>
              <w:spacing w:after="0"/>
              <w:rPr>
                <w:sz w:val="20"/>
                <w:szCs w:val="20"/>
                <w:color w:val="auto"/>
              </w:rPr>
            </w:pPr>
            <w:r>
              <w:rPr>
                <w:rFonts w:ascii="Arial" w:cs="Arial" w:eastAsia="Arial" w:hAnsi="Arial"/>
                <w:sz w:val="16"/>
                <w:szCs w:val="16"/>
                <w:b w:val="1"/>
                <w:bCs w:val="1"/>
                <w:color w:val="auto"/>
              </w:rPr>
              <w:t>27</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5</w:t>
            </w:r>
          </w:p>
        </w:tc>
      </w:tr>
    </w:tbl>
    <w:p>
      <w:pPr>
        <w:spacing w:after="0" w:line="200" w:lineRule="exact"/>
        <w:rPr>
          <w:sz w:val="20"/>
          <w:szCs w:val="20"/>
          <w:color w:val="auto"/>
        </w:rPr>
      </w:pPr>
    </w:p>
    <w:p>
      <w:pPr>
        <w:spacing w:after="0" w:line="22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71"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September 30, 2022, we had resolved, by means of settlement or dismissal, 38,007 claims. The total cost of resolving all claims was $10.5 million. Of this amount,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almost 100% was paid by our insurance carrier, who has confirmed that we have approximately $140 million of remaining coverage under primary and excess policies that should be available with respect to current and future asbestos claims.</w:t>
      </w:r>
    </w:p>
    <w:p>
      <w:pPr>
        <w:spacing w:after="0" w:line="4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7,709 claims as of September 30, 2022,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7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7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2021 to September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40" w:type="dxa"/>
            <w:vAlign w:val="bottom"/>
          </w:tcPr>
          <w:p>
            <w:pPr>
              <w:spacing w:after="0"/>
              <w:rPr>
                <w:sz w:val="10"/>
                <w:szCs w:val="10"/>
                <w:color w:val="auto"/>
              </w:rPr>
            </w:pPr>
          </w:p>
        </w:tc>
        <w:tc>
          <w:tcPr>
            <w:tcW w:w="1620" w:type="dxa"/>
            <w:vAlign w:val="bottom"/>
            <w:gridSpan w:val="3"/>
          </w:tcPr>
          <w:p>
            <w:pPr>
              <w:jc w:val="right"/>
              <w:ind w:right="606"/>
              <w:spacing w:after="0"/>
              <w:rPr>
                <w:sz w:val="20"/>
                <w:szCs w:val="20"/>
                <w:color w:val="auto"/>
              </w:rPr>
            </w:pPr>
            <w:r>
              <w:rPr>
                <w:rFonts w:ascii="Arial" w:cs="Arial" w:eastAsia="Arial" w:hAnsi="Arial"/>
                <w:sz w:val="11"/>
                <w:szCs w:val="11"/>
                <w:b w:val="1"/>
                <w:bCs w:val="1"/>
                <w:color w:val="auto"/>
              </w:rPr>
              <w:t>Class A</w:t>
            </w:r>
          </w:p>
        </w:tc>
        <w:tc>
          <w:tcPr>
            <w:tcW w:w="1380" w:type="dxa"/>
            <w:vAlign w:val="bottom"/>
            <w:gridSpan w:val="3"/>
          </w:tcPr>
          <w:p>
            <w:pPr>
              <w:ind w:left="440"/>
              <w:spacing w:after="0"/>
              <w:rPr>
                <w:sz w:val="20"/>
                <w:szCs w:val="20"/>
                <w:color w:val="auto"/>
              </w:rPr>
            </w:pPr>
            <w:r>
              <w:rPr>
                <w:rFonts w:ascii="Arial" w:cs="Arial" w:eastAsia="Arial" w:hAnsi="Arial"/>
                <w:sz w:val="11"/>
                <w:szCs w:val="11"/>
                <w:b w:val="1"/>
                <w:bCs w:val="1"/>
                <w:color w:val="auto"/>
              </w:rPr>
              <w:t>Class B</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Class A</w:t>
            </w: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20" w:type="dxa"/>
            <w:vAlign w:val="bottom"/>
            <w:gridSpan w:val="3"/>
          </w:tcPr>
          <w:p>
            <w:pPr>
              <w:jc w:val="right"/>
              <w:ind w:right="406"/>
              <w:spacing w:after="0"/>
              <w:rPr>
                <w:sz w:val="20"/>
                <w:szCs w:val="20"/>
                <w:color w:val="auto"/>
              </w:rPr>
            </w:pPr>
            <w:r>
              <w:rPr>
                <w:rFonts w:ascii="Arial" w:cs="Arial" w:eastAsia="Arial" w:hAnsi="Arial"/>
                <w:sz w:val="11"/>
                <w:szCs w:val="11"/>
                <w:b w:val="1"/>
                <w:bCs w:val="1"/>
                <w:color w:val="auto"/>
              </w:rPr>
              <w:t>Common Stock</w:t>
            </w:r>
          </w:p>
        </w:tc>
        <w:tc>
          <w:tcPr>
            <w:tcW w:w="1380" w:type="dxa"/>
            <w:vAlign w:val="bottom"/>
            <w:gridSpan w:val="3"/>
          </w:tcPr>
          <w:p>
            <w:pPr>
              <w:ind w:left="24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7"/>
              </w:rPr>
              <w:t>Accumulated items of</w:t>
            </w:r>
          </w:p>
        </w:tc>
        <w:tc>
          <w:tcPr>
            <w:tcW w:w="1380" w:type="dxa"/>
            <w:vAlign w:val="bottom"/>
            <w:gridSpan w:val="3"/>
          </w:tcPr>
          <w:p>
            <w:pPr>
              <w:jc w:val="right"/>
              <w:ind w:right="246"/>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Additional paid-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other comprehensive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400"/>
              <w:spacing w:after="0"/>
              <w:rPr>
                <w:sz w:val="20"/>
                <w:szCs w:val="20"/>
                <w:color w:val="auto"/>
              </w:rPr>
            </w:pPr>
            <w:r>
              <w:rPr>
                <w:rFonts w:ascii="Arial" w:cs="Arial" w:eastAsia="Arial" w:hAnsi="Arial"/>
                <w:sz w:val="11"/>
                <w:szCs w:val="11"/>
                <w:b w:val="1"/>
                <w:bCs w:val="1"/>
                <w:color w:val="auto"/>
              </w:rPr>
              <w:t>(in thousands)</w:t>
            </w:r>
          </w:p>
        </w:tc>
        <w:tc>
          <w:tcPr>
            <w:tcW w:w="76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20" w:type="dxa"/>
            <w:vAlign w:val="bottom"/>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Retained earnings</w:t>
            </w:r>
          </w:p>
        </w:tc>
        <w:tc>
          <w:tcPr>
            <w:tcW w:w="120" w:type="dxa"/>
            <w:vAlign w:val="bottom"/>
          </w:tcPr>
          <w:p>
            <w:pPr>
              <w:spacing w:after="0"/>
              <w:rPr>
                <w:sz w:val="12"/>
                <w:szCs w:val="12"/>
                <w:color w:val="auto"/>
              </w:rPr>
            </w:pPr>
          </w:p>
        </w:tc>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income</w:t>
            </w: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Noncontrolling Interest</w:t>
            </w:r>
          </w:p>
        </w:tc>
        <w:tc>
          <w:tcPr>
            <w:tcW w:w="10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8"/>
        </w:trPr>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41</w:t>
            </w: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436,996</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863,057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(145,984)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8,665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(280,143)</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3,638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877,605</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27,737</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28,075</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Compensation and benefits</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745</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745</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Purchase of Treasury shares</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515</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(43,937)</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(43,937)</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(a)</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$0.21 per share</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Class B Common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$0.21 per share</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(1,730)</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(1,674)</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Derivative valuation</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10,018</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10,018</w:t>
            </w:r>
          </w:p>
        </w:tc>
        <w:tc>
          <w:tcPr>
            <w:tcW w:w="0" w:type="dxa"/>
            <w:vAlign w:val="bottom"/>
          </w:tcPr>
          <w:p>
            <w:pPr>
              <w:spacing w:after="0"/>
              <w:rPr>
                <w:sz w:val="1"/>
                <w:szCs w:val="1"/>
                <w:color w:val="auto"/>
              </w:rPr>
            </w:pPr>
          </w:p>
        </w:tc>
      </w:tr>
      <w:tr>
        <w:trPr>
          <w:trHeight w:val="155"/>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adjustment</w:t>
            </w:r>
          </w:p>
        </w:tc>
        <w:tc>
          <w:tcPr>
            <w:tcW w:w="7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March 31, 2022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40,781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41</w:t>
            </w: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437,748</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884,133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(137,622)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(324,080)</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4,032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864,252</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39,201</w:t>
            </w:r>
          </w:p>
        </w:tc>
        <w:tc>
          <w:tcPr>
            <w:tcW w:w="12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168</w:t>
            </w:r>
          </w:p>
        </w:tc>
        <w:tc>
          <w:tcPr>
            <w:tcW w:w="1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39,369</w:t>
            </w: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 benefits</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902</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902</w:t>
            </w: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800</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285</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1,085</w:t>
            </w: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Purchase of Treasury shares</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508</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(41,128)</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(41,128)</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(a)</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(6,529)</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(6,529)</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$0.21 per share</w:t>
            </w: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$0.21 per share</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(39,661)</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(91)</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(39,752)</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Pension and postretirement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234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Derivative valuation</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3,349</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3,349</w:t>
            </w:r>
          </w:p>
        </w:tc>
        <w:tc>
          <w:tcPr>
            <w:tcW w:w="0" w:type="dxa"/>
            <w:vAlign w:val="bottom"/>
          </w:tcPr>
          <w:p>
            <w:pPr>
              <w:spacing w:after="0"/>
              <w:rPr>
                <w:sz w:val="1"/>
                <w:szCs w:val="1"/>
                <w:color w:val="auto"/>
              </w:rPr>
            </w:pPr>
          </w:p>
        </w:tc>
      </w:tr>
      <w:tr>
        <w:trPr>
          <w:trHeight w:val="155"/>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adjustment</w:t>
            </w:r>
          </w:p>
        </w:tc>
        <w:tc>
          <w:tcPr>
            <w:tcW w:w="7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41</w:t>
            </w: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439,450</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916,805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(173,700)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9,675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(364,923)</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4,109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821,782</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10,694</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10,823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Compensation and benefits</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835</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835</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Purchase of Treasury shares</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(a)</w:t>
            </w: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(6,533)</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(6,533)</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$0.21 per share</w:t>
            </w:r>
          </w:p>
        </w:tc>
        <w:tc>
          <w:tcPr>
            <w:tcW w:w="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5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$0.21 per share</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(38,450)</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(38,506)</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(629)</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(629)</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40" w:type="dxa"/>
            <w:vAlign w:val="bottom"/>
          </w:tcPr>
          <w:p>
            <w:pPr>
              <w:ind w:left="20"/>
              <w:spacing w:after="0" w:line="109" w:lineRule="exact"/>
              <w:rPr>
                <w:sz w:val="20"/>
                <w:szCs w:val="20"/>
                <w:color w:val="auto"/>
              </w:rPr>
            </w:pPr>
            <w:r>
              <w:rPr>
                <w:rFonts w:ascii="Arial" w:cs="Arial" w:eastAsia="Arial" w:hAnsi="Arial"/>
                <w:sz w:val="11"/>
                <w:szCs w:val="11"/>
                <w:color w:val="auto"/>
              </w:rPr>
              <w:t>Settlement of certain pension</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26,198</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26,198</w:t>
            </w:r>
          </w:p>
        </w:tc>
        <w:tc>
          <w:tcPr>
            <w:tcW w:w="0" w:type="dxa"/>
            <w:vAlign w:val="bottom"/>
          </w:tcPr>
          <w:p>
            <w:pPr>
              <w:spacing w:after="0"/>
              <w:rPr>
                <w:sz w:val="1"/>
                <w:szCs w:val="1"/>
                <w:color w:val="auto"/>
              </w:rPr>
            </w:pPr>
          </w:p>
        </w:tc>
      </w:tr>
      <w:tr>
        <w:trPr>
          <w:trHeight w:val="142"/>
        </w:trPr>
        <w:tc>
          <w:tcPr>
            <w:tcW w:w="1540" w:type="dxa"/>
            <w:vAlign w:val="bottom"/>
          </w:tcPr>
          <w:p>
            <w:pPr>
              <w:ind w:left="20"/>
              <w:spacing w:after="0"/>
              <w:rPr>
                <w:sz w:val="20"/>
                <w:szCs w:val="20"/>
                <w:color w:val="auto"/>
              </w:rPr>
            </w:pPr>
            <w:r>
              <w:rPr>
                <w:rFonts w:ascii="Arial" w:cs="Arial" w:eastAsia="Arial" w:hAnsi="Arial"/>
                <w:sz w:val="11"/>
                <w:szCs w:val="11"/>
                <w:color w:val="auto"/>
              </w:rPr>
              <w:t>liabilities</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Derivative valuation</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6,208</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6,208</w:t>
            </w:r>
          </w:p>
        </w:tc>
        <w:tc>
          <w:tcPr>
            <w:tcW w:w="0" w:type="dxa"/>
            <w:vAlign w:val="bottom"/>
          </w:tcPr>
          <w:p>
            <w:pPr>
              <w:spacing w:after="0"/>
              <w:rPr>
                <w:sz w:val="1"/>
                <w:szCs w:val="1"/>
                <w:color w:val="auto"/>
              </w:rPr>
            </w:pPr>
          </w:p>
        </w:tc>
      </w:tr>
      <w:tr>
        <w:trPr>
          <w:trHeight w:val="155"/>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40,785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41</w:t>
            </w:r>
          </w:p>
        </w:tc>
        <w:tc>
          <w:tcPr>
            <w:tcW w:w="68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440,295</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920,966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(180,373)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9,675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(364,923)</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4,182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820,188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2020 to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00" w:type="dxa"/>
            <w:vAlign w:val="bottom"/>
          </w:tcPr>
          <w:p>
            <w:pPr>
              <w:spacing w:after="0"/>
              <w:rPr>
                <w:sz w:val="11"/>
                <w:szCs w:val="11"/>
                <w:color w:val="auto"/>
              </w:rPr>
            </w:pPr>
          </w:p>
        </w:tc>
        <w:tc>
          <w:tcPr>
            <w:tcW w:w="1560" w:type="dxa"/>
            <w:vAlign w:val="bottom"/>
            <w:gridSpan w:val="3"/>
          </w:tcPr>
          <w:p>
            <w:pPr>
              <w:jc w:val="right"/>
              <w:ind w:right="566"/>
              <w:spacing w:after="0"/>
              <w:rPr>
                <w:sz w:val="20"/>
                <w:szCs w:val="20"/>
                <w:color w:val="auto"/>
              </w:rPr>
            </w:pPr>
            <w:r>
              <w:rPr>
                <w:rFonts w:ascii="Arial" w:cs="Arial" w:eastAsia="Arial" w:hAnsi="Arial"/>
                <w:sz w:val="11"/>
                <w:szCs w:val="11"/>
                <w:b w:val="1"/>
                <w:bCs w:val="1"/>
                <w:color w:val="auto"/>
              </w:rPr>
              <w:t>Class A</w:t>
            </w:r>
          </w:p>
        </w:tc>
        <w:tc>
          <w:tcPr>
            <w:tcW w:w="1380" w:type="dxa"/>
            <w:vAlign w:val="bottom"/>
            <w:gridSpan w:val="3"/>
          </w:tcPr>
          <w:p>
            <w:pPr>
              <w:jc w:val="right"/>
              <w:ind w:right="466"/>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60" w:type="dxa"/>
            <w:vAlign w:val="bottom"/>
            <w:gridSpan w:val="3"/>
          </w:tcPr>
          <w:p>
            <w:pPr>
              <w:jc w:val="right"/>
              <w:ind w:right="426"/>
              <w:spacing w:after="0"/>
              <w:rPr>
                <w:sz w:val="20"/>
                <w:szCs w:val="20"/>
                <w:color w:val="auto"/>
              </w:rPr>
            </w:pPr>
            <w:r>
              <w:rPr>
                <w:rFonts w:ascii="Arial" w:cs="Arial" w:eastAsia="Arial" w:hAnsi="Arial"/>
                <w:sz w:val="11"/>
                <w:szCs w:val="11"/>
                <w:b w:val="1"/>
                <w:bCs w:val="1"/>
                <w:color w:val="auto"/>
              </w:rPr>
              <w:t>Class A</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560" w:type="dxa"/>
            <w:vAlign w:val="bottom"/>
            <w:gridSpan w:val="3"/>
          </w:tcPr>
          <w:p>
            <w:pPr>
              <w:jc w:val="right"/>
              <w:ind w:right="366"/>
              <w:spacing w:after="0"/>
              <w:rPr>
                <w:sz w:val="20"/>
                <w:szCs w:val="20"/>
                <w:color w:val="auto"/>
              </w:rPr>
            </w:pPr>
            <w:r>
              <w:rPr>
                <w:rFonts w:ascii="Arial" w:cs="Arial" w:eastAsia="Arial" w:hAnsi="Arial"/>
                <w:sz w:val="11"/>
                <w:szCs w:val="11"/>
                <w:b w:val="1"/>
                <w:bCs w:val="1"/>
                <w:color w:val="auto"/>
              </w:rPr>
              <w:t>Common Stock</w:t>
            </w:r>
          </w:p>
        </w:tc>
        <w:tc>
          <w:tcPr>
            <w:tcW w:w="1380" w:type="dxa"/>
            <w:vAlign w:val="bottom"/>
            <w:gridSpan w:val="3"/>
          </w:tcPr>
          <w:p>
            <w:pPr>
              <w:jc w:val="right"/>
              <w:ind w:right="286"/>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386"/>
              <w:spacing w:after="0"/>
              <w:rPr>
                <w:sz w:val="20"/>
                <w:szCs w:val="20"/>
                <w:color w:val="auto"/>
              </w:rPr>
            </w:pPr>
            <w:r>
              <w:rPr>
                <w:rFonts w:ascii="Arial" w:cs="Arial" w:eastAsia="Arial" w:hAnsi="Arial"/>
                <w:sz w:val="11"/>
                <w:szCs w:val="11"/>
                <w:b w:val="1"/>
                <w:bCs w:val="1"/>
                <w:color w:val="auto"/>
              </w:rPr>
              <w:t>Accumulated</w:t>
            </w:r>
          </w:p>
        </w:tc>
        <w:tc>
          <w:tcPr>
            <w:tcW w:w="1360" w:type="dxa"/>
            <w:vAlign w:val="bottom"/>
            <w:gridSpan w:val="3"/>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98"/>
              </w:rPr>
              <w:t>Additional paid-</w:t>
            </w: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restart"/>
          </w:tcPr>
          <w:p>
            <w:pPr>
              <w:jc w:val="right"/>
              <w:ind w:right="506"/>
              <w:spacing w:after="0" w:line="122" w:lineRule="exact"/>
              <w:rPr>
                <w:sz w:val="20"/>
                <w:szCs w:val="20"/>
                <w:color w:val="auto"/>
              </w:rPr>
            </w:pPr>
            <w:r>
              <w:rPr>
                <w:rFonts w:ascii="Arial" w:cs="Arial" w:eastAsia="Arial" w:hAnsi="Arial"/>
                <w:sz w:val="11"/>
                <w:szCs w:val="11"/>
                <w:b w:val="1"/>
                <w:bCs w:val="1"/>
                <w:color w:val="auto"/>
              </w:rPr>
              <w:t>items of</w:t>
            </w: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7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Amount</w:t>
            </w: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252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8"/>
              </w:rPr>
              <w:t>Retained earnings other comprehensive income</w:t>
            </w: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9"/>
              </w:rPr>
              <w:t>Noncontrolling Interest</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rPr>
                <w:sz w:val="1"/>
                <w:szCs w:val="1"/>
                <w:color w:val="auto"/>
              </w:rPr>
            </w:pPr>
          </w:p>
        </w:tc>
      </w:tr>
      <w:tr>
        <w:trPr>
          <w:trHeight w:val="156"/>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39</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433,696</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770,746</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(132,408)</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8,391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(256,009)</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3,799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819,865</w:t>
            </w:r>
          </w:p>
        </w:tc>
        <w:tc>
          <w:tcPr>
            <w:tcW w:w="0" w:type="dxa"/>
            <w:vAlign w:val="bottom"/>
          </w:tcPr>
          <w:p>
            <w:pPr>
              <w:spacing w:after="0"/>
              <w:rPr>
                <w:sz w:val="1"/>
                <w:szCs w:val="1"/>
                <w:color w:val="auto"/>
              </w:rPr>
            </w:pPr>
          </w:p>
        </w:tc>
      </w:tr>
      <w:tr>
        <w:trPr>
          <w:trHeight w:val="152"/>
        </w:trPr>
        <w:tc>
          <w:tcPr>
            <w:tcW w:w="15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27,582</w:t>
            </w:r>
          </w:p>
        </w:tc>
        <w:tc>
          <w:tcPr>
            <w:tcW w:w="2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27,609</w:t>
            </w:r>
          </w:p>
        </w:tc>
        <w:tc>
          <w:tcPr>
            <w:tcW w:w="0" w:type="dxa"/>
            <w:vAlign w:val="bottom"/>
          </w:tcPr>
          <w:p>
            <w:pPr>
              <w:spacing w:after="0"/>
              <w:rPr>
                <w:sz w:val="1"/>
                <w:szCs w:val="1"/>
                <w:color w:val="auto"/>
              </w:rPr>
            </w:pPr>
          </w:p>
        </w:tc>
      </w:tr>
      <w:tr>
        <w:trPr>
          <w:trHeight w:val="118"/>
        </w:trPr>
        <w:tc>
          <w:tcPr>
            <w:tcW w:w="1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 benefits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40" w:type="dxa"/>
            <w:vAlign w:val="bottom"/>
          </w:tcPr>
          <w:p>
            <w:pPr>
              <w:jc w:val="right"/>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(6,150)</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Class B Common Stock,</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(15,955)</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(210)</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(16,165)</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509</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509</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Derivative valuation</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752</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752</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adjustment</w:t>
            </w: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March 31, 2021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39,141</w:t>
            </w: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1,618</w:t>
            </w: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433,811</w:t>
            </w:r>
          </w:p>
        </w:tc>
        <w:tc>
          <w:tcPr>
            <w:tcW w:w="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791,854</w:t>
            </w: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(147,102)</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8,391</w:t>
            </w: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(256,009)</w:t>
            </w:r>
          </w:p>
        </w:tc>
        <w:tc>
          <w:tcPr>
            <w:tcW w:w="5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3,616</w:t>
            </w: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826,211</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31,397</w:t>
            </w:r>
          </w:p>
        </w:tc>
        <w:tc>
          <w:tcPr>
            <w:tcW w:w="2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31,440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Compensation and benefits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692</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692</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706</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947</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Class B Common Stock,</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(323)</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(323)</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13,774</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183</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13,957</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spacing w:after="0"/>
              <w:rPr>
                <w:sz w:val="20"/>
                <w:szCs w:val="20"/>
                <w:color w:val="auto"/>
              </w:rPr>
            </w:pPr>
            <w:r>
              <w:rPr>
                <w:rFonts w:ascii="Arial" w:cs="Arial" w:eastAsia="Arial" w:hAnsi="Arial"/>
                <w:sz w:val="11"/>
                <w:szCs w:val="11"/>
                <w:color w:val="auto"/>
              </w:rPr>
              <w:t>(130)</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(130)</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Derivative valuation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1,394</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1,394</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39,142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39</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435,230</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816,778</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(132,064)</w:t>
            </w: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8,380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(255,768)</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3,842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868,059</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30,862</w:t>
            </w: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30,942</w:t>
            </w: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Compensation and benefits</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845</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845</w:t>
            </w:r>
          </w:p>
        </w:tc>
        <w:tc>
          <w:tcPr>
            <w:tcW w:w="0" w:type="dxa"/>
            <w:vAlign w:val="bottom"/>
          </w:tcPr>
          <w:p>
            <w:pPr>
              <w:spacing w:after="0"/>
              <w:rPr>
                <w:sz w:val="1"/>
                <w:szCs w:val="1"/>
                <w:color w:val="auto"/>
              </w:rPr>
            </w:pPr>
          </w:p>
        </w:tc>
      </w:tr>
      <w:tr>
        <w:trPr>
          <w:trHeight w:val="152"/>
        </w:trPr>
        <w:tc>
          <w:tcPr>
            <w:tcW w:w="1500" w:type="dxa"/>
            <w:vAlign w:val="bottom"/>
          </w:tcPr>
          <w:p>
            <w:pPr>
              <w:ind w:left="20"/>
              <w:spacing w:after="0"/>
              <w:rPr>
                <w:sz w:val="20"/>
                <w:szCs w:val="20"/>
                <w:color w:val="auto"/>
              </w:rPr>
            </w:pPr>
            <w:r>
              <w:rPr>
                <w:rFonts w:ascii="Arial" w:cs="Arial" w:eastAsia="Arial" w:hAnsi="Arial"/>
                <w:sz w:val="11"/>
                <w:szCs w:val="11"/>
                <w:color w:val="auto"/>
              </w:rPr>
              <w:t>paid or payable in shares</w:t>
            </w: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Options exercised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3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Class A Common Stock,</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(6,478)</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(6,478)</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Class B Common Stock,</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Conversion of Class B shares</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1,617</w:t>
            </w:r>
          </w:p>
        </w:tc>
        <w:tc>
          <w:tcPr>
            <w:tcW w:w="14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2</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(1,617)</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500" w:type="dxa"/>
            <w:vAlign w:val="bottom"/>
          </w:tcPr>
          <w:p>
            <w:pPr>
              <w:ind w:left="20"/>
              <w:spacing w:after="0"/>
              <w:rPr>
                <w:sz w:val="20"/>
                <w:szCs w:val="20"/>
                <w:color w:val="auto"/>
              </w:rPr>
            </w:pPr>
            <w:r>
              <w:rPr>
                <w:rFonts w:ascii="Arial" w:cs="Arial" w:eastAsia="Arial" w:hAnsi="Arial"/>
                <w:sz w:val="11"/>
                <w:szCs w:val="11"/>
                <w:color w:val="auto"/>
              </w:rPr>
              <w:t>to Class A shares (b)</w:t>
            </w: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(14,943)</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(15,135)</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Arial" w:cs="Arial" w:eastAsia="Arial" w:hAnsi="Arial"/>
                <w:sz w:val="11"/>
                <w:szCs w:val="11"/>
                <w:color w:val="auto"/>
              </w:rPr>
              <w:t>223</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223</w:t>
            </w:r>
          </w:p>
        </w:tc>
        <w:tc>
          <w:tcPr>
            <w:tcW w:w="0" w:type="dxa"/>
            <w:vAlign w:val="bottom"/>
          </w:tcPr>
          <w:p>
            <w:pPr>
              <w:spacing w:after="0"/>
              <w:rPr>
                <w:sz w:val="1"/>
                <w:szCs w:val="1"/>
                <w:color w:val="auto"/>
              </w:rPr>
            </w:pPr>
          </w:p>
        </w:tc>
      </w:tr>
      <w:tr>
        <w:trPr>
          <w:trHeight w:val="152"/>
        </w:trPr>
        <w:tc>
          <w:tcPr>
            <w:tcW w:w="150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Derivative valuation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1,873</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1,873</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40,760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41</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436,079</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841,162</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(144,911)</w:t>
            </w: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8,380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(255,768)</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3,730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880,333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right="40" w:hanging="652"/>
        <w:spacing w:after="0" w:line="262" w:lineRule="auto"/>
        <w:tabs>
          <w:tab w:leader="none" w:pos="65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2021, the Company's Board of Directors authorized the Company to repurchase shares of up to $200 million through open market purchases, privately negotiated transactions or otherwise, and to determine the prices, times and amounts. In 2021, the Company repurchased 285,286 shares totaling $24.4 million. During the nine month period ending September 30, 2022, the Company repurchased 1,022,717 shares totaling $85.1 million.</w:t>
      </w:r>
    </w:p>
    <w:p>
      <w:pPr>
        <w:spacing w:after="0" w:line="54" w:lineRule="exact"/>
        <w:rPr>
          <w:rFonts w:ascii="Arial" w:cs="Arial" w:eastAsia="Arial" w:hAnsi="Arial"/>
          <w:sz w:val="18"/>
          <w:szCs w:val="18"/>
          <w:color w:val="auto"/>
        </w:rPr>
      </w:pPr>
    </w:p>
    <w:p>
      <w:pPr>
        <w:ind w:left="660" w:hanging="652"/>
        <w:spacing w:after="0" w:line="259" w:lineRule="auto"/>
        <w:tabs>
          <w:tab w:leader="none" w:pos="65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third quarter of 2021, Standish Family Holdings, LLC and J.S. Standish Company (the "Selling Stockholders") agreed to sell to J.P. Morgan Securities LLC 1,566,644 shares of the Company’s Class A Common Stock, par value $0.001 per share, to be issued upon conversion of an equal number of shares of the Company’s Class B common stock, par value $0.001 per share, at a price per share of $75.9656 (the "Transaction"). Immediately following the Transaction, the Selling Stockholders and related persons (including Christine L. Standish and John C. Standish) hold in the aggregate shares of the Company’s common stock</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entitling them to cast less than one percent of the combined votes entitled to be cast by all stockholders of the Company. Costs associated with the Transaction were borne directly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4" w:right="8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45" w:lineRule="exact"/>
        <w:rPr>
          <w:sz w:val="20"/>
          <w:szCs w:val="20"/>
          <w:color w:val="auto"/>
        </w:rPr>
      </w:pPr>
    </w:p>
    <w:p>
      <w:pPr>
        <w:jc w:val="both"/>
        <w:ind w:left="980" w:hanging="324"/>
        <w:spacing w:after="0" w:line="268"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62" w:lineRule="exact"/>
        <w:rPr>
          <w:rFonts w:ascii="Arial" w:cs="Arial" w:eastAsia="Arial" w:hAnsi="Arial"/>
          <w:sz w:val="18"/>
          <w:szCs w:val="18"/>
          <w:color w:val="auto"/>
        </w:rPr>
      </w:pPr>
    </w:p>
    <w:p>
      <w:pPr>
        <w:ind w:left="980" w:hanging="324"/>
        <w:spacing w:after="0" w:line="28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Across the entire Company, increasing labor, raw material, energy, and logistic costs due to supply chain constraints and inflationary pressures</w:t>
      </w:r>
    </w:p>
    <w:p>
      <w:pPr>
        <w:spacing w:after="0" w:line="44" w:lineRule="exact"/>
        <w:rPr>
          <w:rFonts w:ascii="Arial" w:cs="Arial" w:eastAsia="Arial" w:hAnsi="Arial"/>
          <w:sz w:val="18"/>
          <w:szCs w:val="18"/>
          <w:color w:val="auto"/>
        </w:rPr>
      </w:pPr>
    </w:p>
    <w:p>
      <w:pPr>
        <w:ind w:left="980" w:right="20" w:hanging="324"/>
        <w:spacing w:after="0" w:line="28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44"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 risks associated with macroeconomic conditions, as noted above, have changed during the first nine months of 2022. The Russia-Ukraine war has had and may continue to have profound effects on macroeconomic business conditions around the world, including in our Machine Clothing and Albany Engineered Composites segments. Certain COVID-19 related disruptions and risks have persisted during the current year, causing inflationary pressure connected to global supply chain bottlenecks and elevated energy price pressures. These challenges have only increased as a result of the Russia-Ukraine war, which also has quickly prompted a global imposition of stringent sanctions that have resulted in a sharp decline in trade with Russia. Correspondingly, and in union with the global community, we voluntarily decided to dissolve business relationships in Russia during the first quarter of 2022, despite the associated cost to our investment and the loss of future revenue in the region. While our Albany Engineered Composites segment does not have significant direct exposure in this region of the world, and our Machine Clothing segment has now significantly reduced its exposure, the broader economic ramifications of this war will indirectly affect all sectors of the economy. This conflict, including imposed sanctions, has amplified inflationary pressures, driving higher prices for global oil, natural gas, agricultural and metal prices, as well as causing additional supply-chain disruptions.</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perception of historical conditions, expected future developments, and other factors believed to be appropriate under the circumstances.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1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AEC segment provides significant longer term growth potential for our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12 percent of the Company’s consolidated Net sales in 2021. AEC, through ASC, also supplies 3D-woven composite fan cases for the GE9X engine. AEC’s current portfolio of non-3D programs includes components for the CH-53K helicopter, components for the F-35, missile bodies for Lockheed Martin’s JASSM air-to-surface missiles, fuselage components for the Boeing 787, and vacuum waste tanks for Boeing 7-Series aircraft. AEC is actively engaged in research to develop new applications in both commercial and defense aircraft engine and airframe markets. In 2021, approximately 47 percent of AEC sales were related to U.S. government contracts or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Russia-Military Conflict</w:t>
      </w:r>
    </w:p>
    <w:p>
      <w:pPr>
        <w:spacing w:after="0" w:line="36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war between Russia and Ukraine is affecting the economic and global financial markets and exacerbating ongoing economic challenges caused by impacts of the ongoing COVID-19 pandemic, including rising inflation and global supply chain disruptions.</w:t>
      </w:r>
    </w:p>
    <w:p>
      <w:pPr>
        <w:spacing w:after="0" w:line="31"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Our MC segment generates approximately 2% of its annual net sales from customers in Russia and Ukraine. In addition, a subsidiary within our Machine Clothing segment has been a partner in a joint venture (“JV”) that supplies paper machine clothing products to local</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papermakers in Russia. In March 2022, we made the decision to cease doing business in Russia, including giving notice to our JV partner of our intent to exit the venture. As a result, we recognized $1.6 million expense in cost of goods sold and in Selling, Administrative, and General expense, representing reserves against the risk of obsolescence of certain inventory destined for Russian customers and uncollectible receivables from Russian customers, respectively. We also wrote down the net book value of our investment in the</w:t>
      </w:r>
    </w:p>
    <w:p>
      <w:pPr>
        <w:jc w:val="both"/>
        <w:spacing w:after="0" w:line="237" w:lineRule="auto"/>
        <w:rPr>
          <w:sz w:val="20"/>
          <w:szCs w:val="20"/>
          <w:color w:val="auto"/>
        </w:rPr>
      </w:pPr>
      <w:r>
        <w:rPr>
          <w:rFonts w:ascii="Arial" w:cs="Arial" w:eastAsia="Arial" w:hAnsi="Arial"/>
          <w:sz w:val="18"/>
          <w:szCs w:val="18"/>
          <w:color w:val="auto"/>
        </w:rPr>
        <w:t>aforementioned JV to reflect our intent to exit such venture, resulting in $0.8 million impairment loss included in Other (income)/expense, net during the first quarter of 2022.</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anticipate approximately $10.0 million reduction in future annual net sales in the MC segment, due to our cessation of doing business in Russia.</w:t>
      </w:r>
    </w:p>
    <w:p>
      <w:pPr>
        <w:spacing w:after="0" w:line="193"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For the year-to-date ended September 30, 2022, our segments saw higher input costs due to increased energy costs, tight supply market, and global logistics challenges.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00" w:firstLine="324"/>
        <w:spacing w:after="0" w:line="237" w:lineRule="auto"/>
        <w:rPr>
          <w:sz w:val="20"/>
          <w:szCs w:val="20"/>
          <w:color w:val="auto"/>
        </w:rPr>
      </w:pPr>
      <w:r>
        <w:rPr>
          <w:rFonts w:ascii="Arial" w:cs="Arial" w:eastAsia="Arial" w:hAnsi="Arial"/>
          <w:sz w:val="18"/>
          <w:szCs w:val="18"/>
          <w:color w:val="auto"/>
        </w:rPr>
        <w:t>During the quarter ended September 30, 2022, our MC segment experienced higher energy prices, driven by energy surcharges supporting increased raw material prices. Such was due to capacity constraints, due to limited opportunity to move supply globally from</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Europe. We continued to identify alternatives to secure materials in the face of intense supply constraints. Logistics costs have begun to stabilize compared to the same period last year, though they remained higher than those pre-pandemic.</w:t>
      </w:r>
    </w:p>
    <w:p>
      <w:pPr>
        <w:spacing w:after="0" w:line="194"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We anticipate inflationary pressure to remain for the balance of this fiscal year and energy cost escalation to be a primary input cost pressure in the near term.</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ultimate financial impact due to the war between Russia and Ukraine, the ongoing COVID-19 pandemic, and inflationary environment is difficult to predict. After consideration of possible offsets through corresponding price increases to our customers and productivity improvements, we estimate a net increase to the MC segment input costs of between $8.0 million and $10.0 million for the year ending December 31, 2022, or an unfavorable impact to the segment gross margin of up to 140 basis points for the year ending December 31, 2022.</w:t>
      </w:r>
    </w:p>
    <w:p>
      <w:pPr>
        <w:spacing w:after="0" w:line="58"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8"/>
          <w:szCs w:val="18"/>
          <w:color w:val="auto"/>
        </w:rPr>
        <w:t>Our Albany Engineered Composites segment does not have significant direct exposure in Russia. However, it has not been immune from supply chain disruptions. Increasing fuel prices coupled with higher demand has resulted in increased freight costs during the quarter, along with ongoing logistic constraints. Due to the nature of AEC’s contracts with its customers, we currently anticipate passing through a majority of such cost increases to the customers.</w:t>
      </w:r>
    </w:p>
    <w:p>
      <w:pPr>
        <w:spacing w:after="0" w:line="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Until the effects of the war between Russia and Ukraine, as well as the COVID-19 pandemic, on the economic and global financial markets subside, there can be no assurance that our input costs will not continue to rise beyond our current estimate, thus unfavorably impacting our future results of operations, financial position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8319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4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3"/>
          </w:tcPr>
          <w:p>
            <w:pPr>
              <w:jc w:val="right"/>
              <w:ind w:right="801"/>
              <w:spacing w:after="0"/>
              <w:rPr>
                <w:sz w:val="20"/>
                <w:szCs w:val="20"/>
                <w:color w:val="auto"/>
              </w:rPr>
            </w:pPr>
            <w:r>
              <w:rPr>
                <w:rFonts w:ascii="Arial" w:cs="Arial" w:eastAsia="Arial" w:hAnsi="Arial"/>
                <w:sz w:val="14"/>
                <w:szCs w:val="14"/>
                <w:b w:val="1"/>
                <w:bCs w:val="1"/>
                <w:color w:val="auto"/>
              </w:rPr>
              <w:t>Three months ended September 30,</w:t>
            </w:r>
          </w:p>
        </w:tc>
        <w:tc>
          <w:tcPr>
            <w:tcW w:w="356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580" w:type="dxa"/>
            <w:vAlign w:val="bottom"/>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$153,389</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$154,171</w:t>
            </w:r>
          </w:p>
        </w:tc>
        <w:tc>
          <w:tcPr>
            <w:tcW w:w="1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-0.5 %</w:t>
            </w:r>
          </w:p>
        </w:tc>
        <w:tc>
          <w:tcPr>
            <w:tcW w:w="1200" w:type="dxa"/>
            <w:vAlign w:val="bottom"/>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$459,121</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$462,298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5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107,174</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78,271</w:t>
            </w:r>
          </w:p>
        </w:tc>
        <w:tc>
          <w:tcPr>
            <w:tcW w:w="14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36.9 %</w:t>
            </w: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306,980</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227,024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35.2 %</w:t>
            </w:r>
          </w:p>
        </w:tc>
      </w:tr>
      <w:tr>
        <w:trPr>
          <w:trHeight w:val="20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$260,563</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$232,442</w:t>
            </w:r>
          </w:p>
        </w:tc>
        <w:tc>
          <w:tcPr>
            <w:tcW w:w="14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12.1 %</w:t>
            </w:r>
          </w:p>
        </w:tc>
        <w:tc>
          <w:tcPr>
            <w:tcW w:w="12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$766,101</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$689,322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r>
    </w:tbl>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2022 Net sales, excluding the impact of currency translation effects, to 2021 Net sales: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4"/>
                <w:szCs w:val="14"/>
                <w:b w:val="1"/>
                <w:bCs w:val="1"/>
                <w:color w:val="auto"/>
              </w:rPr>
              <w:t>Decrease due to</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Q3 2022 sales on</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rPr>
              <w:t>Net sales as</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23"/>
              <w:spacing w:after="0" w:line="145" w:lineRule="exact"/>
              <w:rPr>
                <w:sz w:val="20"/>
                <w:szCs w:val="20"/>
                <w:color w:val="auto"/>
              </w:rPr>
            </w:pPr>
            <w:r>
              <w:rPr>
                <w:rFonts w:ascii="Arial" w:cs="Arial" w:eastAsia="Arial" w:hAnsi="Arial"/>
                <w:sz w:val="14"/>
                <w:szCs w:val="14"/>
                <w:b w:val="1"/>
                <w:bCs w:val="1"/>
                <w:color w:val="auto"/>
              </w:rPr>
              <w:t>same basis as Q3</w:t>
            </w:r>
          </w:p>
        </w:tc>
        <w:tc>
          <w:tcPr>
            <w:tcW w:w="120" w:type="dxa"/>
            <w:vAlign w:val="bottom"/>
          </w:tcPr>
          <w:p>
            <w:pPr>
              <w:spacing w:after="0"/>
              <w:rPr>
                <w:sz w:val="12"/>
                <w:szCs w:val="12"/>
                <w:color w:val="auto"/>
              </w:rPr>
            </w:pPr>
          </w:p>
        </w:tc>
        <w:tc>
          <w:tcPr>
            <w:tcW w:w="13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Net sales as</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changes in currency</w:t>
            </w:r>
          </w:p>
        </w:tc>
        <w:tc>
          <w:tcPr>
            <w:tcW w:w="120" w:type="dxa"/>
            <w:vAlign w:val="bottom"/>
          </w:tcPr>
          <w:p>
            <w:pPr>
              <w:spacing w:after="0"/>
              <w:rPr>
                <w:sz w:val="12"/>
                <w:szCs w:val="12"/>
                <w:color w:val="auto"/>
              </w:rPr>
            </w:pPr>
          </w:p>
        </w:tc>
        <w:tc>
          <w:tcPr>
            <w:tcW w:w="13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rPr>
              <w:t>2021 currency</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 Q3 2021, excluding</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reported, Q3 2022</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translation rates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translation rates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reported, Q3 2021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153,389</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159,959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154,171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107,174</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(3,637)</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110,811</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78,271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41.6 %</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260,563</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232,442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Decrease due to</w:t>
            </w:r>
          </w:p>
        </w:tc>
        <w:tc>
          <w:tcPr>
            <w:tcW w:w="14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YTD 2022 sales on</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rPr>
              <w:t>Net sales as</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same basis as 2021</w:t>
            </w:r>
          </w:p>
        </w:tc>
        <w:tc>
          <w:tcPr>
            <w:tcW w:w="120" w:type="dxa"/>
            <w:vAlign w:val="bottom"/>
          </w:tcPr>
          <w:p>
            <w:pPr>
              <w:spacing w:after="0"/>
              <w:rPr>
                <w:sz w:val="12"/>
                <w:szCs w:val="12"/>
                <w:color w:val="auto"/>
              </w:rPr>
            </w:pPr>
          </w:p>
        </w:tc>
        <w:tc>
          <w:tcPr>
            <w:tcW w:w="13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Net sales as</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900" w:type="dxa"/>
            <w:vAlign w:val="bottom"/>
            <w:gridSpan w:val="4"/>
          </w:tcPr>
          <w:p>
            <w:pPr>
              <w:ind w:left="40"/>
              <w:spacing w:after="0" w:line="145" w:lineRule="exact"/>
              <w:rPr>
                <w:sz w:val="20"/>
                <w:szCs w:val="20"/>
                <w:color w:val="auto"/>
              </w:rPr>
            </w:pPr>
            <w:r>
              <w:rPr>
                <w:rFonts w:ascii="Arial" w:cs="Arial" w:eastAsia="Arial" w:hAnsi="Arial"/>
                <w:sz w:val="14"/>
                <w:szCs w:val="14"/>
                <w:b w:val="1"/>
                <w:bCs w:val="1"/>
                <w:color w:val="auto"/>
              </w:rPr>
              <w:t>changes in currency currency translation</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to 2021, excluding</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reported, YTD 2022</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translation rates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rates</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reported, YTD 2021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459,121</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473,666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462,298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306,980</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(5,631)</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312,611</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37.7 %</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766,101</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786,277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689,322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Changes in currency translation rates had the effect of decreasing Net sales by $10.2 million during the third quarter of 2022, as compared to 2021, principally due to a weaker Euro in 2022.</w:t>
      </w:r>
    </w:p>
    <w:p>
      <w:pPr>
        <w:spacing w:after="0" w:line="44"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increased 16.5% compared to the same period in 2021.</w:t>
      </w:r>
    </w:p>
    <w:p>
      <w:pPr>
        <w:spacing w:after="0" w:line="117" w:lineRule="exact"/>
        <w:rPr>
          <w:rFonts w:ascii="Arial" w:cs="Arial" w:eastAsia="Arial" w:hAnsi="Arial"/>
          <w:sz w:val="18"/>
          <w:szCs w:val="18"/>
          <w:color w:val="auto"/>
        </w:rPr>
      </w:pPr>
    </w:p>
    <w:p>
      <w:pPr>
        <w:ind w:left="980" w:hanging="324"/>
        <w:spacing w:after="0" w:line="287" w:lineRule="auto"/>
        <w:tabs>
          <w:tab w:leader="none" w:pos="975"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Net sales in MC increased 3.8% compared to the third quarter of 2021, driven by increased sales of packaging, pulp and engineered fabrics.</w:t>
      </w:r>
    </w:p>
    <w:p>
      <w:pPr>
        <w:spacing w:after="0" w:line="44"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Net sales in AEC increased 41.6%, mainly due to growth on CH-53K and LEAP programs.</w:t>
      </w:r>
    </w:p>
    <w:p>
      <w:pPr>
        <w:spacing w:after="0" w:line="200" w:lineRule="exact"/>
        <w:rPr>
          <w:sz w:val="20"/>
          <w:szCs w:val="20"/>
          <w:color w:val="auto"/>
        </w:rPr>
      </w:pPr>
    </w:p>
    <w:p>
      <w:pPr>
        <w:spacing w:after="0" w:line="241" w:lineRule="exact"/>
        <w:rPr>
          <w:sz w:val="20"/>
          <w:szCs w:val="20"/>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currency translation rates had the effect of decreasing Net sales by $20.2 million during the first nine months of 2022, as compared to 2021, principally due to a weaker Euro in 2022.</w:t>
      </w:r>
    </w:p>
    <w:p>
      <w:pPr>
        <w:spacing w:after="0" w:line="44"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increased 14.1% compared to the same period in 2021.</w:t>
      </w:r>
    </w:p>
    <w:p>
      <w:pPr>
        <w:spacing w:after="0" w:line="117" w:lineRule="exact"/>
        <w:rPr>
          <w:rFonts w:ascii="Arial" w:cs="Arial" w:eastAsia="Arial" w:hAnsi="Arial"/>
          <w:sz w:val="18"/>
          <w:szCs w:val="18"/>
          <w:color w:val="auto"/>
        </w:rPr>
      </w:pPr>
    </w:p>
    <w:p>
      <w:pPr>
        <w:ind w:left="980" w:hanging="324"/>
        <w:spacing w:after="0" w:line="287" w:lineRule="auto"/>
        <w:tabs>
          <w:tab w:leader="none" w:pos="975"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Net sales in MC increased 2.5% compared to the first nine months of 2021, driven by increased sales of packaging, pulp and engineered fabrics.</w:t>
      </w:r>
    </w:p>
    <w:p>
      <w:pPr>
        <w:spacing w:after="0" w:line="44" w:lineRule="exact"/>
        <w:rPr>
          <w:rFonts w:ascii="Arial" w:cs="Arial" w:eastAsia="Arial" w:hAnsi="Arial"/>
          <w:sz w:val="18"/>
          <w:szCs w:val="18"/>
          <w:b w:val="1"/>
          <w:bCs w:val="1"/>
          <w:color w:val="auto"/>
        </w:rPr>
      </w:pPr>
    </w:p>
    <w:p>
      <w:pPr>
        <w:ind w:left="980" w:hanging="324"/>
        <w:spacing w:after="0"/>
        <w:tabs>
          <w:tab w:leader="none" w:pos="98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Net sales in AEC increased 37.7%, primarily due to growth on CH-53K and LEAP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211"/>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79,232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79,437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237,434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240,427</w:t>
            </w:r>
          </w:p>
        </w:tc>
      </w:tr>
      <w:tr>
        <w:trPr>
          <w:trHeight w:val="24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21,261</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12,605</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55,256</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41,889</w:t>
            </w:r>
          </w:p>
        </w:tc>
      </w:tr>
      <w:tr>
        <w:trPr>
          <w:trHeight w:val="210"/>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100,493</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92,042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292,690</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282,316</w:t>
            </w:r>
          </w:p>
        </w:tc>
      </w:tr>
      <w:tr>
        <w:trPr>
          <w:trHeight w:val="236"/>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38.6 %</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39.6 %</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38.2 %</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41.0 %</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increase in third quarter 2022 Gross profit, as compared to the same period in 2021, was due to increased Net sales at AEC. Gross profit as a percentage of sales:</w:t>
      </w:r>
    </w:p>
    <w:p>
      <w:pPr>
        <w:spacing w:after="0" w:line="4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Remained consistent year over year in MC, increasing from 51.5% in 2021 to 51.7% in 2022.</w:t>
      </w:r>
    </w:p>
    <w:p>
      <w:pPr>
        <w:spacing w:after="0" w:line="117" w:lineRule="exact"/>
        <w:rPr>
          <w:rFonts w:ascii="Arial" w:cs="Arial" w:eastAsia="Arial" w:hAnsi="Arial"/>
          <w:sz w:val="18"/>
          <w:szCs w:val="18"/>
          <w:b w:val="1"/>
          <w:bCs w:val="1"/>
          <w:color w:val="auto"/>
        </w:rPr>
      </w:pPr>
    </w:p>
    <w:p>
      <w:pPr>
        <w:jc w:val="both"/>
        <w:ind w:left="980" w:hanging="324"/>
        <w:spacing w:after="0" w:line="268" w:lineRule="auto"/>
        <w:tabs>
          <w:tab w:leader="none" w:pos="97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Increased from 16.1% in 2021 to 19.8% in 2022 in AEC, principally due to a favorable mix of program revenue and improved productivity, driven by CH-53K and LEAP programs. Changes in the estimated profitability of long-term contracts increased Gross profit by $2.6 million for the third quarter of 2022, compared to an increase of $2.1 million for the third quarter of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17"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increase in Gross profit during the first nine months of 2022, as compared to the same period in 2021, was due to increased Net sales at AEC. Gross profit as a percentage of sales:</w:t>
      </w:r>
    </w:p>
    <w:p>
      <w:pPr>
        <w:spacing w:after="0" w:line="45" w:lineRule="exact"/>
        <w:rPr>
          <w:sz w:val="20"/>
          <w:szCs w:val="20"/>
          <w:color w:val="auto"/>
        </w:rPr>
      </w:pPr>
    </w:p>
    <w:p>
      <w:pPr>
        <w:ind w:left="980" w:hanging="324"/>
        <w:spacing w:after="0" w:line="287" w:lineRule="auto"/>
        <w:tabs>
          <w:tab w:leader="none" w:pos="97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Remained consistent year over year in MC, decreasing from 52.0% in 2021 to 51.7% in 2022 in MC, due to an increase in input costs.</w:t>
      </w:r>
    </w:p>
    <w:p>
      <w:pPr>
        <w:spacing w:after="0" w:line="44" w:lineRule="exact"/>
        <w:rPr>
          <w:rFonts w:ascii="Arial" w:cs="Arial" w:eastAsia="Arial" w:hAnsi="Arial"/>
          <w:sz w:val="18"/>
          <w:szCs w:val="18"/>
          <w:b w:val="1"/>
          <w:bCs w:val="1"/>
          <w:color w:val="auto"/>
        </w:rPr>
      </w:pPr>
    </w:p>
    <w:p>
      <w:pPr>
        <w:jc w:val="both"/>
        <w:ind w:left="980" w:hanging="324"/>
        <w:spacing w:after="0" w:line="262" w:lineRule="auto"/>
        <w:tabs>
          <w:tab w:leader="none" w:pos="97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Decreased from 18.5% in 2021 to 18.0% in 2022 in AEC, primarily driven by reserves recorded on inventory that was damaged at an off-site storage facility in the first quarter, reducing gross profit as a percent of sales. Changes in the estimated profitability of long-term contracts were also less favorable, increasing Gross profit by $2.0 million in the first nine months of 2022, as compared to an increase of $2.4 million for the same period last year.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210"/>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21,941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23,717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75,427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78,501</w:t>
            </w:r>
          </w:p>
        </w:tc>
      </w:tr>
      <w:tr>
        <w:trPr>
          <w:trHeight w:val="243"/>
        </w:trPr>
        <w:tc>
          <w:tcPr>
            <w:tcW w:w="42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20" w:type="dxa"/>
            <w:vAlign w:val="bottom"/>
          </w:tcPr>
          <w:p>
            <w:pPr>
              <w:spacing w:after="0"/>
              <w:rPr>
                <w:sz w:val="21"/>
                <w:szCs w:val="21"/>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11,302</w:t>
            </w:r>
          </w:p>
        </w:tc>
        <w:tc>
          <w:tcPr>
            <w:tcW w:w="300" w:type="dxa"/>
            <w:vAlign w:val="bottom"/>
          </w:tcPr>
          <w:p>
            <w:pPr>
              <w:spacing w:after="0"/>
              <w:rPr>
                <w:sz w:val="21"/>
                <w:szCs w:val="21"/>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9,769</w:t>
            </w:r>
          </w:p>
        </w:tc>
        <w:tc>
          <w:tcPr>
            <w:tcW w:w="140" w:type="dxa"/>
            <w:vAlign w:val="bottom"/>
          </w:tcPr>
          <w:p>
            <w:pPr>
              <w:spacing w:after="0"/>
              <w:rPr>
                <w:sz w:val="21"/>
                <w:szCs w:val="21"/>
                <w:color w:val="auto"/>
              </w:rPr>
            </w:pPr>
          </w:p>
        </w:tc>
        <w:tc>
          <w:tcPr>
            <w:tcW w:w="1220" w:type="dxa"/>
            <w:vAlign w:val="bottom"/>
          </w:tcPr>
          <w:p>
            <w:pPr>
              <w:jc w:val="right"/>
              <w:ind w:right="142"/>
              <w:spacing w:after="0"/>
              <w:rPr>
                <w:sz w:val="20"/>
                <w:szCs w:val="20"/>
                <w:color w:val="auto"/>
              </w:rPr>
            </w:pPr>
            <w:r>
              <w:rPr>
                <w:rFonts w:ascii="Arial" w:cs="Arial" w:eastAsia="Arial" w:hAnsi="Arial"/>
                <w:sz w:val="16"/>
                <w:szCs w:val="16"/>
                <w:b w:val="1"/>
                <w:bCs w:val="1"/>
                <w:color w:val="auto"/>
              </w:rPr>
              <w:t>34,568</w:t>
            </w:r>
          </w:p>
        </w:tc>
        <w:tc>
          <w:tcPr>
            <w:tcW w:w="300" w:type="dxa"/>
            <w:vAlign w:val="bottom"/>
          </w:tcPr>
          <w:p>
            <w:pPr>
              <w:spacing w:after="0"/>
              <w:rPr>
                <w:sz w:val="21"/>
                <w:szCs w:val="21"/>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28,909</w:t>
            </w: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13,564</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13,883</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39,314</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38,405</w:t>
            </w:r>
          </w:p>
        </w:tc>
      </w:tr>
      <w:tr>
        <w:trPr>
          <w:trHeight w:val="237"/>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46,807</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47,369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149,309</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145,815</w:t>
            </w:r>
          </w:p>
        </w:tc>
      </w:tr>
      <w:tr>
        <w:trPr>
          <w:trHeight w:val="210"/>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18.0 %</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19.5 %</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overall decrease in STG&amp;R expenses in the third quarter of 2022, compared to the same period in 2021, was due to the net effect of the following:</w:t>
      </w:r>
    </w:p>
    <w:p>
      <w:pPr>
        <w:spacing w:after="0" w:line="45"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MC, changes in currency translation rates had the effect of decreasing STG&amp;R by $1.5 million during 2022, driven by the weaker Euro.</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AEC, selling and general expenses increased $0.7 million due to investment in business development activities, and research expense increased $0.8 million over the prior year.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overall increase in STG&amp;R expenses in the first nine months of 2022, compared to the same period in 2021, was due to the net effect of the following:</w:t>
      </w:r>
    </w:p>
    <w:p>
      <w:pPr>
        <w:spacing w:after="0" w:line="45" w:lineRule="exact"/>
        <w:rPr>
          <w:sz w:val="20"/>
          <w:szCs w:val="20"/>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MC, changes in currency translation rates had the effect of decreasing STG&amp;R by $3.1 million during 2022, driven by the weaker Euro. This favorability was partially offset by customer credit loss reserve increases related to our dissolution of business relationships in Russia.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AEC, selling and general expenses increased $3.0 million, and research expense increased $2.7 million over the prior year.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 net</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expenses, as summarized in the following table:</w:t>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4800" w:type="dxa"/>
            <w:vAlign w:val="bottom"/>
            <w:tcBorders>
              <w:top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11"/>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193</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w:t>
            </w:r>
          </w:p>
        </w:tc>
      </w:tr>
      <w:tr>
        <w:trPr>
          <w:trHeight w:val="20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230</w:t>
            </w:r>
          </w:p>
        </w:tc>
      </w:tr>
    </w:tbl>
    <w:p>
      <w:pPr>
        <w:spacing w:after="0" w:line="200" w:lineRule="exact"/>
        <w:rPr>
          <w:sz w:val="20"/>
          <w:szCs w:val="20"/>
          <w:color w:val="auto"/>
        </w:rPr>
      </w:pPr>
    </w:p>
    <w:p>
      <w:pPr>
        <w:spacing w:after="0" w:line="24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Restructuring expense, net was insignificant in both the current and prior year, and was related primarily to the winding down of restructuring actions taken in prior periods.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top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0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57,247</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55,467</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161,752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161,731</w:t>
            </w:r>
          </w:p>
        </w:tc>
      </w:tr>
      <w:tr>
        <w:trPr>
          <w:trHeight w:val="216"/>
        </w:trPr>
        <w:tc>
          <w:tcPr>
            <w:tcW w:w="61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9,958</w:t>
            </w: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2,917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20,688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13,019</w:t>
            </w:r>
          </w:p>
        </w:tc>
      </w:tr>
      <w:tr>
        <w:trPr>
          <w:trHeight w:val="216"/>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(13,561)</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(13,898)</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(39,327)</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(38,479)</w:t>
            </w:r>
          </w:p>
        </w:tc>
      </w:tr>
      <w:tr>
        <w:trPr>
          <w:trHeight w:val="21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53,644</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44,486</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143,113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136,271</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Borders>
              <w:top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3,794</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11,336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11,521</w:t>
            </w: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Pension settlement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49,128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49,128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AMJP grant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Other (income)/expense,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(6,918)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(17,891)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4,215</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expense/(benefit)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22,273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36,375</w:t>
            </w:r>
          </w:p>
        </w:tc>
      </w:tr>
      <w:tr>
        <w:trPr>
          <w:trHeight w:val="216"/>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Interest expense, net, was largely in line with the prior year. See the Working Capital, Liquidity and Capital Structure section for further discussion of borrowings and interest rates.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settlement expense</w:t>
      </w:r>
    </w:p>
    <w:p>
      <w:pPr>
        <w:spacing w:after="0" w:line="117"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color w:val="auto"/>
        </w:rPr>
        <w:t>In the third quarter, the Company took actions to settle certain pension plan liabilities in the U.S., leading to charges totaling $49.1 million. No similar charges were incurred in the prior year.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AMJP grant</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During the third quarter of 2021, the Company was awarded an Aviation Manufacturing Jobs Protection Program ("AMJP") grant of $5.8 million, under the American Rescue Plan of the U.S. Department of Transportation. No such award was granted during 2022.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1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Other (income)/expense, net, was primarily driven by foreign currency gains of $6.6 million and $17.7 million in the three and nine month periods ended September 30, 2022, respectively, as compared to losses of $0.5 million and $0.8 million in the three and nine month periods ended September 30, 2021, respectively. The weaker Euro during the three and nine month periods ended September 30, 2022 led to the gains on foreign currency during such periods.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expense/(benefit)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tax rate is affected by recurring items, such as the income tax rate in the U.S. and non-U.S. jurisdictions and the mix of income earned in those jurisdictions. The tax rate is also affected by U.S. tax costs on foreign earnings, and by discrete items that may occur in any given year but are not consistent from year to year. The Company’s effective tax rates for the third quarter of 2022 was (41.6%), lower compared to 29.4% for the same period in 2021, mainly due to favorable discrete tax adjustments in the current period. For the first nine months of 2022, the Company’s effective tax rate was 22.2%, lower compared to 28.8% for the same period in 2021, mainly due to favorable discrete tax adjustments in the current year.</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income tax, see Note 5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Machine Clothing is our primary business segment and accounted for 60% of our consolidated revenues during the first nine months of 2022. MC products are purchased primarily by manufacturers of paper and paperboard.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7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153,389</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154,171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459,121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462,298</w:t>
            </w:r>
          </w:p>
        </w:tc>
      </w:tr>
      <w:tr>
        <w:trPr>
          <w:trHeight w:val="243"/>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1"/>
                <w:szCs w:val="21"/>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b w:val="1"/>
                <w:bCs w:val="1"/>
                <w:color w:val="auto"/>
              </w:rPr>
              <w:t>79,232</w:t>
            </w:r>
          </w:p>
        </w:tc>
        <w:tc>
          <w:tcPr>
            <w:tcW w:w="32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79,437</w:t>
            </w:r>
          </w:p>
        </w:tc>
        <w:tc>
          <w:tcPr>
            <w:tcW w:w="160" w:type="dxa"/>
            <w:vAlign w:val="bottom"/>
          </w:tcPr>
          <w:p>
            <w:pPr>
              <w:spacing w:after="0"/>
              <w:rPr>
                <w:sz w:val="21"/>
                <w:szCs w:val="21"/>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b w:val="1"/>
                <w:bCs w:val="1"/>
                <w:color w:val="auto"/>
              </w:rPr>
              <w:t>237,434</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240,427</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51.7 %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51.7 %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52.0 %</w:t>
            </w:r>
          </w:p>
        </w:tc>
      </w:tr>
      <w:tr>
        <w:trPr>
          <w:trHeight w:val="243"/>
        </w:trPr>
        <w:tc>
          <w:tcPr>
            <w:tcW w:w="390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40" w:type="dxa"/>
            <w:vAlign w:val="bottom"/>
          </w:tcPr>
          <w:p>
            <w:pPr>
              <w:spacing w:after="0"/>
              <w:rPr>
                <w:sz w:val="21"/>
                <w:szCs w:val="21"/>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b w:val="1"/>
                <w:bCs w:val="1"/>
                <w:color w:val="auto"/>
              </w:rPr>
              <w:t>21,941</w:t>
            </w:r>
          </w:p>
        </w:tc>
        <w:tc>
          <w:tcPr>
            <w:tcW w:w="32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23,717</w:t>
            </w:r>
          </w:p>
        </w:tc>
        <w:tc>
          <w:tcPr>
            <w:tcW w:w="160" w:type="dxa"/>
            <w:vAlign w:val="bottom"/>
          </w:tcPr>
          <w:p>
            <w:pPr>
              <w:spacing w:after="0"/>
              <w:rPr>
                <w:sz w:val="21"/>
                <w:szCs w:val="21"/>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b w:val="1"/>
                <w:bCs w:val="1"/>
                <w:color w:val="auto"/>
              </w:rPr>
              <w:t>75,427</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78,501</w:t>
            </w: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57,247</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55,467</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161,752</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161,731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Net sales decreased by 0.5%.</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currency translation rates, driven by a weaker Euro, had the effect of decreasing third-quarter 2022 sales by $6.6 million.</w:t>
      </w:r>
    </w:p>
    <w:p>
      <w:pPr>
        <w:spacing w:after="0" w:line="117" w:lineRule="exact"/>
        <w:rPr>
          <w:rFonts w:ascii="Arial" w:cs="Arial" w:eastAsia="Arial" w:hAnsi="Arial"/>
          <w:sz w:val="18"/>
          <w:szCs w:val="18"/>
          <w:b w:val="1"/>
          <w:bCs w:val="1"/>
          <w:color w:val="auto"/>
        </w:rPr>
      </w:pPr>
    </w:p>
    <w:p>
      <w:pPr>
        <w:ind w:left="660" w:right="100" w:hanging="328"/>
        <w:spacing w:after="0" w:line="287"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Excluding the effect of changes in currency translation rates, Net sales in MC increased 3.8% compared to the third quarter of 2021, driven by increased sales of packaging, pulp and engineered fabrics.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sales decreased by 0.7%.</w:t>
      </w:r>
    </w:p>
    <w:p>
      <w:pPr>
        <w:spacing w:after="0" w:line="117"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Changes in currency translation rates, driven by a weaker Euro, had the effect of decreasing 2022 sales by $14.5 million compared to the same period in 2021.</w:t>
      </w:r>
    </w:p>
    <w:p>
      <w:pPr>
        <w:spacing w:after="0" w:line="44" w:lineRule="exact"/>
        <w:rPr>
          <w:rFonts w:ascii="Arial" w:cs="Arial" w:eastAsia="Arial" w:hAnsi="Arial"/>
          <w:sz w:val="18"/>
          <w:szCs w:val="18"/>
          <w:b w:val="1"/>
          <w:bCs w:val="1"/>
          <w:color w:val="auto"/>
        </w:rPr>
      </w:pPr>
    </w:p>
    <w:p>
      <w:pPr>
        <w:ind w:left="660" w:right="60" w:hanging="328"/>
        <w:spacing w:after="0" w:line="287" w:lineRule="auto"/>
        <w:tabs>
          <w:tab w:leader="none" w:pos="65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Excluding the effect of changes in currency translation rates, Net sales in MC increased 2.5% compared to 2021, driven by growth in sales of packaging, pulp and engineered fabrics.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For the three and nine month periods ended September 30, 2022, the decrease in MC Gross profit was primarily driven by changes in currency translation rates, principally the weaker Euro, as well as increases in input costs.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was driven by lower STG&amp;R expenses over the prior year.</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Albany Engineered Composites segment, including Albany Safran Composites, LLC,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Boeing 737 MAX, and COMAC 919 aircraft. Other significant AEC programs include CH-53K, F-35, JASSM, and Boeing 787 programs.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r>
      <w:tr>
        <w:trPr>
          <w:trHeight w:val="211"/>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107,174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78,271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306,980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227,024</w:t>
            </w:r>
          </w:p>
        </w:tc>
      </w:tr>
      <w:tr>
        <w:trPr>
          <w:trHeight w:val="243"/>
        </w:trPr>
        <w:tc>
          <w:tcPr>
            <w:tcW w:w="44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21"/>
                <w:szCs w:val="21"/>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b w:val="1"/>
                <w:bCs w:val="1"/>
                <w:color w:val="auto"/>
              </w:rPr>
              <w:t>21,261</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12,605</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55,256</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41,889</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r>
      <w:tr>
        <w:trPr>
          <w:trHeight w:val="243"/>
        </w:trPr>
        <w:tc>
          <w:tcPr>
            <w:tcW w:w="446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40" w:type="dxa"/>
            <w:vAlign w:val="bottom"/>
          </w:tcPr>
          <w:p>
            <w:pPr>
              <w:spacing w:after="0"/>
              <w:rPr>
                <w:sz w:val="21"/>
                <w:szCs w:val="21"/>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b w:val="1"/>
                <w:bCs w:val="1"/>
                <w:color w:val="auto"/>
              </w:rPr>
              <w:t>11,302</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9,769</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34,568</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28,909</w:t>
            </w:r>
          </w:p>
        </w:tc>
      </w:tr>
      <w:tr>
        <w:trPr>
          <w:trHeight w:val="216"/>
        </w:trPr>
        <w:tc>
          <w:tcPr>
            <w:tcW w:w="4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9,958</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2,917</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20,688</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13,019</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For the three and nine month periods ended September 30, 2022, the increase in Net sales was mainly due to growth on CH-53K and LEAP programs.</w:t>
      </w:r>
    </w:p>
    <w:p>
      <w:pPr>
        <w:spacing w:after="0" w:line="45"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40 percent of segment revenue for each of the first nine months of 2022 and 2021. LEAP engines are currently used on the Airbus A320neo, Boeing 737 MAX, and COMAC 919 aircraft.</w:t>
      </w:r>
    </w:p>
    <w:p>
      <w:pPr>
        <w:spacing w:after="0" w:line="6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For the three and nine month periods ended September 30, 2022, the increase in Gross profit was primarily due to a favorable mix of program revenue and improved productivity, driven by CH-53K and LEAP programs. Gross profit during the nine month period ended September 30, 2022, was reduced by a $2 million reserve recorded on inventory that was damaged at an off-site storage facility. Changes in the estimated profitability of long-term contract had an insignificant effect on Gross profit year over year.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was driven by higher gross profit, partially offset by higher research and selling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Liquidity and Capital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211"/>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78,267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89,992</w:t>
            </w:r>
          </w:p>
        </w:tc>
      </w:tr>
      <w:tr>
        <w:trPr>
          <w:trHeight w:val="216"/>
        </w:trPr>
        <w:tc>
          <w:tcPr>
            <w:tcW w:w="86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51,908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55,347</w:t>
            </w:r>
          </w:p>
        </w:tc>
      </w:tr>
      <w:tr>
        <w:trPr>
          <w:trHeight w:val="216"/>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(89,899)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(9,959)</w:t>
            </w:r>
          </w:p>
        </w:tc>
      </w:tr>
      <w:tr>
        <w:trPr>
          <w:trHeight w:val="216"/>
        </w:trPr>
        <w:tc>
          <w:tcPr>
            <w:tcW w:w="862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(21,542)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1,440</w:t>
            </w:r>
          </w:p>
        </w:tc>
      </w:tr>
      <w:tr>
        <w:trPr>
          <w:trHeight w:val="216"/>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48,573</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11,679</w:t>
            </w:r>
          </w:p>
        </w:tc>
      </w:tr>
      <w:tr>
        <w:trPr>
          <w:trHeight w:val="237"/>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67,307</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148,499</w:t>
            </w:r>
          </w:p>
        </w:tc>
      </w:tr>
      <w:tr>
        <w:trPr>
          <w:trHeight w:val="21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(52,832)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(32,148)</w:t>
            </w:r>
          </w:p>
        </w:tc>
      </w:tr>
      <w:tr>
        <w:trPr>
          <w:trHeight w:val="243"/>
        </w:trPr>
        <w:tc>
          <w:tcPr>
            <w:tcW w:w="86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(9,119)</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(69,339)</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(30,910)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w:t>
            </w:r>
          </w:p>
        </w:tc>
      </w:tr>
      <w:tr>
        <w:trPr>
          <w:trHeight w:val="236"/>
        </w:trPr>
        <w:tc>
          <w:tcPr>
            <w:tcW w:w="8620" w:type="dxa"/>
            <w:vAlign w:val="bottom"/>
          </w:tcPr>
          <w:p>
            <w:pPr>
              <w:ind w:left="20"/>
              <w:spacing w:after="0"/>
              <w:rPr>
                <w:sz w:val="20"/>
                <w:szCs w:val="20"/>
                <w:color w:val="auto"/>
              </w:rPr>
            </w:pPr>
            <w:r>
              <w:rPr>
                <w:rFonts w:ascii="Arial" w:cs="Arial" w:eastAsia="Arial" w:hAnsi="Arial"/>
                <w:sz w:val="16"/>
                <w:szCs w:val="16"/>
                <w:color w:val="auto"/>
              </w:rPr>
              <w:t>(Decrease)/increase in cash and cash equivalents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(25,554)</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44,901</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302,036</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241,316</w:t>
            </w:r>
          </w:p>
        </w:tc>
      </w:tr>
      <w:tr>
        <w:trPr>
          <w:trHeight w:val="23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276,482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286,217</w:t>
            </w:r>
          </w:p>
        </w:tc>
      </w:tr>
    </w:tbl>
    <w:p>
      <w:pPr>
        <w:spacing w:after="0" w:line="8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Cash provided in operating activities was $67.3 million in the first nine months of 2022, compared to $148.5 million in the same period last year. AEC experienced particularly strong working capital cash flows in Accounts receivable and Contract assets during 2021, driven by significant deliveries of LEAP components throughout the year. In addition, during 2022, the Company made necessary investments in working capital as it prepared to execute on its recently expanded CH-53K scope of work. Customer payment is expected to be collected in a later period. In the third quarter of 2022, we made contributions of approximately $12.6 million to the U.S. pension plan, in line with the Company's plan to reduce pension obligations over time. In addition, the timing of customer and vendor invoice payments, as well as higher incentive compensation payouts during the first nine months in 2022 compared to the same period in 2021, contributed to reduced net cash provided by operating activities.</w:t>
      </w:r>
    </w:p>
    <w:p>
      <w:pPr>
        <w:spacing w:after="0" w:line="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strategically deploy our cash with a focus on investing in our business and new technologies to provide our customers with enhanced capabilities, to increase shareholder value, and to position ourselves to take advantage of new business opportunities as they arise. Based on such strategy, we have continued to invest in our business and technologies through capital expenditures, research and development, and when appropriate, selective business acquisitions. Our capital expenditures totaled $52.8 million and $32.1 million for the first nine months ended September 30, 2022 and 2021, respectively, comprised of both sustaining and return seeking projects. In the recent past, a portion of our capital expenditures consist of investments which improve operational productivity, in addition to producing a meaningful impact on energy and resource efficiency.</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Net cash used in financing activities during 2022 was $9.1 million compared to net cash used in financing activities of $69.3 million in 2021, driven by increased borrowings during the current year that were partially used to fund repurchases of shares.</w:t>
      </w:r>
    </w:p>
    <w:p>
      <w:pPr>
        <w:spacing w:after="0" w:line="4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$447 million of borrowings were outstanding as of September 30, 2022. The applicable interest rate for borrowings was LIBOR plus a spread, based on our leverage ratio at the time of borrowing. At the time of the last borrowing on September 26, 2022, the spread was 1.625%. The spread was based on a pricing grid, which ranged from 1.500% to 2.000%, based on our leverage ratio. Based on our maximum leverage ratio and our Consolidated Adjusted EBITDA (as defined in the Credit Agreement), and without modification to any other credit agreements, as of September 30, 2022, we would have been able to borrow an additional $253 million under the Agreement. We were in compliance with all debt covenants as of September 30, 2022.</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Note 13 to the Consolidated Financial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believe cash flows from operations and availability under our Credit Agreement will be adequate to cover our operations and business needs over the next twelve months. As of September 30, 2022, we had cash and cash equivalents of approximately $276 million and availability under our Credit Agreement of $253 million, for a total liquidity of approximately $529 million.</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2022, $245.6 million of our total cash and cash equivalents was held by non-U.S. subsidiaries. The accumulated undistributed earnings of the Company’s foreign operations not targeted for repatriation to the U.S. were approximately $190.2 million at September 30, 2022,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may also result in additional withholding taxes.</w:t>
      </w:r>
    </w:p>
    <w:p>
      <w:pPr>
        <w:spacing w:after="0" w:line="7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also returned cash to shareholders through dividends and share repurchases. During the first nine months of 2022, we paid $20 million in dividends and repurchased 1 million shares of our Class A Common shares at a cost of $85 million under the $200 million share repurchase program that our Board approved in October 2021.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September 30, 2022, we have no off-balance sheet arrangements required to be disclosed pursuant to Item 303(a)(4) of Regulation S-K.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March 9, 2022, the SEC issued a proposed rule to enhance and standardize disclosures regarding cybersecurity risk management, strategy, governance, and incident reporting by public companies. The proposed rules are intended to provide more consistent, comparable and decision-useful information so that investors can better evaluate the Company’s exposure to cybersecurity risks, incidents, and strategies to mitigate risks and incidents. We will continue to monitor developments around this proposed rule.</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21, 2022, the SEC issued a proposed rule that would enhance and standardize the climate-related disclosures provided by public companies. Under the proposed rule, we would be required to provide quantitative and qualitative disclosures in registration statements and annual reports that include climate-related financial impact and expenditure metrics as well as a discussion of climate-related impacts on financial estimates and assumptions, all of which would be presented in a footnote to the financial statements. Such disclosures would also be subject to management's internal control over financial reporting ("ICFR") and external audit.</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Company, we have long been committed to sustainable practices and corporate social responsibility and have more recently taken steps to articulate our values and goals, some of which are summarized in our published sustainability report that is included at our website www.albint.com. In 2020, we began establishing more formalized and scalable approaches to our sustainability practices, reporting and systems, in order to ensure we prioritize efforts that are impactful to our business and stakeholders. We have begun to incorporate certain climate-related disclosures and risk factors in our existing disclosures to this point. We will continue to monitor developments around this proposed rule, which once finalized, is expected to allow for a multi-year phased transition to achieving compliance.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1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This Form 10-Q contains certain non-GAAP measures, that should not be considered in isolation or as a substitute for the related GAAP measures. Such non-GAAP measures include net sales and percent change in net sales, excluding the impact of currency translation effects</w:t>
      </w:r>
    </w:p>
    <w:p>
      <w:pPr>
        <w:spacing w:after="0" w:line="2" w:lineRule="exact"/>
        <w:rPr>
          <w:sz w:val="20"/>
          <w:szCs w:val="20"/>
          <w:color w:val="auto"/>
        </w:rPr>
      </w:pPr>
    </w:p>
    <w:p>
      <w:pPr>
        <w:jc w:val="both"/>
        <w:ind w:right="20" w:firstLine="8"/>
        <w:spacing w:after="0" w:line="258" w:lineRule="auto"/>
        <w:tabs>
          <w:tab w:leader="none" w:pos="1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EBITDA, Adjusted EBITDA, and Adjusted EBITDA margin; Net debt; Net leverage ratio; and Adjusted earnings per share (or Adjusted EPS). Management believes that these non-GAAP measures provide additional useful information to investors regarding the Company’s operational performance.</w:t>
      </w:r>
    </w:p>
    <w:p>
      <w:pPr>
        <w:spacing w:after="0" w:line="7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Presenting Net sales and change in Net sales, after currency effects are excluded, provides management and investors insight into underlying sales trends. 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w:t>
      </w:r>
    </w:p>
    <w:p>
      <w:pPr>
        <w:spacing w:after="0" w:line="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EBITDA (calculated as net income excluding interest, income taxes, depreciation and amortization), Adjusted EBITDA, and Adjusted EPS are performance measures that relate to the Company’s continuing operations.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Company defines Adjusted EBITDA as EBITDA excluding costs or benefits that are not reflective of the Company’s ongoing or expected future operational performance. Such excluded costs or benefits do not consist of normal, recurring cash items necessary to generate revenues or operate our business. Adjusted EBITDA margin represents Adjusted EBITDA expressed as a percentage of net sales.</w:t>
      </w:r>
    </w:p>
    <w:p>
      <w:pPr>
        <w:spacing w:after="0" w:line="6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defines Adjusted EPS as basic earnings per share (GAAP), adjusted by the after tax per share amount of costs or benefits not reflective of the Company’s ongoing or expected future operational performance. The income tax effects are calculated using the applicable statutory income tax rate of the jurisdictions where such costs or benefits were incurred or the effective tax rate applicable to total company results.</w:t>
      </w:r>
    </w:p>
    <w:p>
      <w:pPr>
        <w:spacing w:after="0" w:line="6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Company’s Adjusted EBITDA, Adjusted EBITDA margin, and Adjusted EPS may not be comparable to similarly titled measures of other companies.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debt aids investors in understanding the Company’s debt position if all available cash were applied to pay down indebtedness.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Net leverage ratio informs the investors of the Company's financial leverage at the end of the reporting period, providing an indicator of the Company's ability to repay its debt.</w:t>
      </w:r>
    </w:p>
    <w:p>
      <w:pPr>
        <w:spacing w:after="0" w:line="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encourage investors to review our financial statements and publicly-filed reports in their entirety and not to rely on any single financial measure.</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September 30,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ind w:right="140"/>
              <w:spacing w:after="0" w:line="144"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right"/>
              <w:ind w:right="420"/>
              <w:spacing w:after="0" w:line="144"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57,247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9,958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(56,382)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10,823</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3,794</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3,794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expense/(benefit)</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11,303</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62,160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21,261</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(54,953)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28,468</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(9,442)</w:t>
            </w:r>
          </w:p>
        </w:tc>
        <w:tc>
          <w:tcPr>
            <w:tcW w:w="0" w:type="dxa"/>
            <w:vAlign w:val="bottom"/>
          </w:tcPr>
          <w:p>
            <w:pPr>
              <w:spacing w:after="0"/>
              <w:rPr>
                <w:sz w:val="1"/>
                <w:szCs w:val="1"/>
                <w:color w:val="auto"/>
              </w:rPr>
            </w:pPr>
          </w:p>
        </w:tc>
      </w:tr>
      <w:tr>
        <w:trPr>
          <w:trHeight w:val="242"/>
        </w:trPr>
        <w:tc>
          <w:tcPr>
            <w:tcW w:w="350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255</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Pre-tax (income) attributable to noncontrolling</w:t>
            </w:r>
          </w:p>
        </w:tc>
        <w:tc>
          <w:tcPr>
            <w:tcW w:w="3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20" w:type="dxa"/>
            <w:vAlign w:val="bottom"/>
            <w:shd w:val="clear" w:color="auto" w:fill="CCEEFF"/>
          </w:tcPr>
          <w:p>
            <w:pPr>
              <w:spacing w:after="0"/>
              <w:rPr>
                <w:sz w:val="14"/>
                <w:szCs w:val="14"/>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21,462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(12,458)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September 30,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(27,442)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30,942</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3,734</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3,734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5,014</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12,265</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60,481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15,182</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(9,884)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65,779</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AMJP grant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963</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(5,832)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(4,869)</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Arial" w:cs="Arial" w:eastAsia="Arial" w:hAnsi="Arial"/>
                <w:sz w:val="16"/>
                <w:szCs w:val="16"/>
                <w:color w:val="auto"/>
              </w:rPr>
              <w:t>Pre-tax (income) attributable to noncontrolling</w:t>
            </w:r>
          </w:p>
        </w:tc>
        <w:tc>
          <w:tcPr>
            <w:tcW w:w="3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32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59,161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16,297</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(15,227)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60,231</w:t>
            </w:r>
          </w:p>
        </w:tc>
        <w:tc>
          <w:tcPr>
            <w:tcW w:w="0" w:type="dxa"/>
            <w:vAlign w:val="bottom"/>
          </w:tcPr>
          <w:p>
            <w:pPr>
              <w:spacing w:after="0"/>
              <w:rPr>
                <w:sz w:val="1"/>
                <w:szCs w:val="1"/>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5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Pr>
          <w:p>
            <w:pPr>
              <w:spacing w:after="0"/>
              <w:rPr>
                <w:sz w:val="12"/>
                <w:szCs w:val="12"/>
                <w:color w:val="auto"/>
              </w:rPr>
            </w:pPr>
          </w:p>
        </w:tc>
        <w:tc>
          <w:tcPr>
            <w:tcW w:w="15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Pr>
          <w:p>
            <w:pPr>
              <w:spacing w:after="0"/>
              <w:rPr>
                <w:sz w:val="12"/>
                <w:szCs w:val="12"/>
                <w:color w:val="auto"/>
              </w:rPr>
            </w:pPr>
          </w:p>
        </w:tc>
        <w:tc>
          <w:tcPr>
            <w:tcW w:w="208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Pr>
          <w:p>
            <w:pPr>
              <w:spacing w:after="0"/>
              <w:rPr>
                <w:sz w:val="12"/>
                <w:szCs w:val="12"/>
                <w:color w:val="auto"/>
              </w:rPr>
            </w:pPr>
          </w:p>
        </w:tc>
        <w:tc>
          <w:tcPr>
            <w:tcW w:w="15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161,752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20,688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(104,173)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78,267</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11,336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11,336</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14,716</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34,792</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51,908</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176,468</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55,480</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(68,164)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163,784</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255</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(20,579)</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1,573</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781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806</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Pre-tax (income) attributable to noncontrolling</w:t>
            </w:r>
          </w:p>
        </w:tc>
        <w:tc>
          <w:tcPr>
            <w:tcW w:w="3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320" w:type="dxa"/>
            <w:vAlign w:val="bottom"/>
            <w:shd w:val="clear" w:color="auto" w:fill="CCEEFF"/>
          </w:tcPr>
          <w:p>
            <w:pPr>
              <w:spacing w:after="0"/>
              <w:rPr>
                <w:sz w:val="14"/>
                <w:szCs w:val="14"/>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174,606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56,408</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(35,886)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195,128</w:t>
            </w:r>
          </w:p>
        </w:tc>
        <w:tc>
          <w:tcPr>
            <w:tcW w:w="0" w:type="dxa"/>
            <w:vAlign w:val="bottom"/>
          </w:tcPr>
          <w:p>
            <w:pPr>
              <w:spacing w:after="0"/>
              <w:rPr>
                <w:sz w:val="1"/>
                <w:szCs w:val="1"/>
                <w:color w:val="auto"/>
              </w:rPr>
            </w:pPr>
          </w:p>
        </w:tc>
      </w:tr>
      <w:tr>
        <w:trPr>
          <w:trHeight w:val="102"/>
        </w:trPr>
        <w:tc>
          <w:tcPr>
            <w:tcW w:w="3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15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Pr>
          <w:p>
            <w:pPr>
              <w:spacing w:after="0"/>
              <w:rPr>
                <w:sz w:val="13"/>
                <w:szCs w:val="13"/>
                <w:color w:val="auto"/>
              </w:rPr>
            </w:pPr>
          </w:p>
        </w:tc>
        <w:tc>
          <w:tcPr>
            <w:tcW w:w="156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Pr>
          <w:p>
            <w:pPr>
              <w:spacing w:after="0"/>
              <w:rPr>
                <w:sz w:val="13"/>
                <w:szCs w:val="13"/>
                <w:color w:val="auto"/>
              </w:rPr>
            </w:pPr>
          </w:p>
        </w:tc>
        <w:tc>
          <w:tcPr>
            <w:tcW w:w="2080" w:type="dxa"/>
            <w:vAlign w:val="bottom"/>
          </w:tcPr>
          <w:p>
            <w:pPr>
              <w:jc w:val="center"/>
              <w:ind w:right="220"/>
              <w:spacing w:after="0" w:line="153"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Pr>
          <w:p>
            <w:pPr>
              <w:spacing w:after="0"/>
              <w:rPr>
                <w:sz w:val="13"/>
                <w:szCs w:val="13"/>
                <w:color w:val="auto"/>
              </w:rPr>
            </w:pPr>
          </w:p>
        </w:tc>
        <w:tc>
          <w:tcPr>
            <w:tcW w:w="15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161,731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13,019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(84,758)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89,992</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11,521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36,375</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36,375</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15,272</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37,326</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55,347</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177,003</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50,345</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(34,113)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193,235</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AMJP grant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963</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(5,832)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(4,869)</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line="162" w:lineRule="exact"/>
              <w:rPr>
                <w:sz w:val="20"/>
                <w:szCs w:val="20"/>
                <w:color w:val="auto"/>
              </w:rPr>
            </w:pPr>
            <w:r>
              <w:rPr>
                <w:rFonts w:ascii="Arial" w:cs="Arial" w:eastAsia="Arial" w:hAnsi="Arial"/>
                <w:sz w:val="16"/>
                <w:szCs w:val="16"/>
                <w:color w:val="auto"/>
              </w:rPr>
              <w:t>Pre-tax (income) attributable to noncontrolling</w:t>
            </w:r>
          </w:p>
        </w:tc>
        <w:tc>
          <w:tcPr>
            <w:tcW w:w="3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(206)</w:t>
            </w:r>
          </w:p>
        </w:tc>
        <w:tc>
          <w:tcPr>
            <w:tcW w:w="32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52,336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(39,055)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190,321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quarterly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Pre tax</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After tax</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8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3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0.00</w:t>
            </w:r>
          </w:p>
        </w:tc>
      </w:tr>
      <w:tr>
        <w:trPr>
          <w:trHeight w:val="242"/>
        </w:trPr>
        <w:tc>
          <w:tcPr>
            <w:tcW w:w="59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(9,442)</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(2,694)</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(6,748)</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44"/>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42"/>
        </w:trPr>
        <w:tc>
          <w:tcPr>
            <w:tcW w:w="5940" w:type="dxa"/>
            <w:vAlign w:val="bottom"/>
          </w:tcPr>
          <w:p>
            <w:pPr>
              <w:ind w:left="20"/>
              <w:spacing w:after="0"/>
              <w:rPr>
                <w:sz w:val="20"/>
                <w:szCs w:val="20"/>
                <w:color w:val="auto"/>
              </w:rPr>
            </w:pPr>
            <w:r>
              <w:rPr>
                <w:rFonts w:ascii="Arial" w:cs="Arial" w:eastAsia="Arial" w:hAnsi="Arial"/>
                <w:sz w:val="16"/>
                <w:szCs w:val="16"/>
                <w:color w:val="auto"/>
              </w:rPr>
              <w:t>Pension settlement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49,128</w:t>
            </w:r>
          </w:p>
        </w:tc>
        <w:tc>
          <w:tcPr>
            <w:tcW w:w="30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11,947</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37,181</w:t>
            </w:r>
          </w:p>
        </w:tc>
        <w:tc>
          <w:tcPr>
            <w:tcW w:w="220" w:type="dxa"/>
            <w:vAlign w:val="bottom"/>
          </w:tcPr>
          <w:p>
            <w:pPr>
              <w:spacing w:after="0"/>
              <w:rPr>
                <w:sz w:val="21"/>
                <w:szCs w:val="21"/>
                <w:color w:val="auto"/>
              </w:rPr>
            </w:pP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1.20</w:t>
            </w:r>
          </w:p>
        </w:tc>
      </w:tr>
      <w:tr>
        <w:trPr>
          <w:trHeight w:val="20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stranded OCI benefit from Tax Cuts and Job Act (TCJA) for pension</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4"/>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(b)</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5,217</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42"/>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6"/>
              </w:rPr>
              <w:t>0.01</w:t>
            </w:r>
          </w:p>
        </w:tc>
      </w:tr>
      <w:tr>
        <w:trPr>
          <w:trHeight w:val="467"/>
        </w:trPr>
        <w:tc>
          <w:tcPr>
            <w:tcW w:w="5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2"/>
        </w:trPr>
        <w:tc>
          <w:tcPr>
            <w:tcW w:w="59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Three months ended September 30, 2021</w:t>
            </w:r>
          </w:p>
        </w:tc>
        <w:tc>
          <w:tcPr>
            <w:tcW w:w="280" w:type="dxa"/>
            <w:vAlign w:val="bottom"/>
          </w:tcPr>
          <w:p>
            <w:pPr>
              <w:spacing w:after="0"/>
              <w:rPr>
                <w:sz w:val="12"/>
                <w:szCs w:val="12"/>
                <w:color w:val="auto"/>
              </w:rPr>
            </w:pPr>
          </w:p>
        </w:tc>
        <w:tc>
          <w:tcPr>
            <w:tcW w:w="108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center"/>
              <w:ind w:right="222"/>
              <w:spacing w:after="0" w:line="142"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60" w:type="dxa"/>
            <w:vAlign w:val="bottom"/>
          </w:tcPr>
          <w:p>
            <w:pPr>
              <w:jc w:val="center"/>
              <w:ind w:right="162"/>
              <w:spacing w:after="0" w:line="142"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rPr>
              <w:t>Per share</w:t>
            </w:r>
          </w:p>
        </w:tc>
      </w:tr>
      <w:tr>
        <w:trPr>
          <w:trHeight w:val="18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0.00</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AMJP grant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rPr>
              <w:t>(0.11)</w:t>
            </w:r>
          </w:p>
        </w:tc>
      </w:tr>
      <w:tr>
        <w:trPr>
          <w:trHeight w:val="21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6"/>
              </w:rPr>
              <w:t>0.01</w:t>
            </w:r>
          </w:p>
        </w:tc>
      </w:tr>
      <w:tr>
        <w:trPr>
          <w:trHeight w:val="210"/>
        </w:trPr>
        <w:tc>
          <w:tcPr>
            <w:tcW w:w="5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46"/>
        </w:trPr>
        <w:tc>
          <w:tcPr>
            <w:tcW w:w="594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Nine months ended September 30, 2022</w:t>
            </w:r>
          </w:p>
        </w:tc>
        <w:tc>
          <w:tcPr>
            <w:tcW w:w="280" w:type="dxa"/>
            <w:vAlign w:val="bottom"/>
          </w:tcPr>
          <w:p>
            <w:pPr>
              <w:spacing w:after="0"/>
              <w:rPr>
                <w:sz w:val="12"/>
                <w:szCs w:val="12"/>
                <w:color w:val="auto"/>
              </w:rPr>
            </w:pPr>
          </w:p>
        </w:tc>
        <w:tc>
          <w:tcPr>
            <w:tcW w:w="1080" w:type="dxa"/>
            <w:vAlign w:val="bottom"/>
          </w:tcPr>
          <w:p>
            <w:pPr>
              <w:jc w:val="center"/>
              <w:ind w:right="122"/>
              <w:spacing w:after="0" w:line="147"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60" w:type="dxa"/>
            <w:vAlign w:val="bottom"/>
          </w:tcPr>
          <w:p>
            <w:pPr>
              <w:jc w:val="center"/>
              <w:ind w:right="162"/>
              <w:spacing w:after="0" w:line="147"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2"/>
              <w:spacing w:after="0" w:line="147" w:lineRule="exact"/>
              <w:rPr>
                <w:sz w:val="20"/>
                <w:szCs w:val="20"/>
                <w:color w:val="auto"/>
              </w:rPr>
            </w:pPr>
            <w:r>
              <w:rPr>
                <w:rFonts w:ascii="Arial" w:cs="Arial" w:eastAsia="Arial" w:hAnsi="Arial"/>
                <w:sz w:val="14"/>
                <w:szCs w:val="14"/>
                <w:b w:val="1"/>
                <w:bCs w:val="1"/>
                <w:color w:val="auto"/>
              </w:rPr>
              <w:t>Per share</w:t>
            </w:r>
          </w:p>
        </w:tc>
      </w:tr>
      <w:tr>
        <w:trPr>
          <w:trHeight w:val="18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0.01</w:t>
            </w:r>
          </w:p>
        </w:tc>
      </w:tr>
      <w:tr>
        <w:trPr>
          <w:trHeight w:val="242"/>
        </w:trPr>
        <w:tc>
          <w:tcPr>
            <w:tcW w:w="59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(20,579)</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(5,829)</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(14,750)</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(0.47)</w:t>
            </w:r>
          </w:p>
        </w:tc>
      </w:tr>
      <w:tr>
        <w:trPr>
          <w:trHeight w:val="244"/>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314</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0.06</w:t>
            </w:r>
          </w:p>
        </w:tc>
      </w:tr>
      <w:tr>
        <w:trPr>
          <w:trHeight w:val="242"/>
        </w:trPr>
        <w:tc>
          <w:tcPr>
            <w:tcW w:w="5940" w:type="dxa"/>
            <w:vAlign w:val="bottom"/>
          </w:tcPr>
          <w:p>
            <w:pPr>
              <w:ind w:left="20"/>
              <w:spacing w:after="0"/>
              <w:rPr>
                <w:sz w:val="20"/>
                <w:szCs w:val="20"/>
                <w:color w:val="auto"/>
              </w:rPr>
            </w:pPr>
            <w:r>
              <w:rPr>
                <w:rFonts w:ascii="Arial" w:cs="Arial" w:eastAsia="Arial" w:hAnsi="Arial"/>
                <w:sz w:val="16"/>
                <w:szCs w:val="16"/>
                <w:color w:val="auto"/>
              </w:rPr>
              <w:t>Pension settlement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49,128</w:t>
            </w:r>
          </w:p>
        </w:tc>
        <w:tc>
          <w:tcPr>
            <w:tcW w:w="30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11,947</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37,181</w:t>
            </w:r>
          </w:p>
        </w:tc>
        <w:tc>
          <w:tcPr>
            <w:tcW w:w="220" w:type="dxa"/>
            <w:vAlign w:val="bottom"/>
          </w:tcPr>
          <w:p>
            <w:pPr>
              <w:spacing w:after="0"/>
              <w:rPr>
                <w:sz w:val="21"/>
                <w:szCs w:val="21"/>
                <w:color w:val="auto"/>
              </w:rPr>
            </w:pP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1.20</w:t>
            </w:r>
          </w:p>
        </w:tc>
      </w:tr>
      <w:tr>
        <w:trPr>
          <w:trHeight w:val="244"/>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stranded OCI benefit from TCJA for pension liability (b)</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5,217</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42"/>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6"/>
              </w:rPr>
              <w:t>0.03</w:t>
            </w:r>
          </w:p>
        </w:tc>
      </w:tr>
      <w:tr>
        <w:trPr>
          <w:trHeight w:val="224"/>
        </w:trPr>
        <w:tc>
          <w:tcPr>
            <w:tcW w:w="5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46"/>
        </w:trPr>
        <w:tc>
          <w:tcPr>
            <w:tcW w:w="594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Nine months ended September 30, 2021</w:t>
            </w:r>
          </w:p>
        </w:tc>
        <w:tc>
          <w:tcPr>
            <w:tcW w:w="280" w:type="dxa"/>
            <w:vAlign w:val="bottom"/>
          </w:tcPr>
          <w:p>
            <w:pPr>
              <w:spacing w:after="0"/>
              <w:rPr>
                <w:sz w:val="12"/>
                <w:szCs w:val="12"/>
                <w:color w:val="auto"/>
              </w:rPr>
            </w:pPr>
          </w:p>
        </w:tc>
        <w:tc>
          <w:tcPr>
            <w:tcW w:w="1080" w:type="dxa"/>
            <w:vAlign w:val="bottom"/>
          </w:tcPr>
          <w:p>
            <w:pPr>
              <w:jc w:val="center"/>
              <w:ind w:right="122"/>
              <w:spacing w:after="0" w:line="147"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60" w:type="dxa"/>
            <w:vAlign w:val="bottom"/>
          </w:tcPr>
          <w:p>
            <w:pPr>
              <w:jc w:val="center"/>
              <w:ind w:right="162"/>
              <w:spacing w:after="0" w:line="147"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center"/>
              <w:ind w:right="122"/>
              <w:spacing w:after="0" w:line="147" w:lineRule="exact"/>
              <w:rPr>
                <w:sz w:val="20"/>
                <w:szCs w:val="20"/>
                <w:color w:val="auto"/>
              </w:rPr>
            </w:pPr>
            <w:r>
              <w:rPr>
                <w:rFonts w:ascii="Arial" w:cs="Arial" w:eastAsia="Arial" w:hAnsi="Arial"/>
                <w:sz w:val="14"/>
                <w:szCs w:val="14"/>
                <w:b w:val="1"/>
                <w:bCs w:val="1"/>
                <w:color w:val="auto"/>
              </w:rPr>
              <w:t>Per share</w:t>
            </w:r>
          </w:p>
        </w:tc>
      </w:tr>
      <w:tr>
        <w:trPr>
          <w:trHeight w:val="18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6"/>
              </w:rPr>
              <w:t>0.00</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1,020</w:t>
            </w:r>
          </w:p>
        </w:tc>
        <w:tc>
          <w:tcPr>
            <w:tcW w:w="3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332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688</w:t>
            </w:r>
          </w:p>
        </w:tc>
        <w:tc>
          <w:tcPr>
            <w:tcW w:w="220" w:type="dxa"/>
            <w:vAlign w:val="bottom"/>
          </w:tcPr>
          <w:p>
            <w:pPr>
              <w:spacing w:after="0"/>
              <w:rPr>
                <w:sz w:val="18"/>
                <w:szCs w:val="18"/>
                <w:color w:val="auto"/>
              </w:rPr>
            </w:pP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0.02</w:t>
            </w: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AMJP grant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rPr>
              <w:t>(0.11)</w:t>
            </w:r>
          </w:p>
        </w:tc>
      </w:tr>
      <w:tr>
        <w:trPr>
          <w:trHeight w:val="21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273</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6"/>
              </w:rPr>
              <w:t>0.03</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Adjusted EPS: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20" w:type="dxa"/>
            <w:vAlign w:val="bottom"/>
            <w:tcBorders>
              <w:top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r>
      <w:tr>
        <w:trPr>
          <w:trHeight w:val="211"/>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(GAAP)</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4"/>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(0.22)</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(0.47)</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0.06</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20" w:type="dxa"/>
            <w:vAlign w:val="bottom"/>
          </w:tcPr>
          <w:p>
            <w:pPr>
              <w:ind w:left="20"/>
              <w:spacing w:after="0"/>
              <w:rPr>
                <w:sz w:val="20"/>
                <w:szCs w:val="20"/>
                <w:color w:val="auto"/>
              </w:rPr>
            </w:pPr>
            <w:r>
              <w:rPr>
                <w:rFonts w:ascii="Arial" w:cs="Arial" w:eastAsia="Arial" w:hAnsi="Arial"/>
                <w:sz w:val="16"/>
                <w:szCs w:val="16"/>
                <w:color w:val="auto"/>
              </w:rPr>
              <w:t>Pension settlement charge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stranded OCI benefit from Tax Cuts and Job Act (TCJA) for pension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4"/>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(b)</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(0.17)</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(0.17)</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20" w:type="dxa"/>
            <w:vAlign w:val="bottom"/>
          </w:tcPr>
          <w:p>
            <w:pPr>
              <w:ind w:left="20"/>
              <w:spacing w:after="0"/>
              <w:rPr>
                <w:sz w:val="20"/>
                <w:szCs w:val="20"/>
                <w:color w:val="auto"/>
              </w:rPr>
            </w:pPr>
            <w:r>
              <w:rPr>
                <w:rFonts w:ascii="Arial" w:cs="Arial" w:eastAsia="Arial" w:hAnsi="Arial"/>
                <w:sz w:val="16"/>
                <w:szCs w:val="16"/>
                <w:color w:val="auto"/>
              </w:rPr>
              <w:t>AMJP grant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43"/>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 integration costs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0.03</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Earnings per share (non-GAAP)</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r>
    </w:tbl>
    <w:p>
      <w:pPr>
        <w:spacing w:after="0" w:line="175" w:lineRule="exact"/>
        <w:rPr>
          <w:sz w:val="20"/>
          <w:szCs w:val="20"/>
          <w:color w:val="auto"/>
        </w:rPr>
      </w:pPr>
    </w:p>
    <w:p>
      <w:pPr>
        <w:ind w:right="20" w:firstLine="332"/>
        <w:spacing w:after="0" w:line="251" w:lineRule="auto"/>
        <w:tabs>
          <w:tab w:leader="none" w:pos="5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currency revaluation (gains)/losses represent unrealized gains and losses arising from the remeasurement of monetary assets and liabilities denominated in non-functional currencies on the balance sheet date.</w:t>
      </w:r>
    </w:p>
    <w:p>
      <w:pPr>
        <w:spacing w:after="0" w:line="60" w:lineRule="exact"/>
        <w:rPr>
          <w:rFonts w:ascii="Arial" w:cs="Arial" w:eastAsia="Arial" w:hAnsi="Arial"/>
          <w:sz w:val="16"/>
          <w:szCs w:val="16"/>
          <w:color w:val="auto"/>
        </w:rPr>
      </w:pPr>
    </w:p>
    <w:p>
      <w:pPr>
        <w:jc w:val="both"/>
        <w:ind w:firstLine="332"/>
        <w:spacing w:after="0" w:line="234" w:lineRule="auto"/>
        <w:tabs>
          <w:tab w:leader="none" w:pos="57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Adjusted EPS excluded the benefit from the reclassification of stranded income tax effects caused by the TCJA associated with the US pension plan liability that was eliminated in September 2022, a one-time event that would not recur in the future. Such stranded income tax effect represented a one-time benefit that distorted the effective tax rate for the quarter and year-to-date ended September 30, 2022 , and would not be indicative of ongoing or expected future income tax rate at the Company. Management believes excluding pension settlement expense and its income tax impact, including the stranded income tax effects, from its Adjusted EBITDA and Adjusted EPS for the quarter and year-to-date ended September 30, 2022 would provide investors a transparent view and enhanced ability to better assess the Company’s ongoing operational and financial performance.</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3280" w:type="dxa"/>
            <w:vAlign w:val="bottom"/>
            <w:gridSpan w:val="2"/>
          </w:tcPr>
          <w:p>
            <w:pPr>
              <w:ind w:left="22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82"/>
              <w:spacing w:after="0"/>
              <w:rPr>
                <w:sz w:val="20"/>
                <w:szCs w:val="20"/>
                <w:color w:val="auto"/>
              </w:rPr>
            </w:pPr>
            <w:r>
              <w:rPr>
                <w:rFonts w:ascii="Arial" w:cs="Arial" w:eastAsia="Arial" w:hAnsi="Arial"/>
                <w:sz w:val="14"/>
                <w:szCs w:val="14"/>
                <w:b w:val="1"/>
                <w:bCs w:val="1"/>
                <w:color w:val="auto"/>
              </w:rPr>
              <w:t>March 31,</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248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 $</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4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4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447,000</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485,000</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427,000</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350,000</w:t>
            </w:r>
          </w:p>
        </w:tc>
      </w:tr>
      <w:tr>
        <w:trPr>
          <w:trHeight w:val="211"/>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2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447,000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485,000</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427,000</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350,000</w:t>
            </w:r>
          </w:p>
        </w:tc>
      </w:tr>
      <w:tr>
        <w:trPr>
          <w:trHeight w:val="23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2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276,482</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320,870</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307,415</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302,036</w:t>
            </w:r>
          </w:p>
        </w:tc>
      </w:tr>
      <w:tr>
        <w:trPr>
          <w:trHeight w:val="21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debt (non GAAP)</w:t>
            </w:r>
          </w:p>
        </w:tc>
        <w:tc>
          <w:tcPr>
            <w:tcW w:w="2480" w:type="dxa"/>
            <w:vAlign w:val="bottom"/>
            <w:tcBorders>
              <w:bottom w:val="single" w:sz="8" w:color="auto"/>
            </w:tcBorders>
            <w:shd w:val="clear" w:color="auto" w:fill="CCEEFF"/>
          </w:tcPr>
          <w:p>
            <w:pPr>
              <w:ind w:left="22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170,518</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164,130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119,585</w:t>
            </w: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47,964</w:t>
            </w:r>
          </w:p>
        </w:tc>
      </w:tr>
    </w:tbl>
    <w:p>
      <w:pPr>
        <w:spacing w:after="0" w:line="200" w:lineRule="exact"/>
        <w:rPr>
          <w:sz w:val="20"/>
          <w:szCs w:val="20"/>
          <w:color w:val="auto"/>
        </w:rPr>
      </w:pPr>
    </w:p>
    <w:p>
      <w:pPr>
        <w:spacing w:after="0" w:line="2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leverage ratio informs the investors of the Company's financial leverage at the end of the reporting period, providing an indicator of the Company's ability to repay its debt. The Company calculates net leverage ratio by subtracting cash and cash equivalents from total debt, and then dividing by trailing twelve months Adjusted EBITDA.</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calculation of net leverage ratio as of September 30, 2022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900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Company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rPr>
              <w:t>Twelve months</w:t>
            </w:r>
          </w:p>
        </w:tc>
        <w:tc>
          <w:tcPr>
            <w:tcW w:w="14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vMerge w:val="restart"/>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right="99"/>
              <w:spacing w:after="0" w:line="155" w:lineRule="exact"/>
              <w:rPr>
                <w:sz w:val="20"/>
                <w:szCs w:val="20"/>
                <w:color w:val="auto"/>
              </w:rPr>
            </w:pPr>
            <w:r>
              <w:rPr>
                <w:rFonts w:ascii="Arial" w:cs="Arial" w:eastAsia="Arial" w:hAnsi="Arial"/>
                <w:sz w:val="16"/>
                <w:szCs w:val="16"/>
                <w:b w:val="1"/>
                <w:bCs w:val="1"/>
                <w:color w:val="auto"/>
              </w:rPr>
              <w:t>Trailing twelve</w:t>
            </w:r>
          </w:p>
        </w:tc>
        <w:tc>
          <w:tcPr>
            <w:tcW w:w="0" w:type="dxa"/>
            <w:vAlign w:val="bottom"/>
          </w:tcPr>
          <w:p>
            <w:pPr>
              <w:spacing w:after="0"/>
              <w:rPr>
                <w:sz w:val="1"/>
                <w:szCs w:val="1"/>
                <w:color w:val="auto"/>
              </w:rPr>
            </w:pPr>
          </w:p>
        </w:tc>
      </w:tr>
      <w:tr>
        <w:trPr>
          <w:trHeight w:val="215"/>
        </w:trPr>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auto"/>
              </w:rPr>
              <w:t>ended</w:t>
            </w:r>
          </w:p>
        </w:tc>
        <w:tc>
          <w:tcPr>
            <w:tcW w:w="140" w:type="dxa"/>
            <w:vAlign w:val="bottom"/>
          </w:tcPr>
          <w:p>
            <w:pPr>
              <w:spacing w:after="0"/>
              <w:rPr>
                <w:sz w:val="18"/>
                <w:szCs w:val="18"/>
                <w:color w:val="auto"/>
              </w:rPr>
            </w:pPr>
          </w:p>
        </w:tc>
        <w:tc>
          <w:tcPr>
            <w:tcW w:w="27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99"/>
              <w:spacing w:after="0"/>
              <w:rPr>
                <w:sz w:val="20"/>
                <w:szCs w:val="20"/>
                <w:color w:val="auto"/>
              </w:rPr>
            </w:pPr>
            <w:r>
              <w:rPr>
                <w:rFonts w:ascii="Arial" w:cs="Arial" w:eastAsia="Arial" w:hAnsi="Arial"/>
                <w:sz w:val="16"/>
                <w:szCs w:val="16"/>
                <w:b w:val="1"/>
                <w:bCs w:val="1"/>
                <w:color w:val="auto"/>
              </w:rPr>
              <w:t>months ended</w:t>
            </w:r>
          </w:p>
        </w:tc>
        <w:tc>
          <w:tcPr>
            <w:tcW w:w="0" w:type="dxa"/>
            <w:vAlign w:val="bottom"/>
          </w:tcPr>
          <w:p>
            <w:pPr>
              <w:spacing w:after="0"/>
              <w:rPr>
                <w:sz w:val="1"/>
                <w:szCs w:val="1"/>
                <w:color w:val="auto"/>
              </w:rPr>
            </w:pPr>
          </w:p>
        </w:tc>
      </w:tr>
      <w:tr>
        <w:trPr>
          <w:trHeight w:val="163"/>
        </w:trPr>
        <w:tc>
          <w:tcPr>
            <w:tcW w:w="4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00" w:type="dxa"/>
            <w:vAlign w:val="bottom"/>
            <w:gridSpan w:val="2"/>
            <w:vMerge w:val="restart"/>
          </w:tcPr>
          <w:p>
            <w:pPr>
              <w:jc w:val="center"/>
              <w:ind w:left="299"/>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Pr>
          <w:p>
            <w:pPr>
              <w:spacing w:after="0"/>
              <w:rPr>
                <w:sz w:val="14"/>
                <w:szCs w:val="14"/>
                <w:color w:val="auto"/>
              </w:rPr>
            </w:pPr>
          </w:p>
        </w:tc>
        <w:tc>
          <w:tcPr>
            <w:tcW w:w="1320" w:type="dxa"/>
            <w:vAlign w:val="bottom"/>
            <w:gridSpan w:val="2"/>
          </w:tcPr>
          <w:p>
            <w:pPr>
              <w:jc w:val="right"/>
              <w:ind w:right="99"/>
              <w:spacing w:after="0" w:line="163"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4"/>
                <w:szCs w:val="14"/>
                <w:color w:val="auto"/>
              </w:rPr>
            </w:pPr>
          </w:p>
        </w:tc>
        <w:tc>
          <w:tcPr>
            <w:tcW w:w="1300" w:type="dxa"/>
            <w:vAlign w:val="bottom"/>
          </w:tcPr>
          <w:p>
            <w:pPr>
              <w:jc w:val="right"/>
              <w:ind w:right="79"/>
              <w:spacing w:after="0" w:line="163" w:lineRule="exact"/>
              <w:rPr>
                <w:sz w:val="20"/>
                <w:szCs w:val="20"/>
                <w:color w:val="auto"/>
              </w:rPr>
            </w:pPr>
            <w:r>
              <w:rPr>
                <w:rFonts w:ascii="Arial" w:cs="Arial" w:eastAsia="Arial" w:hAnsi="Arial"/>
                <w:sz w:val="16"/>
                <w:szCs w:val="16"/>
                <w:b w:val="1"/>
                <w:bCs w:val="1"/>
                <w:color w:val="auto"/>
              </w:rPr>
              <w:t>September 30,</w:t>
            </w:r>
          </w:p>
        </w:tc>
        <w:tc>
          <w:tcPr>
            <w:tcW w:w="168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rPr>
              <w:t>September 30, 2022</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(non-GAAP) (c)</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118,768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89,992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78,267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107,043</w:t>
            </w:r>
          </w:p>
        </w:tc>
        <w:tc>
          <w:tcPr>
            <w:tcW w:w="0" w:type="dxa"/>
            <w:vAlign w:val="bottom"/>
          </w:tcPr>
          <w:p>
            <w:pPr>
              <w:spacing w:after="0"/>
              <w:rPr>
                <w:sz w:val="1"/>
                <w:szCs w:val="1"/>
                <w:color w:val="auto"/>
              </w:rPr>
            </w:pP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14,891</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11,521</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11,336</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14,706</w:t>
            </w: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47,163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36,375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22,273</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33,061</w:t>
            </w:r>
          </w:p>
        </w:tc>
        <w:tc>
          <w:tcPr>
            <w:tcW w:w="0" w:type="dxa"/>
            <w:vAlign w:val="bottom"/>
          </w:tcPr>
          <w:p>
            <w:pPr>
              <w:spacing w:after="0"/>
              <w:rPr>
                <w:sz w:val="1"/>
                <w:szCs w:val="1"/>
                <w:color w:val="auto"/>
              </w:rPr>
            </w:pPr>
          </w:p>
        </w:tc>
      </w:tr>
      <w:tr>
        <w:trPr>
          <w:trHeight w:val="21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55,347</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51,908</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70,816</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255,077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193,235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163,784</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225,626</w:t>
            </w:r>
          </w:p>
        </w:tc>
        <w:tc>
          <w:tcPr>
            <w:tcW w:w="0" w:type="dxa"/>
            <w:vAlign w:val="bottom"/>
          </w:tcPr>
          <w:p>
            <w:pPr>
              <w:spacing w:after="0"/>
              <w:rPr>
                <w:sz w:val="1"/>
                <w:szCs w:val="1"/>
                <w:color w:val="auto"/>
              </w:rPr>
            </w:pPr>
          </w:p>
        </w:tc>
      </w:tr>
      <w:tr>
        <w:trPr>
          <w:trHeight w:val="242"/>
        </w:trPr>
        <w:tc>
          <w:tcPr>
            <w:tcW w:w="43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5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1,331</w:t>
            </w:r>
          </w:p>
        </w:tc>
        <w:tc>
          <w:tcPr>
            <w:tcW w:w="1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230</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268</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44"/>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5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(20,579)</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(23,041)</w:t>
            </w:r>
          </w:p>
        </w:tc>
        <w:tc>
          <w:tcPr>
            <w:tcW w:w="0" w:type="dxa"/>
            <w:vAlign w:val="bottom"/>
          </w:tcPr>
          <w:p>
            <w:pPr>
              <w:spacing w:after="0"/>
              <w:rPr>
                <w:sz w:val="1"/>
                <w:szCs w:val="1"/>
                <w:color w:val="auto"/>
              </w:rPr>
            </w:pPr>
          </w:p>
        </w:tc>
      </w:tr>
      <w:tr>
        <w:trPr>
          <w:trHeight w:val="242"/>
        </w:trPr>
        <w:tc>
          <w:tcPr>
            <w:tcW w:w="4300" w:type="dxa"/>
            <w:vAlign w:val="bottom"/>
          </w:tcPr>
          <w:p>
            <w:pPr>
              <w:ind w:left="20"/>
              <w:spacing w:after="0"/>
              <w:rPr>
                <w:sz w:val="20"/>
                <w:szCs w:val="20"/>
                <w:color w:val="auto"/>
              </w:rPr>
            </w:pPr>
            <w:r>
              <w:rPr>
                <w:rFonts w:ascii="Arial" w:cs="Arial" w:eastAsia="Arial" w:hAnsi="Arial"/>
                <w:sz w:val="16"/>
                <w:szCs w:val="16"/>
                <w:color w:val="auto"/>
              </w:rPr>
              <w:t>Aviation Manufacturing Job Protection (AMJP) grant</w:t>
            </w:r>
          </w:p>
        </w:tc>
        <w:tc>
          <w:tcPr>
            <w:tcW w:w="5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(4,731)</w:t>
            </w:r>
          </w:p>
        </w:tc>
        <w:tc>
          <w:tcPr>
            <w:tcW w:w="1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(4,869)</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44"/>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5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42"/>
        </w:trPr>
        <w:tc>
          <w:tcPr>
            <w:tcW w:w="4300" w:type="dxa"/>
            <w:vAlign w:val="bottom"/>
          </w:tcPr>
          <w:p>
            <w:pPr>
              <w:ind w:left="20"/>
              <w:spacing w:after="0"/>
              <w:rPr>
                <w:sz w:val="20"/>
                <w:szCs w:val="20"/>
                <w:color w:val="auto"/>
              </w:rPr>
            </w:pPr>
            <w:r>
              <w:rPr>
                <w:rFonts w:ascii="Arial" w:cs="Arial" w:eastAsia="Arial" w:hAnsi="Arial"/>
                <w:sz w:val="16"/>
                <w:szCs w:val="16"/>
                <w:color w:val="auto"/>
              </w:rPr>
              <w:t>Pension settlement expense</w:t>
            </w:r>
          </w:p>
        </w:tc>
        <w:tc>
          <w:tcPr>
            <w:tcW w:w="5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49,128</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49,128</w:t>
            </w:r>
          </w:p>
        </w:tc>
        <w:tc>
          <w:tcPr>
            <w:tcW w:w="0" w:type="dxa"/>
            <w:vAlign w:val="bottom"/>
          </w:tcPr>
          <w:p>
            <w:pPr>
              <w:spacing w:after="0"/>
              <w:rPr>
                <w:sz w:val="1"/>
                <w:szCs w:val="1"/>
                <w:color w:val="auto"/>
              </w:rPr>
            </w:pPr>
          </w:p>
        </w:tc>
      </w:tr>
      <w:tr>
        <w:trPr>
          <w:trHeight w:val="244"/>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5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42"/>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5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(206)</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250,891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190,321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195,128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255,698</w:t>
            </w:r>
          </w:p>
        </w:tc>
        <w:tc>
          <w:tcPr>
            <w:tcW w:w="0" w:type="dxa"/>
            <w:vAlign w:val="bottom"/>
          </w:tcPr>
          <w:p>
            <w:pPr>
              <w:spacing w:after="0"/>
              <w:rPr>
                <w:sz w:val="1"/>
                <w:szCs w:val="1"/>
                <w:color w:val="auto"/>
              </w:rPr>
            </w:pPr>
          </w:p>
        </w:tc>
      </w:tr>
      <w:tr>
        <w:trPr>
          <w:trHeight w:val="358"/>
        </w:trPr>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for net leverage ratio)</w:t>
            </w:r>
          </w:p>
        </w:tc>
        <w:tc>
          <w:tcPr>
            <w:tcW w:w="56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September 30, 2022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debt (non-GAAP)</w:t>
            </w: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170,518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Trailing twelve months Adjusted EBITDA (non-GAAP)</w:t>
            </w:r>
          </w:p>
        </w:tc>
        <w:tc>
          <w:tcPr>
            <w:tcW w:w="5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255,698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leverage ratio (non-GAAP)</w:t>
            </w:r>
          </w:p>
        </w:tc>
        <w:tc>
          <w:tcPr>
            <w:tcW w:w="5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0" w:right="1340" w:firstLine="6"/>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as amounts incurred during the twelve months ended December 31, 2021, less those incurred during the nine months ended September 30, 2021, plus those incurred during the nine months ended September 30,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communicated to the Company’s management, including its principal executive officer and principal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information set forth above under Note 15 in Item 1, “Notes to Consolidated Financial Statements” is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in risks since December 31, 2021, except as discussed below.</w:t>
      </w:r>
    </w:p>
    <w:p>
      <w:pPr>
        <w:spacing w:after="0" w:line="239" w:lineRule="exact"/>
        <w:rPr>
          <w:sz w:val="20"/>
          <w:szCs w:val="20"/>
          <w:color w:val="auto"/>
        </w:rPr>
      </w:pPr>
    </w:p>
    <w:p>
      <w:pPr>
        <w:ind w:right="80" w:firstLine="324"/>
        <w:spacing w:after="0" w:line="237" w:lineRule="auto"/>
        <w:rPr>
          <w:sz w:val="20"/>
          <w:szCs w:val="20"/>
          <w:color w:val="auto"/>
        </w:rPr>
      </w:pPr>
      <w:r>
        <w:rPr>
          <w:rFonts w:ascii="Arial" w:cs="Arial" w:eastAsia="Arial" w:hAnsi="Arial"/>
          <w:sz w:val="18"/>
          <w:szCs w:val="18"/>
          <w:color w:val="101820"/>
        </w:rPr>
        <w:t>The military invasion of Ukraine by Russia, and the ensuing sanctions are likely to continue to have an impact on our business. We have already stopped shipping our products to Russia and are in the process of winding down a small joint venture in that country which supplied</w:t>
      </w:r>
    </w:p>
    <w:p>
      <w:pPr>
        <w:spacing w:after="0" w:line="1"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101820"/>
        </w:rPr>
        <w:t>dryer fabrics to local papermakers, resulting in lost sales and possible future write-offs. However, we also expect that there could be further indirect impacts. For instance, the conflict has already caused disruption in the availability of shipping options between Asia and Europe. Supply chain disruptions could make it more difficult to find favorable pricing and reliable sources for the raw materials we need, putting upward pressure on our costs and increasing the risk that we may be unable to acquire the materials or services we need to continue to</w:t>
      </w:r>
    </w:p>
    <w:p>
      <w:pPr>
        <w:spacing w:after="0" w:line="1"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101820"/>
        </w:rPr>
        <w:t>make and deliver certain products. Moreover, these same pressures could hinder our customers’ ability to source materials needed for their own manufacturing efforts, thereby reducing or slowing their demand for our products. There can be no assurance that we will be able to pass through these cost increases to our customers or to fully offset them via operational efficiencies. If we are unsuccessful in managing such cost increases, they could have a material adverse effect on our business, financial position, results of operations, and liquidity.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of risk factors, refer to Item 1A of our Annual Report on Form 10-K for the year ended December 31, 2021.</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Issuer Purchases of Equity Securities during the nine months ended September 30, 2022</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Period</w:t>
      </w:r>
    </w:p>
    <w:p>
      <w:pPr>
        <w:spacing w:after="0" w:line="32" w:lineRule="exact"/>
        <w:rPr>
          <w:sz w:val="20"/>
          <w:szCs w:val="20"/>
          <w:color w:val="auto"/>
        </w:rPr>
      </w:pPr>
    </w:p>
    <w:p>
      <w:pPr>
        <w:ind w:left="20" w:right="200"/>
        <w:spacing w:after="0" w:line="234" w:lineRule="auto"/>
        <w:rPr>
          <w:sz w:val="20"/>
          <w:szCs w:val="20"/>
          <w:color w:val="auto"/>
        </w:rPr>
      </w:pPr>
      <w:r>
        <w:rPr>
          <w:rFonts w:ascii="Arial" w:cs="Arial" w:eastAsia="Arial" w:hAnsi="Arial"/>
          <w:sz w:val="18"/>
          <w:szCs w:val="18"/>
          <w:color w:val="auto"/>
        </w:rPr>
        <w:t>January 1 to January 31, 2022</w:t>
      </w:r>
    </w:p>
    <w:p>
      <w:pPr>
        <w:spacing w:after="0" w:line="6"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February 1 to February 28, 2022</w:t>
      </w:r>
    </w:p>
    <w:p>
      <w:pPr>
        <w:spacing w:after="0" w:line="5" w:lineRule="exact"/>
        <w:rPr>
          <w:sz w:val="20"/>
          <w:szCs w:val="20"/>
          <w:color w:val="auto"/>
        </w:rPr>
      </w:pPr>
    </w:p>
    <w:p>
      <w:pPr>
        <w:ind w:left="20" w:right="180"/>
        <w:spacing w:after="0"/>
        <w:rPr>
          <w:sz w:val="20"/>
          <w:szCs w:val="20"/>
          <w:color w:val="auto"/>
        </w:rPr>
      </w:pPr>
      <w:r>
        <w:rPr>
          <w:rFonts w:ascii="Arial" w:cs="Arial" w:eastAsia="Arial" w:hAnsi="Arial"/>
          <w:sz w:val="18"/>
          <w:szCs w:val="18"/>
          <w:color w:val="auto"/>
        </w:rPr>
        <w:t>March 1 to March 31, 2022</w:t>
      </w:r>
    </w:p>
    <w:p>
      <w:pPr>
        <w:spacing w:after="0" w:line="5"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April 1 to April 30, 2022 May 1 to May 31, 2022</w:t>
      </w:r>
    </w:p>
    <w:p>
      <w:pPr>
        <w:spacing w:after="0" w:line="1" w:lineRule="exact"/>
        <w:rPr>
          <w:sz w:val="20"/>
          <w:szCs w:val="20"/>
          <w:color w:val="auto"/>
        </w:rPr>
      </w:pPr>
    </w:p>
    <w:p>
      <w:pPr>
        <w:ind w:left="20" w:right="200"/>
        <w:spacing w:after="0" w:line="234" w:lineRule="auto"/>
        <w:rPr>
          <w:sz w:val="20"/>
          <w:szCs w:val="20"/>
          <w:color w:val="auto"/>
        </w:rPr>
      </w:pPr>
      <w:r>
        <w:rPr>
          <w:rFonts w:ascii="Arial" w:cs="Arial" w:eastAsia="Arial" w:hAnsi="Arial"/>
          <w:sz w:val="18"/>
          <w:szCs w:val="18"/>
          <w:color w:val="auto"/>
        </w:rPr>
        <w:t>June 1 to September 30, 2022</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80" w:type="dxa"/>
            <w:vAlign w:val="bottom"/>
            <w:vMerge w:val="restart"/>
          </w:tcPr>
          <w:p>
            <w:pPr>
              <w:jc w:val="right"/>
              <w:ind w:right="110"/>
              <w:spacing w:after="0"/>
              <w:rPr>
                <w:sz w:val="20"/>
                <w:szCs w:val="20"/>
                <w:color w:val="auto"/>
              </w:rPr>
            </w:pPr>
            <w:r>
              <w:rPr>
                <w:rFonts w:ascii="Arial" w:cs="Arial" w:eastAsia="Arial" w:hAnsi="Arial"/>
                <w:sz w:val="18"/>
                <w:szCs w:val="18"/>
                <w:color w:val="auto"/>
              </w:rPr>
              <w:t>Total number of</w:t>
            </w:r>
          </w:p>
        </w:tc>
        <w:tc>
          <w:tcPr>
            <w:tcW w:w="160" w:type="dxa"/>
            <w:vAlign w:val="bottom"/>
          </w:tcPr>
          <w:p>
            <w:pPr>
              <w:spacing w:after="0"/>
              <w:rPr>
                <w:sz w:val="17"/>
                <w:szCs w:val="17"/>
                <w:color w:val="auto"/>
              </w:rPr>
            </w:pPr>
          </w:p>
        </w:tc>
        <w:tc>
          <w:tcPr>
            <w:tcW w:w="1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Average price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Total number of shares purchased</w:t>
            </w:r>
          </w:p>
        </w:tc>
        <w:tc>
          <w:tcPr>
            <w:tcW w:w="180" w:type="dxa"/>
            <w:vAlign w:val="bottom"/>
          </w:tcPr>
          <w:p>
            <w:pPr>
              <w:spacing w:after="0"/>
              <w:rPr>
                <w:sz w:val="17"/>
                <w:szCs w:val="17"/>
                <w:color w:val="auto"/>
              </w:rPr>
            </w:pPr>
          </w:p>
        </w:tc>
        <w:tc>
          <w:tcPr>
            <w:tcW w:w="2940" w:type="dxa"/>
            <w:vAlign w:val="bottom"/>
          </w:tcPr>
          <w:p>
            <w:pPr>
              <w:jc w:val="center"/>
              <w:ind w:right="70"/>
              <w:spacing w:after="0"/>
              <w:rPr>
                <w:sz w:val="20"/>
                <w:szCs w:val="20"/>
                <w:color w:val="auto"/>
              </w:rPr>
            </w:pPr>
            <w:r>
              <w:rPr>
                <w:rFonts w:ascii="Arial" w:cs="Arial" w:eastAsia="Arial" w:hAnsi="Arial"/>
                <w:sz w:val="18"/>
                <w:szCs w:val="18"/>
                <w:color w:val="auto"/>
              </w:rPr>
              <w:t>Approx. dollar value of shares that</w:t>
            </w:r>
          </w:p>
        </w:tc>
        <w:tc>
          <w:tcPr>
            <w:tcW w:w="0" w:type="dxa"/>
            <w:vAlign w:val="bottom"/>
          </w:tcPr>
          <w:p>
            <w:pPr>
              <w:spacing w:after="0"/>
              <w:rPr>
                <w:sz w:val="1"/>
                <w:szCs w:val="1"/>
                <w:color w:val="auto"/>
              </w:rPr>
            </w:pPr>
          </w:p>
        </w:tc>
      </w:tr>
      <w:tr>
        <w:trPr>
          <w:trHeight w:val="176"/>
        </w:trPr>
        <w:tc>
          <w:tcPr>
            <w:tcW w:w="1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840" w:type="dxa"/>
            <w:vAlign w:val="bottom"/>
          </w:tcPr>
          <w:p>
            <w:pPr>
              <w:jc w:val="center"/>
              <w:spacing w:after="0" w:line="176" w:lineRule="exact"/>
              <w:rPr>
                <w:sz w:val="20"/>
                <w:szCs w:val="20"/>
                <w:color w:val="auto"/>
              </w:rPr>
            </w:pPr>
            <w:r>
              <w:rPr>
                <w:rFonts w:ascii="Arial" w:cs="Arial" w:eastAsia="Arial" w:hAnsi="Arial"/>
                <w:sz w:val="18"/>
                <w:szCs w:val="18"/>
                <w:color w:val="auto"/>
                <w:w w:val="99"/>
              </w:rPr>
              <w:t>as part of publicly announced</w:t>
            </w:r>
          </w:p>
        </w:tc>
        <w:tc>
          <w:tcPr>
            <w:tcW w:w="180" w:type="dxa"/>
            <w:vAlign w:val="bottom"/>
          </w:tcPr>
          <w:p>
            <w:pPr>
              <w:spacing w:after="0"/>
              <w:rPr>
                <w:sz w:val="15"/>
                <w:szCs w:val="15"/>
                <w:color w:val="auto"/>
              </w:rPr>
            </w:pPr>
          </w:p>
        </w:tc>
        <w:tc>
          <w:tcPr>
            <w:tcW w:w="29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may yet be purchased under the</w:t>
            </w:r>
          </w:p>
        </w:tc>
        <w:tc>
          <w:tcPr>
            <w:tcW w:w="0" w:type="dxa"/>
            <w:vAlign w:val="bottom"/>
          </w:tcPr>
          <w:p>
            <w:pPr>
              <w:spacing w:after="0"/>
              <w:rPr>
                <w:sz w:val="1"/>
                <w:szCs w:val="1"/>
                <w:color w:val="auto"/>
              </w:rPr>
            </w:pPr>
          </w:p>
        </w:tc>
      </w:tr>
      <w:tr>
        <w:trPr>
          <w:trHeight w:val="239"/>
        </w:trPr>
        <w:tc>
          <w:tcPr>
            <w:tcW w:w="1680" w:type="dxa"/>
            <w:vAlign w:val="bottom"/>
          </w:tcPr>
          <w:p>
            <w:pPr>
              <w:jc w:val="right"/>
              <w:ind w:right="10"/>
              <w:spacing w:after="0"/>
              <w:rPr>
                <w:sz w:val="20"/>
                <w:szCs w:val="20"/>
                <w:color w:val="auto"/>
              </w:rPr>
            </w:pPr>
            <w:r>
              <w:rPr>
                <w:rFonts w:ascii="Arial" w:cs="Arial" w:eastAsia="Arial" w:hAnsi="Arial"/>
                <w:sz w:val="18"/>
                <w:szCs w:val="18"/>
                <w:color w:val="auto"/>
              </w:rPr>
              <w:t>shares purchased</w:t>
            </w:r>
          </w:p>
        </w:tc>
        <w:tc>
          <w:tcPr>
            <w:tcW w:w="16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w w:val="97"/>
              </w:rPr>
              <w:t>paid per share</w:t>
            </w:r>
          </w:p>
        </w:tc>
        <w:tc>
          <w:tcPr>
            <w:tcW w:w="2840" w:type="dxa"/>
            <w:vAlign w:val="bottom"/>
          </w:tcPr>
          <w:p>
            <w:pPr>
              <w:jc w:val="center"/>
              <w:spacing w:after="0"/>
              <w:rPr>
                <w:sz w:val="20"/>
                <w:szCs w:val="20"/>
                <w:color w:val="auto"/>
              </w:rPr>
            </w:pPr>
            <w:r>
              <w:rPr>
                <w:rFonts w:ascii="Arial" w:cs="Arial" w:eastAsia="Arial" w:hAnsi="Arial"/>
                <w:sz w:val="18"/>
                <w:szCs w:val="18"/>
                <w:color w:val="auto"/>
              </w:rPr>
              <w:t>program</w:t>
            </w:r>
          </w:p>
        </w:tc>
        <w:tc>
          <w:tcPr>
            <w:tcW w:w="180" w:type="dxa"/>
            <w:vAlign w:val="bottom"/>
          </w:tcPr>
          <w:p>
            <w:pPr>
              <w:spacing w:after="0"/>
              <w:rPr>
                <w:sz w:val="20"/>
                <w:szCs w:val="20"/>
                <w:color w:val="auto"/>
              </w:rPr>
            </w:pPr>
          </w:p>
        </w:tc>
        <w:tc>
          <w:tcPr>
            <w:tcW w:w="2940" w:type="dxa"/>
            <w:vAlign w:val="bottom"/>
          </w:tcPr>
          <w:p>
            <w:pPr>
              <w:jc w:val="center"/>
              <w:ind w:right="70"/>
              <w:spacing w:after="0"/>
              <w:rPr>
                <w:sz w:val="20"/>
                <w:szCs w:val="20"/>
                <w:color w:val="auto"/>
              </w:rPr>
            </w:pPr>
            <w:r>
              <w:rPr>
                <w:rFonts w:ascii="Arial" w:cs="Arial" w:eastAsia="Arial" w:hAnsi="Arial"/>
                <w:sz w:val="18"/>
                <w:szCs w:val="18"/>
                <w:color w:val="auto"/>
                <w:w w:val="99"/>
              </w:rPr>
              <w:t>program (thousands)</w:t>
            </w:r>
          </w:p>
        </w:tc>
        <w:tc>
          <w:tcPr>
            <w:tcW w:w="0" w:type="dxa"/>
            <w:vAlign w:val="bottom"/>
          </w:tcPr>
          <w:p>
            <w:pPr>
              <w:spacing w:after="0"/>
              <w:rPr>
                <w:sz w:val="1"/>
                <w:szCs w:val="1"/>
                <w:color w:val="auto"/>
              </w:rPr>
            </w:pPr>
          </w:p>
        </w:tc>
      </w:tr>
      <w:tr>
        <w:trPr>
          <w:trHeight w:val="427"/>
        </w:trPr>
        <w:tc>
          <w:tcPr>
            <w:tcW w:w="1680" w:type="dxa"/>
            <w:vAlign w:val="bottom"/>
          </w:tcPr>
          <w:p>
            <w:pPr>
              <w:jc w:val="right"/>
              <w:spacing w:after="0"/>
              <w:rPr>
                <w:sz w:val="20"/>
                <w:szCs w:val="20"/>
                <w:color w:val="auto"/>
              </w:rPr>
            </w:pPr>
            <w:r>
              <w:rPr>
                <w:rFonts w:ascii="Arial" w:cs="Arial" w:eastAsia="Arial" w:hAnsi="Arial"/>
                <w:sz w:val="18"/>
                <w:szCs w:val="18"/>
                <w:color w:val="auto"/>
              </w:rPr>
              <w:t>140,879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85.24</w:t>
            </w:r>
          </w:p>
        </w:tc>
        <w:tc>
          <w:tcPr>
            <w:tcW w:w="2840" w:type="dxa"/>
            <w:vAlign w:val="bottom"/>
          </w:tcPr>
          <w:p>
            <w:pPr>
              <w:jc w:val="right"/>
              <w:spacing w:after="0"/>
              <w:rPr>
                <w:sz w:val="20"/>
                <w:szCs w:val="20"/>
                <w:color w:val="auto"/>
              </w:rPr>
            </w:pPr>
            <w:r>
              <w:rPr>
                <w:rFonts w:ascii="Arial" w:cs="Arial" w:eastAsia="Arial" w:hAnsi="Arial"/>
                <w:sz w:val="18"/>
                <w:szCs w:val="18"/>
                <w:color w:val="auto"/>
              </w:rPr>
              <w:t>140,879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163,722</w:t>
            </w:r>
          </w:p>
        </w:tc>
        <w:tc>
          <w:tcPr>
            <w:tcW w:w="0" w:type="dxa"/>
            <w:vAlign w:val="bottom"/>
          </w:tcPr>
          <w:p>
            <w:pPr>
              <w:spacing w:after="0"/>
              <w:rPr>
                <w:sz w:val="1"/>
                <w:szCs w:val="1"/>
                <w:color w:val="auto"/>
              </w:rPr>
            </w:pPr>
          </w:p>
        </w:tc>
      </w:tr>
      <w:tr>
        <w:trPr>
          <w:trHeight w:val="418"/>
        </w:trPr>
        <w:tc>
          <w:tcPr>
            <w:tcW w:w="1680" w:type="dxa"/>
            <w:vAlign w:val="bottom"/>
          </w:tcPr>
          <w:p>
            <w:pPr>
              <w:jc w:val="right"/>
              <w:spacing w:after="0"/>
              <w:rPr>
                <w:sz w:val="20"/>
                <w:szCs w:val="20"/>
                <w:color w:val="auto"/>
              </w:rPr>
            </w:pPr>
            <w:r>
              <w:rPr>
                <w:rFonts w:ascii="Arial" w:cs="Arial" w:eastAsia="Arial" w:hAnsi="Arial"/>
                <w:sz w:val="18"/>
                <w:szCs w:val="18"/>
                <w:color w:val="auto"/>
              </w:rPr>
              <w:t>145,164</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86.29</w:t>
            </w:r>
          </w:p>
        </w:tc>
        <w:tc>
          <w:tcPr>
            <w:tcW w:w="2840" w:type="dxa"/>
            <w:vAlign w:val="bottom"/>
          </w:tcPr>
          <w:p>
            <w:pPr>
              <w:jc w:val="right"/>
              <w:spacing w:after="0"/>
              <w:rPr>
                <w:sz w:val="20"/>
                <w:szCs w:val="20"/>
                <w:color w:val="auto"/>
              </w:rPr>
            </w:pPr>
            <w:r>
              <w:rPr>
                <w:rFonts w:ascii="Arial" w:cs="Arial" w:eastAsia="Arial" w:hAnsi="Arial"/>
                <w:sz w:val="18"/>
                <w:szCs w:val="18"/>
                <w:color w:val="auto"/>
              </w:rPr>
              <w:t>145,164</w:t>
            </w:r>
          </w:p>
        </w:tc>
        <w:tc>
          <w:tcPr>
            <w:tcW w:w="1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151,244</w:t>
            </w:r>
          </w:p>
        </w:tc>
        <w:tc>
          <w:tcPr>
            <w:tcW w:w="0" w:type="dxa"/>
            <w:vAlign w:val="bottom"/>
          </w:tcPr>
          <w:p>
            <w:pPr>
              <w:spacing w:after="0"/>
              <w:rPr>
                <w:sz w:val="1"/>
                <w:szCs w:val="1"/>
                <w:color w:val="auto"/>
              </w:rPr>
            </w:pPr>
          </w:p>
        </w:tc>
      </w:tr>
      <w:tr>
        <w:trPr>
          <w:trHeight w:val="409"/>
        </w:trPr>
        <w:tc>
          <w:tcPr>
            <w:tcW w:w="1680" w:type="dxa"/>
            <w:vAlign w:val="bottom"/>
          </w:tcPr>
          <w:p>
            <w:pPr>
              <w:jc w:val="right"/>
              <w:spacing w:after="0"/>
              <w:rPr>
                <w:sz w:val="20"/>
                <w:szCs w:val="20"/>
                <w:color w:val="auto"/>
              </w:rPr>
            </w:pPr>
            <w:r>
              <w:rPr>
                <w:rFonts w:ascii="Arial" w:cs="Arial" w:eastAsia="Arial" w:hAnsi="Arial"/>
                <w:sz w:val="18"/>
                <w:szCs w:val="18"/>
                <w:color w:val="auto"/>
              </w:rPr>
              <w:t>228,643</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85.51</w:t>
            </w:r>
          </w:p>
        </w:tc>
        <w:tc>
          <w:tcPr>
            <w:tcW w:w="2840" w:type="dxa"/>
            <w:vAlign w:val="bottom"/>
          </w:tcPr>
          <w:p>
            <w:pPr>
              <w:jc w:val="right"/>
              <w:spacing w:after="0"/>
              <w:rPr>
                <w:sz w:val="20"/>
                <w:szCs w:val="20"/>
                <w:color w:val="auto"/>
              </w:rPr>
            </w:pPr>
            <w:r>
              <w:rPr>
                <w:rFonts w:ascii="Arial" w:cs="Arial" w:eastAsia="Arial" w:hAnsi="Arial"/>
                <w:sz w:val="18"/>
                <w:szCs w:val="18"/>
                <w:color w:val="auto"/>
              </w:rPr>
              <w:t>228,643</w:t>
            </w:r>
          </w:p>
        </w:tc>
        <w:tc>
          <w:tcPr>
            <w:tcW w:w="1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131,688</w:t>
            </w:r>
          </w:p>
        </w:tc>
        <w:tc>
          <w:tcPr>
            <w:tcW w:w="0" w:type="dxa"/>
            <w:vAlign w:val="bottom"/>
          </w:tcPr>
          <w:p>
            <w:pPr>
              <w:spacing w:after="0"/>
              <w:rPr>
                <w:sz w:val="1"/>
                <w:szCs w:val="1"/>
                <w:color w:val="auto"/>
              </w:rPr>
            </w:pPr>
          </w:p>
        </w:tc>
      </w:tr>
      <w:tr>
        <w:trPr>
          <w:trHeight w:val="229"/>
        </w:trPr>
        <w:tc>
          <w:tcPr>
            <w:tcW w:w="1680" w:type="dxa"/>
            <w:vAlign w:val="bottom"/>
          </w:tcPr>
          <w:p>
            <w:pPr>
              <w:jc w:val="right"/>
              <w:spacing w:after="0"/>
              <w:rPr>
                <w:sz w:val="20"/>
                <w:szCs w:val="20"/>
                <w:color w:val="auto"/>
              </w:rPr>
            </w:pPr>
            <w:r>
              <w:rPr>
                <w:rFonts w:ascii="Arial" w:cs="Arial" w:eastAsia="Arial" w:hAnsi="Arial"/>
                <w:sz w:val="18"/>
                <w:szCs w:val="18"/>
                <w:color w:val="auto"/>
              </w:rPr>
              <w:t>236,091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82.21</w:t>
            </w:r>
          </w:p>
        </w:tc>
        <w:tc>
          <w:tcPr>
            <w:tcW w:w="2840" w:type="dxa"/>
            <w:vAlign w:val="bottom"/>
          </w:tcPr>
          <w:p>
            <w:pPr>
              <w:jc w:val="right"/>
              <w:spacing w:after="0"/>
              <w:rPr>
                <w:sz w:val="20"/>
                <w:szCs w:val="20"/>
                <w:color w:val="auto"/>
              </w:rPr>
            </w:pPr>
            <w:r>
              <w:rPr>
                <w:rFonts w:ascii="Arial" w:cs="Arial" w:eastAsia="Arial" w:hAnsi="Arial"/>
                <w:sz w:val="18"/>
                <w:szCs w:val="18"/>
                <w:color w:val="auto"/>
              </w:rPr>
              <w:t>236,091</w:t>
            </w:r>
          </w:p>
        </w:tc>
        <w:tc>
          <w:tcPr>
            <w:tcW w:w="18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112,418</w:t>
            </w:r>
          </w:p>
        </w:tc>
        <w:tc>
          <w:tcPr>
            <w:tcW w:w="0" w:type="dxa"/>
            <w:vAlign w:val="bottom"/>
          </w:tcPr>
          <w:p>
            <w:pPr>
              <w:spacing w:after="0"/>
              <w:rPr>
                <w:sz w:val="1"/>
                <w:szCs w:val="1"/>
                <w:color w:val="auto"/>
              </w:rPr>
            </w:pPr>
          </w:p>
        </w:tc>
      </w:tr>
      <w:tr>
        <w:trPr>
          <w:trHeight w:val="239"/>
        </w:trPr>
        <w:tc>
          <w:tcPr>
            <w:tcW w:w="1680" w:type="dxa"/>
            <w:vAlign w:val="bottom"/>
          </w:tcPr>
          <w:p>
            <w:pPr>
              <w:jc w:val="right"/>
              <w:spacing w:after="0"/>
              <w:rPr>
                <w:sz w:val="20"/>
                <w:szCs w:val="20"/>
                <w:color w:val="auto"/>
              </w:rPr>
            </w:pPr>
            <w:r>
              <w:rPr>
                <w:rFonts w:ascii="Arial" w:cs="Arial" w:eastAsia="Arial" w:hAnsi="Arial"/>
                <w:sz w:val="18"/>
                <w:szCs w:val="18"/>
                <w:color w:val="auto"/>
              </w:rPr>
              <w:t>271,940</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80.98</w:t>
            </w:r>
          </w:p>
        </w:tc>
        <w:tc>
          <w:tcPr>
            <w:tcW w:w="2840" w:type="dxa"/>
            <w:vAlign w:val="bottom"/>
          </w:tcPr>
          <w:p>
            <w:pPr>
              <w:jc w:val="right"/>
              <w:spacing w:after="0"/>
              <w:rPr>
                <w:sz w:val="20"/>
                <w:szCs w:val="20"/>
                <w:color w:val="auto"/>
              </w:rPr>
            </w:pPr>
            <w:r>
              <w:rPr>
                <w:rFonts w:ascii="Arial" w:cs="Arial" w:eastAsia="Arial" w:hAnsi="Arial"/>
                <w:sz w:val="18"/>
                <w:szCs w:val="18"/>
                <w:color w:val="auto"/>
              </w:rPr>
              <w:t>271,940</w:t>
            </w:r>
          </w:p>
        </w:tc>
        <w:tc>
          <w:tcPr>
            <w:tcW w:w="18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90,561</w:t>
            </w:r>
          </w:p>
        </w:tc>
        <w:tc>
          <w:tcPr>
            <w:tcW w:w="0" w:type="dxa"/>
            <w:vAlign w:val="bottom"/>
          </w:tcPr>
          <w:p>
            <w:pPr>
              <w:spacing w:after="0"/>
              <w:rPr>
                <w:sz w:val="1"/>
                <w:szCs w:val="1"/>
                <w:color w:val="auto"/>
              </w:rPr>
            </w:pPr>
          </w:p>
        </w:tc>
      </w:tr>
      <w:tr>
        <w:trPr>
          <w:trHeight w:val="409"/>
        </w:trPr>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1,022,717</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90,587</w:t>
            </w:r>
          </w:p>
        </w:tc>
        <w:tc>
          <w:tcPr>
            <w:tcW w:w="0" w:type="dxa"/>
            <w:vAlign w:val="bottom"/>
          </w:tcPr>
          <w:p>
            <w:pPr>
              <w:spacing w:after="0"/>
              <w:rPr>
                <w:sz w:val="1"/>
                <w:szCs w:val="1"/>
                <w:color w:val="auto"/>
              </w:rPr>
            </w:pP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00" w:space="80"/>
            <w:col w:w="9260"/>
          </w:cols>
          <w:pgMar w:left="320" w:top="124" w:right="339" w:bottom="1440" w:gutter="0" w:footer="0" w:header="0"/>
          <w:type w:val="continuous"/>
        </w:sectPr>
      </w:pPr>
    </w:p>
    <w:p>
      <w:pPr>
        <w:spacing w:after="0" w:line="5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We purchased 1,308,003 shares of our Class A Common Stock since the Board repurchase authorization in 2021, 1,022,717 of which were purchased during the first nine months of 2022.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9980" w:type="dxa"/>
            <w:vAlign w:val="bottom"/>
            <w:gridSpan w:val="6"/>
          </w:tcPr>
          <w:p>
            <w:pPr>
              <w:spacing w:after="0"/>
              <w:rPr>
                <w:sz w:val="20"/>
                <w:szCs w:val="20"/>
                <w:color w:val="auto"/>
              </w:rPr>
            </w:pPr>
            <w:r>
              <w:rPr>
                <w:rFonts w:ascii="Arial" w:cs="Arial" w:eastAsia="Arial" w:hAnsi="Arial"/>
                <w:sz w:val="16"/>
                <w:szCs w:val="16"/>
                <w:color w:val="auto"/>
              </w:rPr>
              <w:t>Description</w:t>
            </w:r>
          </w:p>
        </w:tc>
      </w:tr>
      <w:tr>
        <w:trPr>
          <w:trHeight w:val="197"/>
        </w:trPr>
        <w:tc>
          <w:tcPr>
            <w:tcW w:w="12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31.1</w:t>
            </w:r>
          </w:p>
        </w:tc>
        <w:tc>
          <w:tcPr>
            <w:tcW w:w="7280" w:type="dxa"/>
            <w:vAlign w:val="bottom"/>
            <w:tcBorders>
              <w:bottom w:val="single" w:sz="8" w:color="0000FF"/>
            </w:tcBorders>
            <w:gridSpan w:val="4"/>
            <w:shd w:val="clear" w:color="auto" w:fill="CCEEFF"/>
          </w:tcPr>
          <w:p>
            <w:pPr>
              <w:spacing w:after="0" w:line="177" w:lineRule="exact"/>
              <w:rPr>
                <w:sz w:val="20"/>
                <w:szCs w:val="20"/>
                <w:color w:val="auto"/>
              </w:rPr>
            </w:pPr>
            <w:r>
              <w:rPr>
                <w:rFonts w:ascii="Arial" w:cs="Arial" w:eastAsia="Arial" w:hAnsi="Arial"/>
                <w:sz w:val="16"/>
                <w:szCs w:val="16"/>
                <w:color w:val="0000FF"/>
              </w:rPr>
              <w:t>Certification of the Chief Executive Officer pursuant to Rule 13a-14(a)/15d-14(a) of the Exchange Act.</w:t>
            </w:r>
          </w:p>
        </w:tc>
        <w:tc>
          <w:tcPr>
            <w:tcW w:w="270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80" w:type="dxa"/>
            <w:vAlign w:val="bottom"/>
            <w:gridSpan w:val="6"/>
          </w:tcPr>
          <w:p>
            <w:pPr>
              <w:spacing w:after="0" w:line="175" w:lineRule="exact"/>
              <w:rPr>
                <w:sz w:val="20"/>
                <w:szCs w:val="20"/>
                <w:color w:val="auto"/>
              </w:rPr>
            </w:pPr>
            <w:r>
              <w:rPr>
                <w:rFonts w:ascii="Arial" w:cs="Arial" w:eastAsia="Arial" w:hAnsi="Arial"/>
                <w:sz w:val="16"/>
                <w:szCs w:val="16"/>
                <w:color w:val="0000FF"/>
              </w:rPr>
              <w:t>Certification of the Chief Financial Officer pursuant to Rule 13a-14(a)/15d-14(a) of the Exchange Act.</w:t>
            </w:r>
          </w:p>
        </w:tc>
      </w:tr>
      <w:tr>
        <w:trPr>
          <w:trHeight w:val="21"/>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2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32.1</w:t>
            </w:r>
          </w:p>
        </w:tc>
        <w:tc>
          <w:tcPr>
            <w:tcW w:w="9980" w:type="dxa"/>
            <w:vAlign w:val="bottom"/>
            <w:gridSpan w:val="6"/>
            <w:shd w:val="clear" w:color="auto" w:fill="CCEEFF"/>
          </w:tcPr>
          <w:p>
            <w:pPr>
              <w:spacing w:after="0" w:line="175" w:lineRule="exact"/>
              <w:rPr>
                <w:sz w:val="20"/>
                <w:szCs w:val="20"/>
                <w:color w:val="auto"/>
              </w:rPr>
            </w:pPr>
            <w:r>
              <w:rPr>
                <w:rFonts w:ascii="Arial" w:cs="Arial" w:eastAsia="Arial" w:hAnsi="Arial"/>
                <w:sz w:val="16"/>
                <w:szCs w:val="16"/>
                <w:color w:val="0000FF"/>
              </w:rPr>
              <w:t>Certification pursuant to Section 906 of the Sarbanes-Oxley Act of 2002 (Subsections (a) and (b) of Section 1350, Chapter 63 of Title 18,</w:t>
            </w:r>
          </w:p>
        </w:tc>
      </w:tr>
      <w:tr>
        <w:trPr>
          <w:trHeight w:val="163"/>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0000FF"/>
              <w:bottom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United States Code).</w:t>
            </w:r>
          </w:p>
        </w:tc>
        <w:tc>
          <w:tcPr>
            <w:tcW w:w="826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99.1</w:t>
            </w:r>
          </w:p>
        </w:tc>
        <w:tc>
          <w:tcPr>
            <w:tcW w:w="9980" w:type="dxa"/>
            <w:vAlign w:val="bottom"/>
            <w:gridSpan w:val="6"/>
          </w:tcPr>
          <w:p>
            <w:pPr>
              <w:spacing w:after="0" w:line="175" w:lineRule="exact"/>
              <w:rPr>
                <w:sz w:val="20"/>
                <w:szCs w:val="20"/>
                <w:color w:val="auto"/>
              </w:rPr>
            </w:pPr>
            <w:r>
              <w:rPr>
                <w:rFonts w:ascii="Arial" w:cs="Arial" w:eastAsia="Arial" w:hAnsi="Arial"/>
                <w:sz w:val="16"/>
                <w:szCs w:val="16"/>
                <w:color w:val="0000FF"/>
              </w:rPr>
              <w:t>Quantitative and qualitative disclosures about market risks as reported at September 30, 2022.</w:t>
            </w:r>
          </w:p>
        </w:tc>
      </w:tr>
      <w:tr>
        <w:trPr>
          <w:trHeight w:val="21"/>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2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2"/>
        </w:trPr>
        <w:tc>
          <w:tcPr>
            <w:tcW w:w="12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101.INS</w:t>
            </w:r>
          </w:p>
        </w:tc>
        <w:tc>
          <w:tcPr>
            <w:tcW w:w="9980" w:type="dxa"/>
            <w:vAlign w:val="bottom"/>
            <w:gridSpan w:val="6"/>
            <w:shd w:val="clear" w:color="auto" w:fill="CCEEFF"/>
          </w:tcPr>
          <w:p>
            <w:pPr>
              <w:spacing w:after="0" w:line="162"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216"/>
        </w:trPr>
        <w:tc>
          <w:tcPr>
            <w:tcW w:w="126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within the Inline XBRL document.</w:t>
            </w:r>
          </w:p>
        </w:tc>
      </w:tr>
      <w:tr>
        <w:trPr>
          <w:trHeight w:val="215"/>
        </w:trPr>
        <w:tc>
          <w:tcPr>
            <w:tcW w:w="1260" w:type="dxa"/>
            <w:vAlign w:val="bottom"/>
          </w:tcPr>
          <w:p>
            <w:pPr>
              <w:ind w:left="20"/>
              <w:spacing w:after="0"/>
              <w:rPr>
                <w:sz w:val="20"/>
                <w:szCs w:val="20"/>
                <w:color w:val="auto"/>
              </w:rPr>
            </w:pPr>
            <w:r>
              <w:rPr>
                <w:rFonts w:ascii="Arial" w:cs="Arial" w:eastAsia="Arial" w:hAnsi="Arial"/>
                <w:sz w:val="16"/>
                <w:szCs w:val="16"/>
                <w:color w:val="auto"/>
              </w:rPr>
              <w:t>101.SCH</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7"/>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5"/>
        </w:trPr>
        <w:tc>
          <w:tcPr>
            <w:tcW w:w="1260" w:type="dxa"/>
            <w:vAlign w:val="bottom"/>
          </w:tcPr>
          <w:p>
            <w:pPr>
              <w:ind w:left="20"/>
              <w:spacing w:after="0"/>
              <w:rPr>
                <w:sz w:val="20"/>
                <w:szCs w:val="20"/>
                <w:color w:val="auto"/>
              </w:rPr>
            </w:pPr>
            <w:r>
              <w:rPr>
                <w:rFonts w:ascii="Arial" w:cs="Arial" w:eastAsia="Arial" w:hAnsi="Arial"/>
                <w:sz w:val="16"/>
                <w:szCs w:val="16"/>
                <w:color w:val="auto"/>
              </w:rPr>
              <w:t>101.DEF</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7"/>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5"/>
        </w:trPr>
        <w:tc>
          <w:tcPr>
            <w:tcW w:w="1260" w:type="dxa"/>
            <w:vAlign w:val="bottom"/>
          </w:tcPr>
          <w:p>
            <w:pPr>
              <w:ind w:left="20"/>
              <w:spacing w:after="0"/>
              <w:rPr>
                <w:sz w:val="20"/>
                <w:szCs w:val="20"/>
                <w:color w:val="auto"/>
              </w:rPr>
            </w:pPr>
            <w:r>
              <w:rPr>
                <w:rFonts w:ascii="Arial" w:cs="Arial" w:eastAsia="Arial" w:hAnsi="Arial"/>
                <w:sz w:val="16"/>
                <w:szCs w:val="16"/>
                <w:color w:val="auto"/>
              </w:rPr>
              <w:t>101.PRE</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7"/>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r>
        <w:trPr>
          <w:trHeight w:val="1006"/>
        </w:trPr>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282"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October 25, 2022</w:t>
      </w:r>
      <w:r>
        <w:rPr>
          <w:sz w:val="20"/>
          <w:szCs w:val="20"/>
          <w:color w:val="auto"/>
        </w:rPr>
        <w:tab/>
      </w:r>
      <w:r>
        <w:rPr>
          <w:rFonts w:ascii="Arial" w:cs="Arial" w:eastAsia="Arial" w:hAnsi="Arial"/>
          <w:sz w:val="16"/>
          <w:szCs w:val="16"/>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20955</wp:posOffset>
            </wp:positionV>
            <wp:extent cx="41065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Stephen M. Nolan</w:t>
      </w:r>
    </w:p>
    <w:p>
      <w:pPr>
        <w:ind w:left="4560"/>
        <w:spacing w:after="0" w:line="211" w:lineRule="auto"/>
        <w:rPr>
          <w:sz w:val="20"/>
          <w:szCs w:val="20"/>
          <w:color w:val="auto"/>
        </w:rPr>
      </w:pPr>
      <w:r>
        <w:rPr>
          <w:rFonts w:ascii="Arial" w:cs="Arial" w:eastAsia="Arial" w:hAnsi="Arial"/>
          <w:sz w:val="16"/>
          <w:szCs w:val="16"/>
          <w:color w:val="auto"/>
        </w:rPr>
        <w:t>Chief Financial Officer and Treasurer</w:t>
      </w:r>
    </w:p>
    <w:p>
      <w:pPr>
        <w:ind w:left="45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20"/>
          </w:cols>
          <w:pgMar w:left="320" w:top="124"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1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October 25, 2022</w:t>
      </w:r>
      <w:r>
        <w:rPr>
          <w:sz w:val="20"/>
          <w:szCs w:val="20"/>
          <w:color w:val="auto"/>
        </w:rPr>
        <w:tab/>
      </w:r>
      <w:r>
        <w:rPr>
          <w:rFonts w:ascii="Arial" w:cs="Arial" w:eastAsia="Arial" w:hAnsi="Arial"/>
          <w:sz w:val="18"/>
          <w:szCs w:val="18"/>
          <w:color w:val="auto"/>
        </w:rPr>
        <w:t>By</w:t>
        <w:tab/>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William Higgins</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11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October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Stephen M. Nolan</w:t>
      </w:r>
    </w:p>
    <w:p>
      <w:pPr>
        <w:ind w:left="4620"/>
        <w:spacing w:after="0" w:line="203" w:lineRule="auto"/>
        <w:rPr>
          <w:sz w:val="20"/>
          <w:szCs w:val="20"/>
          <w:color w:val="auto"/>
        </w:rPr>
      </w:pPr>
      <w:r>
        <w:rPr>
          <w:rFonts w:ascii="Arial" w:cs="Arial" w:eastAsia="Arial" w:hAnsi="Arial"/>
          <w:sz w:val="18"/>
          <w:szCs w:val="18"/>
          <w:color w:val="auto"/>
        </w:rPr>
        <w:t>Chief Financial Officer and Treasurer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2022, as filed with the Securities and Exchange Commission on the date hereof (the Report), A. William Higgins, President and Chief Executive Officer, and Stephen M. Nolan, Chief Financial Officer and Treasurer of the Company, certify, pursuant to 18 U.S.C. § 1350, as adopted pursuant to §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2"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October 25, 2022</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William Higgins</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Stephen M. Nolan</w:t>
      </w:r>
    </w:p>
    <w:p>
      <w:pPr>
        <w:ind w:left="4880"/>
        <w:spacing w:after="0" w:line="203" w:lineRule="auto"/>
        <w:rPr>
          <w:sz w:val="20"/>
          <w:szCs w:val="20"/>
          <w:color w:val="auto"/>
        </w:rPr>
      </w:pPr>
      <w:r>
        <w:rPr>
          <w:rFonts w:ascii="Arial" w:cs="Arial" w:eastAsia="Arial" w:hAnsi="Arial"/>
          <w:sz w:val="18"/>
          <w:szCs w:val="18"/>
          <w:color w:val="auto"/>
        </w:rPr>
        <w:t>Chief Financial Officer and Treasurer</w:t>
      </w:r>
    </w:p>
    <w:p>
      <w:pP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September 30, 2022</w:t>
      </w:r>
    </w:p>
    <w:p>
      <w:pPr>
        <w:spacing w:after="0" w:line="234"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$653.1 million. The potential loss in fair value resulting from a hypothetical 10% adverse change in quoted foreign currency exchange rates amounts to $65.3 million. Furthermore, related to foreign currency transactions, we have exposure to various nonfunctional currency balances totaling $133.5 million. This amount includes, on an absolute basis, exposures to assets and liabilities held in currencies other than our local entity’s functional currency. On a net basis, we had $111.7 million of foreign currency assets as of September 30, 2022. As currency rates change, these nonfunctional currency balances are revalued, and the corresponding adjustment is recorded in the income statement. A hypothetical change of 10% in currency rates could result in an adjustment to the income statement of approximately $11.2 million. Actual results may differ.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2022,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tbl>
      <w:tblPr>
        <w:tblLayout w:type="fixed"/>
        <w:tblInd w:w="0" w:type="dxa"/>
        <w:tblCellMar>
          <w:top w:w="0" w:type="dxa"/>
          <w:left w:w="0" w:type="dxa"/>
          <w:bottom w:w="0" w:type="dxa"/>
          <w:right w:w="0" w:type="dxa"/>
        </w:tblCellMar>
      </w:tblPr>
      <w:tr>
        <w:trPr>
          <w:trHeight w:val="200"/>
        </w:trPr>
        <w:tc>
          <w:tcPr>
            <w:tcW w:w="9120" w:type="dxa"/>
            <w:vAlign w:val="bottom"/>
            <w:shd w:val="clear" w:color="auto" w:fill="BFE4FF"/>
          </w:tcPr>
          <w:p>
            <w:pPr>
              <w:ind w:left="20"/>
              <w:spacing w:after="0" w:line="200"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w:t>
            </w:r>
          </w:p>
        </w:tc>
        <w:tc>
          <w:tcPr>
            <w:tcW w:w="2120" w:type="dxa"/>
            <w:vAlign w:val="bottom"/>
            <w:vMerge w:val="restart"/>
            <w:shd w:val="clear" w:color="auto" w:fill="BFE4FF"/>
          </w:tcPr>
          <w:p>
            <w:pPr>
              <w:jc w:val="right"/>
              <w:ind w:right="710"/>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43"/>
        </w:trPr>
        <w:tc>
          <w:tcPr>
            <w:tcW w:w="9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4.38% in 2022, due in 2024</w:t>
            </w:r>
          </w:p>
        </w:tc>
        <w:tc>
          <w:tcPr>
            <w:tcW w:w="2120" w:type="dxa"/>
            <w:vAlign w:val="bottom"/>
            <w:tcBorders>
              <w:bottom w:val="single" w:sz="8" w:color="auto"/>
            </w:tcBorders>
            <w:vMerge w:val="continue"/>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$1.0 million. To manage interest rate risk, we may periodically enter into interest rate swap agreements to effectively fix the interest rates on variable debt to a specific rate for a period of time. (See Note 13 to the Consolidated Financial Statements in Item 1, which is incorporated herein by reference).</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decimal"/>
      <w:start w:val="15"/>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lvl w:ilvl="1">
      <w:lvlJc w:val="left"/>
      <w:lvlText w:val="•"/>
      <w:numFmt w:val="bullet"/>
      <w:start w:val="1"/>
    </w:lvl>
  </w:abstractNum>
  <w:abstractNum w:abstractNumId="10">
    <w:nsid w:val="519B500D"/>
    <w:multiLevelType w:val="hybridMultilevel"/>
    <w:lvl w:ilvl="0">
      <w:lvlJc w:val="left"/>
      <w:lvlText w:val="•"/>
      <w:numFmt w:val="bullet"/>
      <w:start w:val="1"/>
    </w:lvl>
    <w:lvl w:ilvl="1">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3"/>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2022-10-25T09:18:56Z</dcterms:created>
  <dcterms:modified xsi:type="dcterms:W3CDTF">2022-10-25T09:18:56Z</dcterms:modified>
</cp:coreProperties>
</file>