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8" w:lineRule="exact"/>
        <w:rPr>
          <w:sz w:val="24"/>
          <w:szCs w:val="24"/>
          <w:color w:val="auto"/>
        </w:rPr>
      </w:pPr>
    </w:p>
    <w:p>
      <w:pPr>
        <w:ind w:left="360"/>
        <w:spacing w:after="0"/>
        <w:tabs>
          <w:tab w:leader="none" w:pos="342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June 30, 2020</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8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24765</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80010</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3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71755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33"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80010</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80010</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71755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6"/>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36"/>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1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60"/>
          </w:cols>
          <w:pgMar w:left="320" w:top="1338" w:right="319" w:bottom="0" w:gutter="0" w:footer="0" w:header="0"/>
        </w:sectPr>
      </w:pPr>
    </w:p>
    <w:bookmarkStart w:id="1" w:name="page2"/>
    <w:bookmarkEnd w:id="1"/>
    <w:p>
      <w:pPr>
        <w:spacing w:after="0" w:line="260"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July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Page</w:t>
            </w:r>
          </w:p>
        </w:tc>
      </w:tr>
      <w:tr>
        <w:trPr>
          <w:trHeight w:val="228"/>
        </w:trPr>
        <w:tc>
          <w:tcPr>
            <w:tcW w:w="760" w:type="dxa"/>
            <w:vAlign w:val="bottom"/>
            <w:tcBorders>
              <w:bottom w:val="single" w:sz="8" w:color="B2B2B2"/>
            </w:tcBorders>
          </w:tcPr>
          <w:p>
            <w:pPr>
              <w:spacing w:after="0"/>
              <w:rPr>
                <w:sz w:val="19"/>
                <w:szCs w:val="19"/>
                <w:color w:val="auto"/>
              </w:rPr>
            </w:pPr>
          </w:p>
        </w:tc>
        <w:tc>
          <w:tcPr>
            <w:tcW w:w="2660" w:type="dxa"/>
            <w:vAlign w:val="bottom"/>
            <w:tcBorders>
              <w:bottom w:val="single" w:sz="8" w:color="B2B2B2"/>
            </w:tcBorders>
          </w:tcPr>
          <w:p>
            <w:pPr>
              <w:spacing w:after="0"/>
              <w:rPr>
                <w:sz w:val="19"/>
                <w:szCs w:val="19"/>
                <w:color w:val="auto"/>
              </w:rPr>
            </w:pPr>
          </w:p>
        </w:tc>
        <w:tc>
          <w:tcPr>
            <w:tcW w:w="14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62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420" w:type="dxa"/>
            <w:vAlign w:val="bottom"/>
            <w:tcBorders>
              <w:bottom w:val="single" w:sz="8" w:color="B2B2B2"/>
            </w:tcBorders>
          </w:tcPr>
          <w:p>
            <w:pPr>
              <w:spacing w:after="0"/>
              <w:rPr>
                <w:sz w:val="19"/>
                <w:szCs w:val="19"/>
                <w:color w:val="auto"/>
              </w:rPr>
            </w:pPr>
          </w:p>
        </w:tc>
        <w:tc>
          <w:tcPr>
            <w:tcW w:w="42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52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62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1620" w:type="dxa"/>
            <w:vAlign w:val="bottom"/>
            <w:tcBorders>
              <w:bottom w:val="single" w:sz="8" w:color="B2B2B2"/>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No.</w:t>
            </w:r>
          </w:p>
        </w:tc>
      </w:tr>
      <w:tr>
        <w:trPr>
          <w:trHeight w:val="229"/>
        </w:trPr>
        <w:tc>
          <w:tcPr>
            <w:tcW w:w="10600" w:type="dxa"/>
            <w:vAlign w:val="bottom"/>
            <w:gridSpan w:val="22"/>
            <w:shd w:val="clear" w:color="auto" w:fill="B2B2B2"/>
          </w:tcPr>
          <w:p>
            <w:pPr>
              <w:ind w:left="20"/>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640" w:type="dxa"/>
            <w:vAlign w:val="bottom"/>
            <w:shd w:val="clear" w:color="auto" w:fill="B2B2B2"/>
          </w:tcPr>
          <w:p>
            <w:pPr>
              <w:spacing w:after="0"/>
              <w:rPr>
                <w:sz w:val="19"/>
                <w:szCs w:val="19"/>
                <w:color w:val="auto"/>
              </w:rPr>
            </w:pPr>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Financial Statements</w:t>
              </w:r>
            </w:hyperlink>
          </w:p>
        </w:tc>
        <w:tc>
          <w:tcPr>
            <w:tcW w:w="640" w:type="dxa"/>
            <w:vAlign w:val="bottom"/>
          </w:tcPr>
          <w:p>
            <w:pPr>
              <w:spacing w:after="0"/>
              <w:rPr>
                <w:sz w:val="20"/>
                <w:szCs w:val="20"/>
                <w:color w:val="auto"/>
              </w:rPr>
            </w:pPr>
          </w:p>
        </w:tc>
      </w:tr>
      <w:tr>
        <w:trPr>
          <w:trHeight w:val="199"/>
        </w:trPr>
        <w:tc>
          <w:tcPr>
            <w:tcW w:w="760" w:type="dxa"/>
            <w:vAlign w:val="bottom"/>
            <w:shd w:val="clear" w:color="auto" w:fill="B2B2B2"/>
          </w:tcPr>
          <w:p>
            <w:pPr>
              <w:spacing w:after="0"/>
              <w:rPr>
                <w:sz w:val="17"/>
                <w:szCs w:val="17"/>
                <w:color w:val="auto"/>
              </w:rPr>
            </w:pPr>
          </w:p>
        </w:tc>
        <w:tc>
          <w:tcPr>
            <w:tcW w:w="9840" w:type="dxa"/>
            <w:vAlign w:val="bottom"/>
            <w:gridSpan w:val="21"/>
            <w:shd w:val="clear" w:color="auto" w:fill="B2B2B2"/>
          </w:tcPr>
          <w:p>
            <w:pPr>
              <w:ind w:left="140"/>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Consolidated statements of income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tc>
      </w:tr>
      <w:tr>
        <w:trPr>
          <w:trHeight w:val="34"/>
        </w:trPr>
        <w:tc>
          <w:tcPr>
            <w:tcW w:w="760" w:type="dxa"/>
            <w:vAlign w:val="bottom"/>
            <w:tcBorders>
              <w:top w:val="single" w:sz="8" w:color="B2B2B2"/>
            </w:tcBorders>
            <w:shd w:val="clear" w:color="auto" w:fill="B2B2B2"/>
          </w:tcPr>
          <w:p>
            <w:pPr>
              <w:spacing w:after="0"/>
              <w:rPr>
                <w:sz w:val="2"/>
                <w:szCs w:val="2"/>
                <w:color w:val="auto"/>
              </w:rPr>
            </w:pPr>
          </w:p>
        </w:tc>
        <w:tc>
          <w:tcPr>
            <w:tcW w:w="26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auto"/>
            </w:tcBorders>
            <w:shd w:val="clear" w:color="auto" w:fill="B2B2B2"/>
          </w:tcPr>
          <w:p>
            <w:pPr>
              <w:spacing w:after="0"/>
              <w:rPr>
                <w:sz w:val="2"/>
                <w:szCs w:val="2"/>
                <w:color w:val="auto"/>
              </w:rPr>
            </w:pPr>
          </w:p>
        </w:tc>
        <w:tc>
          <w:tcPr>
            <w:tcW w:w="620" w:type="dxa"/>
            <w:vAlign w:val="bottom"/>
            <w:tcBorders>
              <w:top w:val="single" w:sz="8" w:color="auto"/>
            </w:tcBorders>
            <w:shd w:val="clear" w:color="auto" w:fill="B2B2B2"/>
          </w:tcPr>
          <w:p>
            <w:pPr>
              <w:spacing w:after="0"/>
              <w:rPr>
                <w:sz w:val="2"/>
                <w:szCs w:val="2"/>
                <w:color w:val="auto"/>
              </w:rPr>
            </w:pPr>
          </w:p>
        </w:tc>
        <w:tc>
          <w:tcPr>
            <w:tcW w:w="40" w:type="dxa"/>
            <w:vAlign w:val="bottom"/>
            <w:tcBorders>
              <w:top w:val="single" w:sz="8" w:color="auto"/>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auto"/>
            </w:tcBorders>
            <w:shd w:val="clear" w:color="auto" w:fill="B2B2B2"/>
          </w:tcPr>
          <w:p>
            <w:pPr>
              <w:spacing w:after="0"/>
              <w:rPr>
                <w:sz w:val="2"/>
                <w:szCs w:val="2"/>
                <w:color w:val="auto"/>
              </w:rPr>
            </w:pPr>
          </w:p>
        </w:tc>
        <w:tc>
          <w:tcPr>
            <w:tcW w:w="220" w:type="dxa"/>
            <w:vAlign w:val="bottom"/>
            <w:tcBorders>
              <w:top w:val="single" w:sz="8" w:color="auto"/>
            </w:tcBorders>
            <w:shd w:val="clear" w:color="auto" w:fill="B2B2B2"/>
          </w:tcPr>
          <w:p>
            <w:pPr>
              <w:spacing w:after="0"/>
              <w:rPr>
                <w:sz w:val="2"/>
                <w:szCs w:val="2"/>
                <w:color w:val="auto"/>
              </w:rPr>
            </w:pPr>
          </w:p>
        </w:tc>
        <w:tc>
          <w:tcPr>
            <w:tcW w:w="520" w:type="dxa"/>
            <w:vAlign w:val="bottom"/>
            <w:tcBorders>
              <w:top w:val="single" w:sz="8" w:color="auto"/>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auto"/>
            </w:tcBorders>
            <w:shd w:val="clear" w:color="auto" w:fill="B2B2B2"/>
          </w:tcPr>
          <w:p>
            <w:pPr>
              <w:spacing w:after="0"/>
              <w:rPr>
                <w:sz w:val="2"/>
                <w:szCs w:val="2"/>
                <w:color w:val="auto"/>
              </w:rPr>
            </w:pPr>
          </w:p>
        </w:tc>
        <w:tc>
          <w:tcPr>
            <w:tcW w:w="40" w:type="dxa"/>
            <w:vAlign w:val="bottom"/>
            <w:tcBorders>
              <w:top w:val="single" w:sz="8" w:color="auto"/>
            </w:tcBorders>
            <w:shd w:val="clear" w:color="auto" w:fill="B2B2B2"/>
          </w:tcPr>
          <w:p>
            <w:pPr>
              <w:spacing w:after="0"/>
              <w:rPr>
                <w:sz w:val="2"/>
                <w:szCs w:val="2"/>
                <w:color w:val="auto"/>
              </w:rPr>
            </w:pPr>
          </w:p>
        </w:tc>
        <w:tc>
          <w:tcPr>
            <w:tcW w:w="80" w:type="dxa"/>
            <w:vAlign w:val="bottom"/>
            <w:tcBorders>
              <w:top w:val="single" w:sz="8" w:color="auto"/>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6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620" w:type="dxa"/>
            <w:vAlign w:val="bottom"/>
            <w:tcBorders>
              <w:top w:val="single" w:sz="8" w:color="B2B2B2"/>
            </w:tcBorders>
            <w:shd w:val="clear" w:color="auto" w:fill="B2B2B2"/>
          </w:tcPr>
          <w:p>
            <w:pPr>
              <w:spacing w:after="0"/>
              <w:rPr>
                <w:sz w:val="2"/>
                <w:szCs w:val="2"/>
                <w:color w:val="auto"/>
              </w:rPr>
            </w:pPr>
          </w:p>
        </w:tc>
        <w:tc>
          <w:tcPr>
            <w:tcW w:w="640" w:type="dxa"/>
            <w:vAlign w:val="bottom"/>
            <w:tcBorders>
              <w:top w:val="single" w:sz="8" w:color="B2B2B2"/>
            </w:tcBorders>
            <w:shd w:val="clear" w:color="auto" w:fill="B2B2B2"/>
          </w:tcPr>
          <w:p>
            <w:pPr>
              <w:spacing w:after="0"/>
              <w:rPr>
                <w:sz w:val="2"/>
                <w:szCs w:val="2"/>
                <w:color w:val="auto"/>
              </w:rPr>
            </w:pPr>
          </w:p>
        </w:tc>
      </w:tr>
      <w:tr>
        <w:trPr>
          <w:trHeight w:val="189"/>
        </w:trPr>
        <w:tc>
          <w:tcPr>
            <w:tcW w:w="760" w:type="dxa"/>
            <w:vAlign w:val="bottom"/>
          </w:tcPr>
          <w:p>
            <w:pPr>
              <w:spacing w:after="0"/>
              <w:rPr>
                <w:sz w:val="16"/>
                <w:szCs w:val="16"/>
                <w:color w:val="auto"/>
              </w:rPr>
            </w:pPr>
          </w:p>
        </w:tc>
        <w:tc>
          <w:tcPr>
            <w:tcW w:w="9840" w:type="dxa"/>
            <w:vAlign w:val="bottom"/>
            <w:gridSpan w:val="21"/>
          </w:tcPr>
          <w:p>
            <w:pPr>
              <w:ind w:left="140"/>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Consolidated statements of comprehensive income/(loss) –</w:t>
              </w:r>
              <w:r>
                <w:rPr>
                  <w:rFonts w:ascii="Arial" w:cs="Arial" w:eastAsia="Arial" w:hAnsi="Arial"/>
                  <w:sz w:val="16"/>
                  <w:szCs w:val="16"/>
                  <w:color w:val="0000FF"/>
                </w:rPr>
                <w:t xml:space="preserve">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34"/>
        </w:trPr>
        <w:tc>
          <w:tcPr>
            <w:tcW w:w="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60" w:type="dxa"/>
            <w:vAlign w:val="bottom"/>
            <w:shd w:val="clear" w:color="auto" w:fill="B2B2B2"/>
          </w:tcPr>
          <w:p>
            <w:pPr>
              <w:spacing w:after="0"/>
              <w:rPr>
                <w:sz w:val="16"/>
                <w:szCs w:val="16"/>
                <w:color w:val="auto"/>
              </w:rPr>
            </w:pPr>
          </w:p>
        </w:tc>
        <w:tc>
          <w:tcPr>
            <w:tcW w:w="9840" w:type="dxa"/>
            <w:vAlign w:val="bottom"/>
            <w:gridSpan w:val="21"/>
            <w:shd w:val="clear" w:color="auto" w:fill="B2B2B2"/>
          </w:tcPr>
          <w:p>
            <w:pPr>
              <w:ind w:left="140"/>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Consolidated balance sheets as of</w:t>
              </w:r>
              <w:r>
                <w:rPr>
                  <w:rFonts w:ascii="Arial" w:cs="Arial" w:eastAsia="Arial" w:hAnsi="Arial"/>
                  <w:sz w:val="16"/>
                  <w:szCs w:val="16"/>
                  <w:color w:val="0000FF"/>
                </w:rPr>
                <w:t xml:space="preserve">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5">
              <w:r>
                <w:rPr>
                  <w:rFonts w:ascii="Arial" w:cs="Arial" w:eastAsia="Arial" w:hAnsi="Arial"/>
                  <w:sz w:val="16"/>
                  <w:szCs w:val="16"/>
                  <w:u w:val="single" w:color="auto"/>
                  <w:color w:val="0000FF"/>
                </w:rPr>
                <w:t>and December 31, 2019</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34"/>
        </w:trPr>
        <w:tc>
          <w:tcPr>
            <w:tcW w:w="760" w:type="dxa"/>
            <w:vAlign w:val="bottom"/>
            <w:tcBorders>
              <w:top w:val="single" w:sz="8" w:color="B2B2B2"/>
            </w:tcBorders>
            <w:shd w:val="clear" w:color="auto" w:fill="B2B2B2"/>
          </w:tcPr>
          <w:p>
            <w:pPr>
              <w:spacing w:after="0"/>
              <w:rPr>
                <w:sz w:val="2"/>
                <w:szCs w:val="2"/>
                <w:color w:val="auto"/>
              </w:rPr>
            </w:pPr>
          </w:p>
        </w:tc>
        <w:tc>
          <w:tcPr>
            <w:tcW w:w="26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auto"/>
            </w:tcBorders>
            <w:shd w:val="clear" w:color="auto" w:fill="B2B2B2"/>
          </w:tcPr>
          <w:p>
            <w:pPr>
              <w:spacing w:after="0"/>
              <w:rPr>
                <w:sz w:val="2"/>
                <w:szCs w:val="2"/>
                <w:color w:val="auto"/>
              </w:rPr>
            </w:pPr>
          </w:p>
        </w:tc>
        <w:tc>
          <w:tcPr>
            <w:tcW w:w="280" w:type="dxa"/>
            <w:vAlign w:val="bottom"/>
            <w:tcBorders>
              <w:top w:val="single" w:sz="8" w:color="auto"/>
            </w:tcBorders>
            <w:shd w:val="clear" w:color="auto" w:fill="B2B2B2"/>
          </w:tcPr>
          <w:p>
            <w:pPr>
              <w:spacing w:after="0"/>
              <w:rPr>
                <w:sz w:val="2"/>
                <w:szCs w:val="2"/>
                <w:color w:val="auto"/>
              </w:rPr>
            </w:pPr>
          </w:p>
        </w:tc>
        <w:tc>
          <w:tcPr>
            <w:tcW w:w="620" w:type="dxa"/>
            <w:vAlign w:val="bottom"/>
            <w:tcBorders>
              <w:top w:val="single" w:sz="8" w:color="auto"/>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6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620" w:type="dxa"/>
            <w:vAlign w:val="bottom"/>
            <w:tcBorders>
              <w:top w:val="single" w:sz="8" w:color="B2B2B2"/>
            </w:tcBorders>
            <w:shd w:val="clear" w:color="auto" w:fill="B2B2B2"/>
          </w:tcPr>
          <w:p>
            <w:pPr>
              <w:spacing w:after="0"/>
              <w:rPr>
                <w:sz w:val="2"/>
                <w:szCs w:val="2"/>
                <w:color w:val="auto"/>
              </w:rPr>
            </w:pPr>
          </w:p>
        </w:tc>
        <w:tc>
          <w:tcPr>
            <w:tcW w:w="640" w:type="dxa"/>
            <w:vAlign w:val="bottom"/>
            <w:tcBorders>
              <w:top w:val="single" w:sz="8" w:color="B2B2B2"/>
            </w:tcBorders>
            <w:shd w:val="clear" w:color="auto" w:fill="B2B2B2"/>
          </w:tcPr>
          <w:p>
            <w:pPr>
              <w:spacing w:after="0"/>
              <w:rPr>
                <w:sz w:val="2"/>
                <w:szCs w:val="2"/>
                <w:color w:val="auto"/>
              </w:rPr>
            </w:pPr>
          </w:p>
        </w:tc>
      </w:tr>
      <w:tr>
        <w:trPr>
          <w:trHeight w:val="189"/>
        </w:trPr>
        <w:tc>
          <w:tcPr>
            <w:tcW w:w="760" w:type="dxa"/>
            <w:vAlign w:val="bottom"/>
          </w:tcPr>
          <w:p>
            <w:pPr>
              <w:spacing w:after="0"/>
              <w:rPr>
                <w:sz w:val="16"/>
                <w:szCs w:val="16"/>
                <w:color w:val="auto"/>
              </w:rPr>
            </w:pPr>
          </w:p>
        </w:tc>
        <w:tc>
          <w:tcPr>
            <w:tcW w:w="9840" w:type="dxa"/>
            <w:vAlign w:val="bottom"/>
            <w:gridSpan w:val="21"/>
          </w:tcPr>
          <w:p>
            <w:pPr>
              <w:ind w:left="140"/>
              <w:spacing w:after="0"/>
              <w:rPr>
                <w:rFonts w:ascii="Arial" w:cs="Arial" w:eastAsia="Arial" w:hAnsi="Arial"/>
                <w:sz w:val="16"/>
                <w:szCs w:val="16"/>
                <w:color w:val="0000FF"/>
              </w:rPr>
            </w:pPr>
            <w:hyperlink w:anchor="page6">
              <w:r>
                <w:rPr>
                  <w:rFonts w:ascii="Arial" w:cs="Arial" w:eastAsia="Arial" w:hAnsi="Arial"/>
                  <w:sz w:val="16"/>
                  <w:szCs w:val="16"/>
                  <w:u w:val="single" w:color="auto"/>
                  <w:color w:val="0000FF"/>
                </w:rPr>
                <w:t>Consolidated statements of cash flows –</w:t>
              </w:r>
              <w:r>
                <w:rPr>
                  <w:rFonts w:ascii="Arial" w:cs="Arial" w:eastAsia="Arial" w:hAnsi="Arial"/>
                  <w:sz w:val="16"/>
                  <w:szCs w:val="16"/>
                  <w:color w:val="0000FF"/>
                </w:rPr>
                <w:t xml:space="preserve">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6">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6">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34"/>
        </w:trPr>
        <w:tc>
          <w:tcPr>
            <w:tcW w:w="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760" w:type="dxa"/>
            <w:vAlign w:val="bottom"/>
            <w:shd w:val="clear" w:color="auto" w:fill="B2B2B2"/>
          </w:tcPr>
          <w:p>
            <w:pPr>
              <w:spacing w:after="0"/>
              <w:rPr>
                <w:sz w:val="21"/>
                <w:szCs w:val="21"/>
                <w:color w:val="auto"/>
              </w:rPr>
            </w:pPr>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consolidated financial statements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2.</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53"/>
        </w:trPr>
        <w:tc>
          <w:tcPr>
            <w:tcW w:w="760" w:type="dxa"/>
            <w:vAlign w:val="bottom"/>
            <w:shd w:val="clear" w:color="auto" w:fill="B2B2B2"/>
          </w:tcPr>
          <w:p>
            <w:pPr>
              <w:spacing w:after="0"/>
              <w:rPr>
                <w:sz w:val="21"/>
                <w:szCs w:val="21"/>
                <w:color w:val="auto"/>
              </w:rPr>
            </w:pPr>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Forward-looking statements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28</w:t>
              </w:r>
            </w:hyperlink>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3.</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253"/>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4.</w:t>
              </w:r>
            </w:hyperlink>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Controls and Procedures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233"/>
        </w:trPr>
        <w:tc>
          <w:tcPr>
            <w:tcW w:w="10600" w:type="dxa"/>
            <w:vAlign w:val="bottom"/>
            <w:gridSpan w:val="22"/>
          </w:tcPr>
          <w:p>
            <w:pPr>
              <w:ind w:left="20"/>
              <w:spacing w:after="0"/>
              <w:rPr>
                <w:rFonts w:ascii="Arial" w:cs="Arial" w:eastAsia="Arial" w:hAnsi="Arial"/>
                <w:sz w:val="16"/>
                <w:szCs w:val="16"/>
                <w:b w:val="1"/>
                <w:bCs w:val="1"/>
                <w:u w:val="single" w:color="auto"/>
                <w:color w:val="0000FF"/>
              </w:rPr>
            </w:pPr>
            <w:hyperlink w:anchor="page44">
              <w:r>
                <w:rPr>
                  <w:rFonts w:ascii="Arial" w:cs="Arial" w:eastAsia="Arial" w:hAnsi="Arial"/>
                  <w:sz w:val="16"/>
                  <w:szCs w:val="16"/>
                  <w:b w:val="1"/>
                  <w:bCs w:val="1"/>
                  <w:u w:val="single" w:color="auto"/>
                  <w:color w:val="0000FF"/>
                </w:rPr>
                <w:t>Part II Other Information</w:t>
              </w:r>
            </w:hyperlink>
          </w:p>
        </w:tc>
        <w:tc>
          <w:tcPr>
            <w:tcW w:w="640" w:type="dxa"/>
            <w:vAlign w:val="bottom"/>
          </w:tcPr>
          <w:p>
            <w:pPr>
              <w:spacing w:after="0"/>
              <w:rPr>
                <w:sz w:val="20"/>
                <w:szCs w:val="20"/>
                <w:color w:val="auto"/>
              </w:rPr>
            </w:pPr>
          </w:p>
        </w:tc>
      </w:tr>
      <w:tr>
        <w:trPr>
          <w:trHeight w:val="253"/>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1.</w:t>
              </w:r>
            </w:hyperlink>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Legal Proceedings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1A.</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Risk Factors</w:t>
              </w:r>
            </w:hyperlink>
          </w:p>
        </w:tc>
        <w:tc>
          <w:tcPr>
            <w:tcW w:w="64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253"/>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2.</w:t>
              </w:r>
            </w:hyperlink>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Unregistered Sales of Equity Securities and Use of Proceeds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3.</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Defaults upon Senior Securities</w:t>
              </w:r>
            </w:hyperlink>
          </w:p>
        </w:tc>
        <w:tc>
          <w:tcPr>
            <w:tcW w:w="64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53"/>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4.</w:t>
              </w:r>
            </w:hyperlink>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Mine Safety Disclosures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33"/>
        </w:trPr>
        <w:tc>
          <w:tcPr>
            <w:tcW w:w="760" w:type="dxa"/>
            <w:vAlign w:val="bottom"/>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5.</w:t>
              </w:r>
            </w:hyperlink>
          </w:p>
        </w:tc>
        <w:tc>
          <w:tcPr>
            <w:tcW w:w="9840" w:type="dxa"/>
            <w:vAlign w:val="bottom"/>
            <w:gridSpan w:val="21"/>
          </w:tcPr>
          <w:p>
            <w:pPr>
              <w:ind w:left="14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Other Information</w:t>
              </w:r>
            </w:hyperlink>
          </w:p>
        </w:tc>
        <w:tc>
          <w:tcPr>
            <w:tcW w:w="64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53"/>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6.</w:t>
              </w:r>
            </w:hyperlink>
          </w:p>
        </w:tc>
        <w:tc>
          <w:tcPr>
            <w:tcW w:w="9840" w:type="dxa"/>
            <w:vAlign w:val="bottom"/>
            <w:gridSpan w:val="21"/>
            <w:shd w:val="clear" w:color="auto" w:fill="B2B2B2"/>
          </w:tcPr>
          <w:p>
            <w:pPr>
              <w:ind w:left="14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Exhibits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1006"/>
        </w:trPr>
        <w:tc>
          <w:tcPr>
            <w:tcW w:w="7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09"/>
        </w:trPr>
        <w:tc>
          <w:tcPr>
            <w:tcW w:w="57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43"/>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225,990</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273,949</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461,754</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525,321</w:t>
            </w:r>
          </w:p>
        </w:tc>
      </w:tr>
      <w:tr>
        <w:trPr>
          <w:trHeight w:val="237"/>
        </w:trPr>
        <w:tc>
          <w:tcPr>
            <w:tcW w:w="5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123,010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168,767</w:t>
            </w:r>
          </w:p>
        </w:tc>
        <w:tc>
          <w:tcPr>
            <w:tcW w:w="180" w:type="dxa"/>
            <w:vAlign w:val="bottom"/>
            <w:tcBorders>
              <w:bottom w:val="single" w:sz="8" w:color="B2B2B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269,302</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328,368</w:t>
            </w:r>
          </w:p>
        </w:tc>
      </w:tr>
      <w:tr>
        <w:trPr>
          <w:trHeight w:val="243"/>
        </w:trPr>
        <w:tc>
          <w:tcPr>
            <w:tcW w:w="57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spacing w:after="0"/>
              <w:rPr>
                <w:sz w:val="21"/>
                <w:szCs w:val="21"/>
                <w:color w:val="auto"/>
              </w:rPr>
            </w:pP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102,980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105,182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192,452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196,953</w:t>
            </w:r>
          </w:p>
        </w:tc>
      </w:tr>
      <w:tr>
        <w:trPr>
          <w:trHeight w:val="253"/>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38,543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40,816</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78,649</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81,761</w:t>
            </w:r>
          </w:p>
        </w:tc>
      </w:tr>
      <w:tr>
        <w:trPr>
          <w:trHeight w:val="233"/>
        </w:trPr>
        <w:tc>
          <w:tcPr>
            <w:tcW w:w="5700" w:type="dxa"/>
            <w:vAlign w:val="bottom"/>
          </w:tcPr>
          <w:p>
            <w:pPr>
              <w:ind w:left="120"/>
              <w:spacing w:after="0"/>
              <w:rPr>
                <w:sz w:val="20"/>
                <w:szCs w:val="20"/>
                <w:color w:val="auto"/>
              </w:rPr>
            </w:pPr>
            <w:r>
              <w:rPr>
                <w:rFonts w:ascii="Arial" w:cs="Arial" w:eastAsia="Arial" w:hAnsi="Arial"/>
                <w:sz w:val="16"/>
                <w:szCs w:val="16"/>
                <w:color w:val="auto"/>
              </w:rPr>
              <w:t>Technical and research expenses</w:t>
            </w:r>
          </w:p>
        </w:tc>
        <w:tc>
          <w:tcPr>
            <w:tcW w:w="30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9,242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18,003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19,491</w:t>
            </w:r>
          </w:p>
        </w:tc>
      </w:tr>
      <w:tr>
        <w:trPr>
          <w:trHeight w:val="246"/>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Restructuring expenses, net</w:t>
            </w:r>
          </w:p>
        </w:tc>
        <w:tc>
          <w:tcPr>
            <w:tcW w:w="300" w:type="dxa"/>
            <w:vAlign w:val="bottom"/>
            <w:tcBorders>
              <w:bottom w:val="single" w:sz="8" w:color="auto"/>
            </w:tcBorders>
            <w:shd w:val="clear" w:color="auto" w:fill="B2B2B2"/>
          </w:tcPr>
          <w:p>
            <w:pPr>
              <w:spacing w:after="0"/>
              <w:rPr>
                <w:sz w:val="21"/>
                <w:szCs w:val="21"/>
                <w:color w:val="auto"/>
              </w:rPr>
            </w:pPr>
          </w:p>
        </w:tc>
        <w:tc>
          <w:tcPr>
            <w:tcW w:w="1000" w:type="dxa"/>
            <w:vAlign w:val="bottom"/>
            <w:tcBorders>
              <w:bottom w:val="single" w:sz="8" w:color="auto"/>
            </w:tcBorders>
            <w:shd w:val="clear" w:color="auto" w:fill="B2B2B2"/>
          </w:tcPr>
          <w:p>
            <w:pPr>
              <w:jc w:val="right"/>
              <w:ind w:right="80"/>
              <w:spacing w:after="0"/>
              <w:rPr>
                <w:sz w:val="20"/>
                <w:szCs w:val="20"/>
                <w:color w:val="auto"/>
              </w:rPr>
            </w:pPr>
            <w:r>
              <w:rPr>
                <w:rFonts w:ascii="Arial" w:cs="Arial" w:eastAsia="Arial" w:hAnsi="Arial"/>
                <w:sz w:val="16"/>
                <w:szCs w:val="16"/>
                <w:color w:val="auto"/>
              </w:rPr>
              <w:t>2,837</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40" w:type="dxa"/>
            <w:vAlign w:val="bottom"/>
            <w:tcBorders>
              <w:bottom w:val="single" w:sz="8" w:color="auto"/>
            </w:tcBorders>
            <w:shd w:val="clear" w:color="auto" w:fill="B2B2B2"/>
          </w:tcPr>
          <w:p>
            <w:pPr>
              <w:jc w:val="right"/>
              <w:ind w:right="59"/>
              <w:spacing w:after="0"/>
              <w:rPr>
                <w:sz w:val="20"/>
                <w:szCs w:val="20"/>
                <w:color w:val="auto"/>
              </w:rPr>
            </w:pPr>
            <w:r>
              <w:rPr>
                <w:rFonts w:ascii="Arial" w:cs="Arial" w:eastAsia="Arial" w:hAnsi="Arial"/>
                <w:sz w:val="16"/>
                <w:szCs w:val="16"/>
                <w:color w:val="auto"/>
              </w:rPr>
              <w:t>899</w:t>
            </w:r>
          </w:p>
        </w:tc>
        <w:tc>
          <w:tcPr>
            <w:tcW w:w="180" w:type="dxa"/>
            <w:vAlign w:val="bottom"/>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spacing w:after="0"/>
              <w:rPr>
                <w:sz w:val="21"/>
                <w:szCs w:val="21"/>
                <w:color w:val="auto"/>
              </w:rPr>
            </w:pPr>
          </w:p>
        </w:tc>
        <w:tc>
          <w:tcPr>
            <w:tcW w:w="980" w:type="dxa"/>
            <w:vAlign w:val="bottom"/>
            <w:tcBorders>
              <w:bottom w:val="single" w:sz="8" w:color="auto"/>
            </w:tcBorders>
            <w:shd w:val="clear" w:color="auto" w:fill="B2B2B2"/>
          </w:tcPr>
          <w:p>
            <w:pPr>
              <w:jc w:val="right"/>
              <w:ind w:right="60"/>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20" w:type="dxa"/>
            <w:vAlign w:val="bottom"/>
            <w:tcBorders>
              <w:bottom w:val="single" w:sz="8" w:color="auto"/>
            </w:tcBorders>
            <w:shd w:val="clear" w:color="auto" w:fill="B2B2B2"/>
          </w:tcPr>
          <w:p>
            <w:pPr>
              <w:jc w:val="right"/>
              <w:ind w:right="79"/>
              <w:spacing w:after="0"/>
              <w:rPr>
                <w:sz w:val="20"/>
                <w:szCs w:val="20"/>
                <w:color w:val="auto"/>
              </w:rPr>
            </w:pPr>
            <w:r>
              <w:rPr>
                <w:rFonts w:ascii="Arial" w:cs="Arial" w:eastAsia="Arial" w:hAnsi="Arial"/>
                <w:sz w:val="16"/>
                <w:szCs w:val="16"/>
                <w:color w:val="auto"/>
              </w:rPr>
              <w:t>1,383</w:t>
            </w:r>
          </w:p>
        </w:tc>
      </w:tr>
      <w:tr>
        <w:trPr>
          <w:trHeight w:val="243"/>
        </w:trPr>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52,727</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54,225</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92,321</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94,318</w:t>
            </w:r>
          </w:p>
        </w:tc>
      </w:tr>
      <w:tr>
        <w:trPr>
          <w:trHeight w:val="233"/>
        </w:trPr>
        <w:tc>
          <w:tcPr>
            <w:tcW w:w="57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4,631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7,800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9,048</w:t>
            </w:r>
          </w:p>
        </w:tc>
      </w:tr>
      <w:tr>
        <w:trPr>
          <w:trHeight w:val="246"/>
        </w:trPr>
        <w:tc>
          <w:tcPr>
            <w:tcW w:w="5700" w:type="dxa"/>
            <w:vAlign w:val="bottom"/>
            <w:shd w:val="clear" w:color="auto" w:fill="B3B3B3"/>
          </w:tcPr>
          <w:p>
            <w:pPr>
              <w:ind w:left="120"/>
              <w:spacing w:after="0"/>
              <w:rPr>
                <w:sz w:val="20"/>
                <w:szCs w:val="20"/>
                <w:color w:val="auto"/>
              </w:rPr>
            </w:pPr>
            <w:r>
              <w:rPr>
                <w:rFonts w:ascii="Arial" w:cs="Arial" w:eastAsia="Arial" w:hAnsi="Arial"/>
                <w:sz w:val="16"/>
                <w:szCs w:val="16"/>
                <w:color w:val="auto"/>
              </w:rPr>
              <w:t>Other expense/(income), net</w:t>
            </w:r>
          </w:p>
        </w:tc>
        <w:tc>
          <w:tcPr>
            <w:tcW w:w="300" w:type="dxa"/>
            <w:vAlign w:val="bottom"/>
            <w:tcBorders>
              <w:bottom w:val="single" w:sz="8" w:color="auto"/>
            </w:tcBorders>
            <w:shd w:val="clear" w:color="auto" w:fill="B2B2B2"/>
          </w:tcPr>
          <w:p>
            <w:pPr>
              <w:spacing w:after="0"/>
              <w:rPr>
                <w:sz w:val="21"/>
                <w:szCs w:val="21"/>
                <w:color w:val="auto"/>
              </w:rPr>
            </w:pPr>
          </w:p>
        </w:tc>
        <w:tc>
          <w:tcPr>
            <w:tcW w:w="1000" w:type="dxa"/>
            <w:vAlign w:val="bottom"/>
            <w:tcBorders>
              <w:bottom w:val="single" w:sz="8" w:color="auto"/>
            </w:tcBorders>
            <w:shd w:val="clear" w:color="auto" w:fill="B2B2B2"/>
          </w:tcPr>
          <w:p>
            <w:pPr>
              <w:jc w:val="right"/>
              <w:ind w:right="80"/>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40" w:type="dxa"/>
            <w:vAlign w:val="bottom"/>
            <w:tcBorders>
              <w:bottom w:val="single" w:sz="8" w:color="auto"/>
            </w:tcBorders>
            <w:shd w:val="clear" w:color="auto" w:fill="B2B2B2"/>
          </w:tcPr>
          <w:p>
            <w:pPr>
              <w:jc w:val="right"/>
              <w:ind w:right="59"/>
              <w:spacing w:after="0"/>
              <w:rPr>
                <w:sz w:val="20"/>
                <w:szCs w:val="20"/>
                <w:color w:val="auto"/>
              </w:rPr>
            </w:pPr>
            <w:r>
              <w:rPr>
                <w:rFonts w:ascii="Arial" w:cs="Arial" w:eastAsia="Arial" w:hAnsi="Arial"/>
                <w:sz w:val="16"/>
                <w:szCs w:val="16"/>
                <w:color w:val="auto"/>
              </w:rPr>
              <w:t>930</w:t>
            </w:r>
          </w:p>
        </w:tc>
        <w:tc>
          <w:tcPr>
            <w:tcW w:w="180" w:type="dxa"/>
            <w:vAlign w:val="bottom"/>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spacing w:after="0"/>
              <w:rPr>
                <w:sz w:val="21"/>
                <w:szCs w:val="21"/>
                <w:color w:val="auto"/>
              </w:rPr>
            </w:pPr>
          </w:p>
        </w:tc>
        <w:tc>
          <w:tcPr>
            <w:tcW w:w="980" w:type="dxa"/>
            <w:vAlign w:val="bottom"/>
            <w:tcBorders>
              <w:bottom w:val="single" w:sz="8" w:color="auto"/>
            </w:tcBorders>
            <w:shd w:val="clear" w:color="auto" w:fill="B2B2B2"/>
          </w:tcPr>
          <w:p>
            <w:pPr>
              <w:jc w:val="right"/>
              <w:ind w:right="60"/>
              <w:spacing w:after="0"/>
              <w:rPr>
                <w:sz w:val="20"/>
                <w:szCs w:val="20"/>
                <w:color w:val="auto"/>
              </w:rPr>
            </w:pPr>
            <w:r>
              <w:rPr>
                <w:rFonts w:ascii="Arial" w:cs="Arial" w:eastAsia="Arial" w:hAnsi="Arial"/>
                <w:sz w:val="16"/>
                <w:szCs w:val="16"/>
                <w:color w:val="auto"/>
              </w:rPr>
              <w:t>16,660</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20" w:type="dxa"/>
            <w:vAlign w:val="bottom"/>
            <w:tcBorders>
              <w:bottom w:val="single" w:sz="8" w:color="auto"/>
            </w:tcBorders>
            <w:shd w:val="clear" w:color="auto" w:fill="B2B2B2"/>
          </w:tcPr>
          <w:p>
            <w:pPr>
              <w:jc w:val="right"/>
              <w:ind w:right="19"/>
              <w:spacing w:after="0"/>
              <w:rPr>
                <w:sz w:val="20"/>
                <w:szCs w:val="20"/>
                <w:color w:val="auto"/>
              </w:rPr>
            </w:pPr>
            <w:r>
              <w:rPr>
                <w:rFonts w:ascii="Arial" w:cs="Arial" w:eastAsia="Arial" w:hAnsi="Arial"/>
                <w:sz w:val="16"/>
                <w:szCs w:val="16"/>
                <w:color w:val="auto"/>
              </w:rPr>
              <w:t>(278)</w:t>
            </w:r>
          </w:p>
        </w:tc>
      </w:tr>
      <w:tr>
        <w:trPr>
          <w:trHeight w:val="243"/>
        </w:trPr>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47,813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48,664</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67,861</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85,548</w:t>
            </w:r>
          </w:p>
        </w:tc>
      </w:tr>
      <w:tr>
        <w:trPr>
          <w:trHeight w:val="236"/>
        </w:trPr>
        <w:tc>
          <w:tcPr>
            <w:tcW w:w="57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15,364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14,405</w:t>
            </w:r>
          </w:p>
        </w:tc>
        <w:tc>
          <w:tcPr>
            <w:tcW w:w="180" w:type="dxa"/>
            <w:vAlign w:val="bottom"/>
            <w:tcBorders>
              <w:bottom w:val="single" w:sz="8" w:color="B2B2B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27,818</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21,881</w:t>
            </w:r>
          </w:p>
        </w:tc>
      </w:tr>
      <w:tr>
        <w:trPr>
          <w:trHeight w:val="243"/>
        </w:trPr>
        <w:tc>
          <w:tcPr>
            <w:tcW w:w="57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spacing w:after="0"/>
              <w:rPr>
                <w:sz w:val="21"/>
                <w:szCs w:val="21"/>
                <w:color w:val="auto"/>
              </w:rPr>
            </w:pP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32,449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34,259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40,043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63,667</w:t>
            </w:r>
          </w:p>
        </w:tc>
      </w:tr>
      <w:tr>
        <w:trPr>
          <w:trHeight w:val="246"/>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(loss)/income attributable to the noncontrolling interest</w:t>
            </w:r>
          </w:p>
        </w:tc>
        <w:tc>
          <w:tcPr>
            <w:tcW w:w="300" w:type="dxa"/>
            <w:vAlign w:val="bottom"/>
            <w:tcBorders>
              <w:bottom w:val="single" w:sz="8" w:color="auto"/>
            </w:tcBorders>
            <w:shd w:val="clear" w:color="auto" w:fill="B2B2B2"/>
          </w:tcPr>
          <w:p>
            <w:pPr>
              <w:spacing w:after="0"/>
              <w:rPr>
                <w:sz w:val="21"/>
                <w:szCs w:val="21"/>
                <w:color w:val="auto"/>
              </w:rPr>
            </w:pPr>
          </w:p>
        </w:tc>
        <w:tc>
          <w:tcPr>
            <w:tcW w:w="1000" w:type="dxa"/>
            <w:vAlign w:val="bottom"/>
            <w:tcBorders>
              <w:bottom w:val="single" w:sz="8" w:color="auto"/>
            </w:tcBorders>
            <w:shd w:val="clear" w:color="auto" w:fill="B2B2B2"/>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40" w:type="dxa"/>
            <w:vAlign w:val="bottom"/>
            <w:tcBorders>
              <w:bottom w:val="single" w:sz="8" w:color="auto"/>
            </w:tcBorders>
            <w:shd w:val="clear" w:color="auto" w:fill="B2B2B2"/>
          </w:tcPr>
          <w:p>
            <w:pPr>
              <w:jc w:val="right"/>
              <w:ind w:right="59"/>
              <w:spacing w:after="0"/>
              <w:rPr>
                <w:sz w:val="20"/>
                <w:szCs w:val="20"/>
                <w:color w:val="auto"/>
              </w:rPr>
            </w:pPr>
            <w:r>
              <w:rPr>
                <w:rFonts w:ascii="Arial" w:cs="Arial" w:eastAsia="Arial" w:hAnsi="Arial"/>
                <w:sz w:val="16"/>
                <w:szCs w:val="16"/>
                <w:color w:val="auto"/>
              </w:rPr>
              <w:t>205</w:t>
            </w:r>
          </w:p>
        </w:tc>
        <w:tc>
          <w:tcPr>
            <w:tcW w:w="180" w:type="dxa"/>
            <w:vAlign w:val="bottom"/>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spacing w:after="0"/>
              <w:rPr>
                <w:sz w:val="21"/>
                <w:szCs w:val="21"/>
                <w:color w:val="auto"/>
              </w:rPr>
            </w:pPr>
          </w:p>
        </w:tc>
        <w:tc>
          <w:tcPr>
            <w:tcW w:w="980" w:type="dxa"/>
            <w:vAlign w:val="bottom"/>
            <w:tcBorders>
              <w:bottom w:val="single" w:sz="8" w:color="auto"/>
            </w:tcBorders>
            <w:shd w:val="clear" w:color="auto" w:fill="B2B2B2"/>
          </w:tcPr>
          <w:p>
            <w:pPr>
              <w:jc w:val="right"/>
              <w:ind w:right="20"/>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B2B2B2"/>
          </w:tcPr>
          <w:p>
            <w:pPr>
              <w:spacing w:after="0"/>
              <w:rPr>
                <w:sz w:val="21"/>
                <w:szCs w:val="21"/>
                <w:color w:val="auto"/>
              </w:rPr>
            </w:pPr>
          </w:p>
        </w:tc>
        <w:tc>
          <w:tcPr>
            <w:tcW w:w="360" w:type="dxa"/>
            <w:vAlign w:val="bottom"/>
            <w:tcBorders>
              <w:bottom w:val="single" w:sz="8" w:color="auto"/>
            </w:tcBorders>
            <w:shd w:val="clear" w:color="auto" w:fill="B2B2B2"/>
          </w:tcPr>
          <w:p>
            <w:pPr>
              <w:spacing w:after="0"/>
              <w:rPr>
                <w:sz w:val="21"/>
                <w:szCs w:val="21"/>
                <w:color w:val="auto"/>
              </w:rPr>
            </w:pPr>
          </w:p>
        </w:tc>
        <w:tc>
          <w:tcPr>
            <w:tcW w:w="920" w:type="dxa"/>
            <w:vAlign w:val="bottom"/>
            <w:tcBorders>
              <w:bottom w:val="single" w:sz="8" w:color="auto"/>
            </w:tcBorders>
            <w:shd w:val="clear" w:color="auto" w:fill="B2B2B2"/>
          </w:tcPr>
          <w:p>
            <w:pPr>
              <w:jc w:val="right"/>
              <w:ind w:right="79"/>
              <w:spacing w:after="0"/>
              <w:rPr>
                <w:sz w:val="20"/>
                <w:szCs w:val="20"/>
                <w:color w:val="auto"/>
              </w:rPr>
            </w:pPr>
            <w:r>
              <w:rPr>
                <w:rFonts w:ascii="Arial" w:cs="Arial" w:eastAsia="Arial" w:hAnsi="Arial"/>
                <w:sz w:val="16"/>
                <w:szCs w:val="16"/>
                <w:color w:val="auto"/>
              </w:rPr>
              <w:t>423</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32,354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34,054</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41,463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63,244</w:t>
            </w:r>
          </w:p>
        </w:tc>
      </w:tr>
      <w:tr>
        <w:trPr>
          <w:trHeight w:val="20"/>
        </w:trPr>
        <w:tc>
          <w:tcPr>
            <w:tcW w:w="570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B2B2B2"/>
          </w:tcPr>
          <w:p>
            <w:pPr>
              <w:spacing w:after="0"/>
              <w:rPr>
                <w:sz w:val="19"/>
                <w:szCs w:val="19"/>
                <w:color w:val="auto"/>
              </w:rPr>
            </w:pPr>
          </w:p>
        </w:tc>
        <w:tc>
          <w:tcPr>
            <w:tcW w:w="300" w:type="dxa"/>
            <w:vAlign w:val="bottom"/>
            <w:shd w:val="clear" w:color="auto" w:fill="B2B2B2"/>
          </w:tcPr>
          <w:p>
            <w:pPr>
              <w:spacing w:after="0"/>
              <w:rPr>
                <w:sz w:val="19"/>
                <w:szCs w:val="19"/>
                <w:color w:val="auto"/>
              </w:rPr>
            </w:pPr>
          </w:p>
        </w:tc>
        <w:tc>
          <w:tcPr>
            <w:tcW w:w="100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360" w:type="dxa"/>
            <w:vAlign w:val="bottom"/>
            <w:shd w:val="clear" w:color="auto" w:fill="B2B2B2"/>
          </w:tcPr>
          <w:p>
            <w:pPr>
              <w:spacing w:after="0"/>
              <w:rPr>
                <w:sz w:val="19"/>
                <w:szCs w:val="19"/>
                <w:color w:val="auto"/>
              </w:rPr>
            </w:pPr>
          </w:p>
        </w:tc>
        <w:tc>
          <w:tcPr>
            <w:tcW w:w="94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300" w:type="dxa"/>
            <w:vAlign w:val="bottom"/>
            <w:shd w:val="clear" w:color="auto" w:fill="B2B2B2"/>
          </w:tcPr>
          <w:p>
            <w:pPr>
              <w:spacing w:after="0"/>
              <w:rPr>
                <w:sz w:val="19"/>
                <w:szCs w:val="19"/>
                <w:color w:val="auto"/>
              </w:rPr>
            </w:pPr>
          </w:p>
        </w:tc>
        <w:tc>
          <w:tcPr>
            <w:tcW w:w="98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360" w:type="dxa"/>
            <w:vAlign w:val="bottom"/>
            <w:shd w:val="clear" w:color="auto" w:fill="B2B2B2"/>
          </w:tcPr>
          <w:p>
            <w:pPr>
              <w:spacing w:after="0"/>
              <w:rPr>
                <w:sz w:val="19"/>
                <w:szCs w:val="19"/>
                <w:color w:val="auto"/>
              </w:rPr>
            </w:pPr>
          </w:p>
        </w:tc>
        <w:tc>
          <w:tcPr>
            <w:tcW w:w="920" w:type="dxa"/>
            <w:vAlign w:val="bottom"/>
            <w:shd w:val="clear" w:color="auto" w:fill="B2B2B2"/>
          </w:tcPr>
          <w:p>
            <w:pPr>
              <w:spacing w:after="0"/>
              <w:rPr>
                <w:sz w:val="19"/>
                <w:szCs w:val="19"/>
                <w:color w:val="auto"/>
              </w:rPr>
            </w:pP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1.96</w:t>
            </w:r>
          </w:p>
        </w:tc>
      </w:tr>
      <w:tr>
        <w:trPr>
          <w:trHeight w:val="266"/>
        </w:trPr>
        <w:tc>
          <w:tcPr>
            <w:tcW w:w="570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100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40" w:type="dxa"/>
            <w:vAlign w:val="bottom"/>
            <w:shd w:val="clear" w:color="auto" w:fill="B2B2B2"/>
          </w:tcPr>
          <w:p>
            <w:pPr>
              <w:spacing w:after="0"/>
              <w:rPr>
                <w:sz w:val="23"/>
                <w:szCs w:val="23"/>
                <w:color w:val="auto"/>
              </w:rPr>
            </w:pPr>
          </w:p>
        </w:tc>
        <w:tc>
          <w:tcPr>
            <w:tcW w:w="18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98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20" w:type="dxa"/>
            <w:vAlign w:val="bottom"/>
            <w:shd w:val="clear" w:color="auto" w:fill="B2B2B2"/>
          </w:tcPr>
          <w:p>
            <w:pPr>
              <w:spacing w:after="0"/>
              <w:rPr>
                <w:sz w:val="23"/>
                <w:szCs w:val="23"/>
                <w:color w:val="auto"/>
              </w:rPr>
            </w:pP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1.96</w:t>
            </w:r>
          </w:p>
        </w:tc>
      </w:tr>
      <w:tr>
        <w:trPr>
          <w:trHeight w:val="266"/>
        </w:trPr>
        <w:tc>
          <w:tcPr>
            <w:tcW w:w="570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100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40" w:type="dxa"/>
            <w:vAlign w:val="bottom"/>
            <w:shd w:val="clear" w:color="auto" w:fill="B2B2B2"/>
          </w:tcPr>
          <w:p>
            <w:pPr>
              <w:spacing w:after="0"/>
              <w:rPr>
                <w:sz w:val="23"/>
                <w:szCs w:val="23"/>
                <w:color w:val="auto"/>
              </w:rPr>
            </w:pPr>
          </w:p>
        </w:tc>
        <w:tc>
          <w:tcPr>
            <w:tcW w:w="18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98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20" w:type="dxa"/>
            <w:vAlign w:val="bottom"/>
            <w:shd w:val="clear" w:color="auto" w:fill="B2B2B2"/>
          </w:tcPr>
          <w:p>
            <w:pPr>
              <w:spacing w:after="0"/>
              <w:rPr>
                <w:sz w:val="23"/>
                <w:szCs w:val="23"/>
                <w:color w:val="auto"/>
              </w:rPr>
            </w:pP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32,328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32,299</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32,320</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32,286</w:t>
            </w:r>
          </w:p>
        </w:tc>
      </w:tr>
      <w:tr>
        <w:trPr>
          <w:trHeight w:val="257"/>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32,336</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32,311</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32,328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32,298</w:t>
            </w:r>
          </w:p>
        </w:tc>
      </w:tr>
      <w:tr>
        <w:trPr>
          <w:trHeight w:val="256"/>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300" w:type="dxa"/>
            <w:vAlign w:val="bottom"/>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B2B2B2"/>
          </w:tcPr>
          <w:p>
            <w:pPr>
              <w:jc w:val="right"/>
              <w:ind w:right="59"/>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B2B2B2"/>
          </w:tcPr>
          <w:p>
            <w:pPr>
              <w:spacing w:after="0"/>
              <w:rPr>
                <w:sz w:val="21"/>
                <w:szCs w:val="21"/>
                <w:color w:val="auto"/>
              </w:rPr>
            </w:pP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ind w:right="60"/>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2B2B2"/>
          </w:tcPr>
          <w:p>
            <w:pPr>
              <w:jc w:val="right"/>
              <w:ind w:right="79"/>
              <w:spacing w:after="0"/>
              <w:rPr>
                <w:sz w:val="20"/>
                <w:szCs w:val="20"/>
                <w:color w:val="auto"/>
              </w:rPr>
            </w:pPr>
            <w:r>
              <w:rPr>
                <w:rFonts w:ascii="Arial" w:cs="Arial" w:eastAsia="Arial" w:hAnsi="Arial"/>
                <w:sz w:val="16"/>
                <w:szCs w:val="16"/>
                <w:color w:val="auto"/>
              </w:rPr>
              <w:t>0.36</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209"/>
        </w:trPr>
        <w:tc>
          <w:tcPr>
            <w:tcW w:w="576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43"/>
        </w:trPr>
        <w:tc>
          <w:tcPr>
            <w:tcW w:w="576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B2B2B2"/>
          </w:tcPr>
          <w:p>
            <w:pPr>
              <w:jc w:val="right"/>
              <w:ind w:right="81"/>
              <w:spacing w:after="0"/>
              <w:rPr>
                <w:sz w:val="20"/>
                <w:szCs w:val="20"/>
                <w:color w:val="auto"/>
              </w:rPr>
            </w:pPr>
            <w:r>
              <w:rPr>
                <w:rFonts w:ascii="Arial" w:cs="Arial" w:eastAsia="Arial" w:hAnsi="Arial"/>
                <w:sz w:val="16"/>
                <w:szCs w:val="16"/>
                <w:color w:val="auto"/>
              </w:rPr>
              <w:t>32,449</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34,259</w:t>
            </w: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ind w:right="61"/>
              <w:spacing w:after="0"/>
              <w:rPr>
                <w:sz w:val="20"/>
                <w:szCs w:val="20"/>
                <w:color w:val="auto"/>
              </w:rPr>
            </w:pPr>
            <w:r>
              <w:rPr>
                <w:rFonts w:ascii="Arial" w:cs="Arial" w:eastAsia="Arial" w:hAnsi="Arial"/>
                <w:sz w:val="16"/>
                <w:szCs w:val="16"/>
                <w:color w:val="auto"/>
              </w:rPr>
              <w:t>40,043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63,667</w:t>
            </w:r>
          </w:p>
        </w:tc>
      </w:tr>
      <w:tr>
        <w:trPr>
          <w:trHeight w:val="257"/>
        </w:trPr>
        <w:tc>
          <w:tcPr>
            <w:tcW w:w="5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5760" w:type="dxa"/>
            <w:vAlign w:val="bottom"/>
            <w:shd w:val="clear" w:color="auto" w:fill="B2B2B2"/>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spacing w:after="0"/>
              <w:rPr>
                <w:sz w:val="21"/>
                <w:szCs w:val="21"/>
                <w:color w:val="auto"/>
              </w:rPr>
            </w:pPr>
          </w:p>
        </w:tc>
      </w:tr>
      <w:tr>
        <w:trPr>
          <w:trHeight w:val="233"/>
        </w:trPr>
        <w:tc>
          <w:tcPr>
            <w:tcW w:w="5760" w:type="dxa"/>
            <w:vAlign w:val="bottom"/>
          </w:tcPr>
          <w:p>
            <w:pPr>
              <w:ind w:left="12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8,753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(16,202)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(2,202)</w:t>
            </w:r>
          </w:p>
        </w:tc>
      </w:tr>
      <w:tr>
        <w:trPr>
          <w:trHeight w:val="253"/>
        </w:trPr>
        <w:tc>
          <w:tcPr>
            <w:tcW w:w="576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1"/>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1040" w:type="dxa"/>
            <w:vAlign w:val="bottom"/>
            <w:gridSpan w:val="2"/>
            <w:shd w:val="clear" w:color="auto" w:fill="B2B2B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1"/>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tcPr>
          <w:p>
            <w:pPr>
              <w:ind w:left="22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5760" w:type="dxa"/>
            <w:vAlign w:val="bottom"/>
            <w:shd w:val="clear" w:color="auto" w:fill="B2B2B2"/>
          </w:tcPr>
          <w:p>
            <w:pPr>
              <w:ind w:left="320"/>
              <w:spacing w:after="0"/>
              <w:rPr>
                <w:sz w:val="20"/>
                <w:szCs w:val="20"/>
                <w:color w:val="auto"/>
              </w:rPr>
            </w:pPr>
            <w:r>
              <w:rPr>
                <w:rFonts w:ascii="Arial" w:cs="Arial" w:eastAsia="Arial" w:hAnsi="Arial"/>
                <w:sz w:val="16"/>
                <w:szCs w:val="16"/>
                <w:color w:val="auto"/>
              </w:rPr>
              <w:t>Prior service credit</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41"/>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20"/>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21"/>
              <w:spacing w:after="0"/>
              <w:rPr>
                <w:sz w:val="20"/>
                <w:szCs w:val="20"/>
                <w:color w:val="auto"/>
              </w:rPr>
            </w:pPr>
            <w:r>
              <w:rPr>
                <w:rFonts w:ascii="Arial" w:cs="Arial" w:eastAsia="Arial" w:hAnsi="Arial"/>
                <w:sz w:val="16"/>
                <w:szCs w:val="16"/>
                <w:color w:val="auto"/>
              </w:rPr>
              <w:t>(2,228)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20"/>
              <w:spacing w:after="0"/>
              <w:rPr>
                <w:sz w:val="20"/>
                <w:szCs w:val="20"/>
                <w:color w:val="auto"/>
              </w:rPr>
            </w:pPr>
            <w:r>
              <w:rPr>
                <w:rFonts w:ascii="Arial" w:cs="Arial" w:eastAsia="Arial" w:hAnsi="Arial"/>
                <w:sz w:val="16"/>
                <w:szCs w:val="16"/>
                <w:color w:val="auto"/>
              </w:rPr>
              <w:t>(2,210)</w:t>
            </w:r>
          </w:p>
        </w:tc>
      </w:tr>
      <w:tr>
        <w:trPr>
          <w:trHeight w:val="233"/>
        </w:trPr>
        <w:tc>
          <w:tcPr>
            <w:tcW w:w="5760" w:type="dxa"/>
            <w:vAlign w:val="bottom"/>
          </w:tcPr>
          <w:p>
            <w:pPr>
              <w:ind w:left="340"/>
              <w:spacing w:after="0"/>
              <w:rPr>
                <w:sz w:val="20"/>
                <w:szCs w:val="20"/>
                <w:color w:val="auto"/>
              </w:rPr>
            </w:pPr>
            <w:r>
              <w:rPr>
                <w:rFonts w:ascii="Arial" w:cs="Arial" w:eastAsia="Arial" w:hAnsi="Arial"/>
                <w:sz w:val="16"/>
                <w:szCs w:val="16"/>
                <w:color w:val="auto"/>
              </w:rPr>
              <w:t>Net actuarial loss</w:t>
            </w:r>
          </w:p>
        </w:tc>
        <w:tc>
          <w:tcPr>
            <w:tcW w:w="30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2,239</w:t>
            </w:r>
          </w:p>
        </w:tc>
      </w:tr>
      <w:tr>
        <w:trPr>
          <w:trHeight w:val="253"/>
        </w:trPr>
        <w:tc>
          <w:tcPr>
            <w:tcW w:w="576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1"/>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20"/>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1"/>
              <w:spacing w:after="0"/>
              <w:rPr>
                <w:sz w:val="20"/>
                <w:szCs w:val="20"/>
                <w:color w:val="auto"/>
              </w:rPr>
            </w:pPr>
            <w:r>
              <w:rPr>
                <w:rFonts w:ascii="Arial" w:cs="Arial" w:eastAsia="Arial" w:hAnsi="Arial"/>
                <w:sz w:val="16"/>
                <w:szCs w:val="16"/>
                <w:color w:val="auto"/>
              </w:rPr>
              <w:t>1,523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20"/>
              <w:spacing w:after="0"/>
              <w:rPr>
                <w:sz w:val="20"/>
                <w:szCs w:val="20"/>
                <w:color w:val="auto"/>
              </w:rPr>
            </w:pPr>
            <w:r>
              <w:rPr>
                <w:rFonts w:ascii="Arial" w:cs="Arial" w:eastAsia="Arial" w:hAnsi="Arial"/>
                <w:sz w:val="16"/>
                <w:szCs w:val="16"/>
                <w:color w:val="auto"/>
              </w:rPr>
              <w:t>(872)</w:t>
            </w:r>
          </w:p>
        </w:tc>
      </w:tr>
      <w:tr>
        <w:trPr>
          <w:trHeight w:val="233"/>
        </w:trPr>
        <w:tc>
          <w:tcPr>
            <w:tcW w:w="5760" w:type="dxa"/>
            <w:vAlign w:val="bottom"/>
          </w:tcPr>
          <w:p>
            <w:pPr>
              <w:ind w:left="12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(12,130)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(9,264)</w:t>
            </w:r>
          </w:p>
        </w:tc>
      </w:tr>
      <w:tr>
        <w:trPr>
          <w:trHeight w:val="266"/>
        </w:trPr>
        <w:tc>
          <w:tcPr>
            <w:tcW w:w="576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100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4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00" w:type="dxa"/>
            <w:vAlign w:val="bottom"/>
            <w:shd w:val="clear" w:color="auto" w:fill="B2B2B2"/>
          </w:tcPr>
          <w:p>
            <w:pPr>
              <w:spacing w:after="0"/>
              <w:rPr>
                <w:sz w:val="23"/>
                <w:szCs w:val="23"/>
                <w:color w:val="auto"/>
              </w:rPr>
            </w:pPr>
          </w:p>
        </w:tc>
        <w:tc>
          <w:tcPr>
            <w:tcW w:w="98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360" w:type="dxa"/>
            <w:vAlign w:val="bottom"/>
            <w:shd w:val="clear" w:color="auto" w:fill="B2B2B2"/>
          </w:tcPr>
          <w:p>
            <w:pPr>
              <w:spacing w:after="0"/>
              <w:rPr>
                <w:sz w:val="23"/>
                <w:szCs w:val="23"/>
                <w:color w:val="auto"/>
              </w:rPr>
            </w:pPr>
          </w:p>
        </w:tc>
        <w:tc>
          <w:tcPr>
            <w:tcW w:w="940" w:type="dxa"/>
            <w:vAlign w:val="bottom"/>
            <w:shd w:val="clear" w:color="auto" w:fill="B2B2B2"/>
          </w:tcPr>
          <w:p>
            <w:pPr>
              <w:spacing w:after="0"/>
              <w:rPr>
                <w:sz w:val="23"/>
                <w:szCs w:val="23"/>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576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1040" w:type="dxa"/>
            <w:vAlign w:val="bottom"/>
            <w:gridSpan w:val="2"/>
            <w:shd w:val="clear" w:color="auto" w:fill="B2B2B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21"/>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tcPr>
          <w:p>
            <w:pPr>
              <w:ind w:left="120"/>
              <w:spacing w:after="0"/>
              <w:rPr>
                <w:sz w:val="20"/>
                <w:szCs w:val="20"/>
                <w:color w:val="auto"/>
              </w:rPr>
            </w:pPr>
            <w:r>
              <w:rPr>
                <w:rFonts w:ascii="Arial" w:cs="Arial" w:eastAsia="Arial" w:hAnsi="Arial"/>
                <w:sz w:val="16"/>
                <w:szCs w:val="16"/>
                <w:color w:val="auto"/>
              </w:rPr>
              <w:t>Amortization of pension liability adjustment</w:t>
            </w:r>
          </w:p>
        </w:tc>
        <w:tc>
          <w:tcPr>
            <w:tcW w:w="3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53"/>
        </w:trPr>
        <w:tc>
          <w:tcPr>
            <w:tcW w:w="576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41"/>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21"/>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223</w:t>
            </w:r>
          </w:p>
        </w:tc>
      </w:tr>
      <w:tr>
        <w:trPr>
          <w:trHeight w:val="237"/>
        </w:trPr>
        <w:tc>
          <w:tcPr>
            <w:tcW w:w="57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1,504</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3,102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2,367</w:t>
            </w:r>
          </w:p>
        </w:tc>
      </w:tr>
      <w:tr>
        <w:trPr>
          <w:trHeight w:val="243"/>
        </w:trPr>
        <w:tc>
          <w:tcPr>
            <w:tcW w:w="5760" w:type="dxa"/>
            <w:vAlign w:val="bottom"/>
            <w:shd w:val="clear" w:color="auto" w:fill="B2B2B2"/>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81"/>
              <w:spacing w:after="0"/>
              <w:rPr>
                <w:sz w:val="20"/>
                <w:szCs w:val="20"/>
                <w:color w:val="auto"/>
              </w:rPr>
            </w:pPr>
            <w:r>
              <w:rPr>
                <w:rFonts w:ascii="Arial" w:cs="Arial" w:eastAsia="Arial" w:hAnsi="Arial"/>
                <w:sz w:val="16"/>
                <w:szCs w:val="16"/>
                <w:color w:val="auto"/>
              </w:rPr>
              <w:t>41,368</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29,523</w:t>
            </w:r>
          </w:p>
        </w:tc>
        <w:tc>
          <w:tcPr>
            <w:tcW w:w="100" w:type="dxa"/>
            <w:vAlign w:val="bottom"/>
            <w:shd w:val="clear" w:color="auto" w:fill="B2B2B2"/>
          </w:tcPr>
          <w:p>
            <w:pPr>
              <w:spacing w:after="0"/>
              <w:rPr>
                <w:sz w:val="21"/>
                <w:szCs w:val="21"/>
                <w:color w:val="auto"/>
              </w:rPr>
            </w:pPr>
          </w:p>
        </w:tc>
        <w:tc>
          <w:tcPr>
            <w:tcW w:w="300" w:type="dxa"/>
            <w:vAlign w:val="bottom"/>
            <w:shd w:val="clear" w:color="auto" w:fill="B2B2B2"/>
          </w:tcPr>
          <w:p>
            <w:pPr>
              <w:spacing w:after="0"/>
              <w:rPr>
                <w:sz w:val="21"/>
                <w:szCs w:val="21"/>
                <w:color w:val="auto"/>
              </w:rPr>
            </w:pPr>
          </w:p>
        </w:tc>
        <w:tc>
          <w:tcPr>
            <w:tcW w:w="980" w:type="dxa"/>
            <w:vAlign w:val="bottom"/>
            <w:shd w:val="clear" w:color="auto" w:fill="B2B2B2"/>
          </w:tcPr>
          <w:p>
            <w:pPr>
              <w:jc w:val="right"/>
              <w:ind w:right="61"/>
              <w:spacing w:after="0"/>
              <w:rPr>
                <w:sz w:val="20"/>
                <w:szCs w:val="20"/>
                <w:color w:val="auto"/>
              </w:rPr>
            </w:pPr>
            <w:r>
              <w:rPr>
                <w:rFonts w:ascii="Arial" w:cs="Arial" w:eastAsia="Arial" w:hAnsi="Arial"/>
                <w:sz w:val="16"/>
                <w:szCs w:val="16"/>
                <w:color w:val="auto"/>
              </w:rPr>
              <w:t>16,397</w:t>
            </w:r>
          </w:p>
        </w:tc>
        <w:tc>
          <w:tcPr>
            <w:tcW w:w="100" w:type="dxa"/>
            <w:vAlign w:val="bottom"/>
            <w:shd w:val="clear" w:color="auto" w:fill="B2B2B2"/>
          </w:tcPr>
          <w:p>
            <w:pPr>
              <w:spacing w:after="0"/>
              <w:rPr>
                <w:sz w:val="21"/>
                <w:szCs w:val="21"/>
                <w:color w:val="auto"/>
              </w:rPr>
            </w:pPr>
          </w:p>
        </w:tc>
        <w:tc>
          <w:tcPr>
            <w:tcW w:w="360" w:type="dxa"/>
            <w:vAlign w:val="bottom"/>
            <w:shd w:val="clear" w:color="auto" w:fill="B2B2B2"/>
          </w:tcPr>
          <w:p>
            <w:pPr>
              <w:spacing w:after="0"/>
              <w:rPr>
                <w:sz w:val="21"/>
                <w:szCs w:val="21"/>
                <w:color w:val="auto"/>
              </w:rPr>
            </w:pPr>
          </w:p>
        </w:tc>
        <w:tc>
          <w:tcPr>
            <w:tcW w:w="940" w:type="dxa"/>
            <w:vAlign w:val="bottom"/>
            <w:shd w:val="clear" w:color="auto" w:fill="B2B2B2"/>
          </w:tcPr>
          <w:p>
            <w:pPr>
              <w:jc w:val="right"/>
              <w:ind w:right="80"/>
              <w:spacing w:after="0"/>
              <w:rPr>
                <w:sz w:val="20"/>
                <w:szCs w:val="20"/>
                <w:color w:val="auto"/>
              </w:rPr>
            </w:pPr>
            <w:r>
              <w:rPr>
                <w:rFonts w:ascii="Arial" w:cs="Arial" w:eastAsia="Arial" w:hAnsi="Arial"/>
                <w:sz w:val="16"/>
                <w:szCs w:val="16"/>
                <w:color w:val="auto"/>
              </w:rPr>
              <w:t>53,939</w:t>
            </w:r>
          </w:p>
        </w:tc>
      </w:tr>
      <w:tr>
        <w:trPr>
          <w:trHeight w:val="237"/>
        </w:trPr>
        <w:tc>
          <w:tcPr>
            <w:tcW w:w="5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417</w:t>
            </w:r>
          </w:p>
        </w:tc>
      </w:tr>
      <w:tr>
        <w:trPr>
          <w:trHeight w:val="268"/>
        </w:trPr>
        <w:tc>
          <w:tcPr>
            <w:tcW w:w="576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B2B2B2"/>
          </w:tcPr>
          <w:p>
            <w:pPr>
              <w:jc w:val="right"/>
              <w:ind w:right="81"/>
              <w:spacing w:after="0"/>
              <w:rPr>
                <w:sz w:val="20"/>
                <w:szCs w:val="20"/>
                <w:color w:val="auto"/>
              </w:rPr>
            </w:pPr>
            <w:r>
              <w:rPr>
                <w:rFonts w:ascii="Arial" w:cs="Arial" w:eastAsia="Arial" w:hAnsi="Arial"/>
                <w:sz w:val="16"/>
                <w:szCs w:val="16"/>
                <w:color w:val="auto"/>
              </w:rPr>
              <w:t>41,121</w:t>
            </w:r>
          </w:p>
        </w:tc>
        <w:tc>
          <w:tcPr>
            <w:tcW w:w="100" w:type="dxa"/>
            <w:vAlign w:val="bottom"/>
            <w:tcBorders>
              <w:bottom w:val="single" w:sz="8" w:color="B2B2B2"/>
            </w:tcBorders>
            <w:shd w:val="clear" w:color="auto" w:fill="B2B2B2"/>
          </w:tcPr>
          <w:p>
            <w:pPr>
              <w:spacing w:after="0"/>
              <w:rPr>
                <w:sz w:val="22"/>
                <w:szCs w:val="22"/>
                <w:color w:val="auto"/>
              </w:rPr>
            </w:pPr>
          </w:p>
        </w:tc>
        <w:tc>
          <w:tcPr>
            <w:tcW w:w="360" w:type="dxa"/>
            <w:vAlign w:val="bottom"/>
            <w:tcBorders>
              <w:bottom w:val="single" w:sz="8" w:color="auto"/>
            </w:tcBorders>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B2B2B2"/>
          </w:tcPr>
          <w:p>
            <w:pPr>
              <w:jc w:val="right"/>
              <w:ind w:right="80"/>
              <w:spacing w:after="0"/>
              <w:rPr>
                <w:sz w:val="20"/>
                <w:szCs w:val="20"/>
                <w:color w:val="auto"/>
              </w:rPr>
            </w:pPr>
            <w:r>
              <w:rPr>
                <w:rFonts w:ascii="Arial" w:cs="Arial" w:eastAsia="Arial" w:hAnsi="Arial"/>
                <w:sz w:val="16"/>
                <w:szCs w:val="16"/>
                <w:color w:val="auto"/>
              </w:rPr>
              <w:t>29,316</w:t>
            </w:r>
          </w:p>
        </w:tc>
        <w:tc>
          <w:tcPr>
            <w:tcW w:w="100" w:type="dxa"/>
            <w:vAlign w:val="bottom"/>
            <w:tcBorders>
              <w:bottom w:val="single" w:sz="8" w:color="B2B2B2"/>
            </w:tcBorders>
            <w:shd w:val="clear" w:color="auto" w:fill="B2B2B2"/>
          </w:tcPr>
          <w:p>
            <w:pPr>
              <w:spacing w:after="0"/>
              <w:rPr>
                <w:sz w:val="22"/>
                <w:szCs w:val="22"/>
                <w:color w:val="auto"/>
              </w:rPr>
            </w:pPr>
          </w:p>
        </w:tc>
        <w:tc>
          <w:tcPr>
            <w:tcW w:w="300" w:type="dxa"/>
            <w:vAlign w:val="bottom"/>
            <w:tcBorders>
              <w:bottom w:val="single" w:sz="8" w:color="auto"/>
            </w:tcBorders>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2B2B2"/>
          </w:tcPr>
          <w:p>
            <w:pPr>
              <w:jc w:val="right"/>
              <w:ind w:right="61"/>
              <w:spacing w:after="0"/>
              <w:rPr>
                <w:sz w:val="20"/>
                <w:szCs w:val="20"/>
                <w:color w:val="auto"/>
              </w:rPr>
            </w:pPr>
            <w:r>
              <w:rPr>
                <w:rFonts w:ascii="Arial" w:cs="Arial" w:eastAsia="Arial" w:hAnsi="Arial"/>
                <w:sz w:val="16"/>
                <w:szCs w:val="16"/>
                <w:color w:val="auto"/>
              </w:rPr>
              <w:t>17,556</w:t>
            </w:r>
          </w:p>
        </w:tc>
        <w:tc>
          <w:tcPr>
            <w:tcW w:w="100" w:type="dxa"/>
            <w:vAlign w:val="bottom"/>
            <w:tcBorders>
              <w:bottom w:val="single" w:sz="8" w:color="B2B2B2"/>
            </w:tcBorders>
            <w:shd w:val="clear" w:color="auto" w:fill="B2B2B2"/>
          </w:tcPr>
          <w:p>
            <w:pPr>
              <w:spacing w:after="0"/>
              <w:rPr>
                <w:sz w:val="22"/>
                <w:szCs w:val="22"/>
                <w:color w:val="auto"/>
              </w:rPr>
            </w:pPr>
          </w:p>
        </w:tc>
        <w:tc>
          <w:tcPr>
            <w:tcW w:w="360" w:type="dxa"/>
            <w:vAlign w:val="bottom"/>
            <w:tcBorders>
              <w:bottom w:val="single" w:sz="8" w:color="auto"/>
            </w:tcBorders>
            <w:shd w:val="clear" w:color="auto" w:fill="B2B2B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B2B2B2"/>
          </w:tcPr>
          <w:p>
            <w:pPr>
              <w:jc w:val="right"/>
              <w:ind w:right="80"/>
              <w:spacing w:after="0"/>
              <w:rPr>
                <w:sz w:val="20"/>
                <w:szCs w:val="20"/>
                <w:color w:val="auto"/>
              </w:rPr>
            </w:pPr>
            <w:r>
              <w:rPr>
                <w:rFonts w:ascii="Arial" w:cs="Arial" w:eastAsia="Arial" w:hAnsi="Arial"/>
                <w:sz w:val="16"/>
                <w:szCs w:val="16"/>
                <w:color w:val="auto"/>
              </w:rPr>
              <w:t>53,522</w:t>
            </w:r>
          </w:p>
        </w:tc>
      </w:tr>
      <w:tr>
        <w:trPr>
          <w:trHeight w:val="20"/>
        </w:trPr>
        <w:tc>
          <w:tcPr>
            <w:tcW w:w="5760" w:type="dxa"/>
            <w:vAlign w:val="bottom"/>
            <w:tcBorders>
              <w:top w:val="single" w:sz="8" w:color="B2B2B2"/>
            </w:tcBorders>
          </w:tcPr>
          <w:p>
            <w:pPr>
              <w:spacing w:after="0" w:line="20" w:lineRule="exact"/>
              <w:rPr>
                <w:sz w:val="1"/>
                <w:szCs w:val="1"/>
                <w:color w:val="auto"/>
              </w:rPr>
            </w:pPr>
          </w:p>
        </w:tc>
        <w:tc>
          <w:tcPr>
            <w:tcW w:w="300" w:type="dxa"/>
            <w:vAlign w:val="bottom"/>
            <w:tcBorders>
              <w:top w:val="single" w:sz="8" w:color="B2B2B2"/>
              <w:bottom w:val="single" w:sz="8" w:color="auto"/>
            </w:tcBorders>
          </w:tcPr>
          <w:p>
            <w:pPr>
              <w:spacing w:after="0" w:line="20" w:lineRule="exact"/>
              <w:rPr>
                <w:sz w:val="1"/>
                <w:szCs w:val="1"/>
                <w:color w:val="auto"/>
              </w:rPr>
            </w:pPr>
          </w:p>
        </w:tc>
        <w:tc>
          <w:tcPr>
            <w:tcW w:w="1000" w:type="dxa"/>
            <w:vAlign w:val="bottom"/>
            <w:tcBorders>
              <w:top w:val="single" w:sz="8" w:color="B2B2B2"/>
              <w:bottom w:val="single" w:sz="8" w:color="auto"/>
            </w:tcBorders>
          </w:tcPr>
          <w:p>
            <w:pPr>
              <w:spacing w:after="0" w:line="20" w:lineRule="exact"/>
              <w:rPr>
                <w:sz w:val="1"/>
                <w:szCs w:val="1"/>
                <w:color w:val="auto"/>
              </w:rPr>
            </w:pPr>
          </w:p>
        </w:tc>
        <w:tc>
          <w:tcPr>
            <w:tcW w:w="100" w:type="dxa"/>
            <w:vAlign w:val="bottom"/>
            <w:tcBorders>
              <w:top w:val="single" w:sz="8" w:color="B2B2B2"/>
            </w:tcBorders>
          </w:tcPr>
          <w:p>
            <w:pPr>
              <w:spacing w:after="0" w:line="20" w:lineRule="exact"/>
              <w:rPr>
                <w:sz w:val="1"/>
                <w:szCs w:val="1"/>
                <w:color w:val="auto"/>
              </w:rPr>
            </w:pPr>
          </w:p>
        </w:tc>
        <w:tc>
          <w:tcPr>
            <w:tcW w:w="360" w:type="dxa"/>
            <w:vAlign w:val="bottom"/>
            <w:tcBorders>
              <w:top w:val="single" w:sz="8" w:color="B2B2B2"/>
              <w:bottom w:val="single" w:sz="8" w:color="auto"/>
            </w:tcBorders>
          </w:tcPr>
          <w:p>
            <w:pPr>
              <w:spacing w:after="0" w:line="20" w:lineRule="exact"/>
              <w:rPr>
                <w:sz w:val="1"/>
                <w:szCs w:val="1"/>
                <w:color w:val="auto"/>
              </w:rPr>
            </w:pPr>
          </w:p>
        </w:tc>
        <w:tc>
          <w:tcPr>
            <w:tcW w:w="940" w:type="dxa"/>
            <w:vAlign w:val="bottom"/>
            <w:tcBorders>
              <w:top w:val="single" w:sz="8" w:color="B2B2B2"/>
              <w:bottom w:val="single" w:sz="8" w:color="auto"/>
            </w:tcBorders>
          </w:tcPr>
          <w:p>
            <w:pPr>
              <w:spacing w:after="0" w:line="20" w:lineRule="exact"/>
              <w:rPr>
                <w:sz w:val="1"/>
                <w:szCs w:val="1"/>
                <w:color w:val="auto"/>
              </w:rPr>
            </w:pPr>
          </w:p>
        </w:tc>
        <w:tc>
          <w:tcPr>
            <w:tcW w:w="100" w:type="dxa"/>
            <w:vAlign w:val="bottom"/>
            <w:tcBorders>
              <w:top w:val="single" w:sz="8" w:color="B2B2B2"/>
            </w:tcBorders>
          </w:tcPr>
          <w:p>
            <w:pPr>
              <w:spacing w:after="0" w:line="20" w:lineRule="exact"/>
              <w:rPr>
                <w:sz w:val="1"/>
                <w:szCs w:val="1"/>
                <w:color w:val="auto"/>
              </w:rPr>
            </w:pPr>
          </w:p>
        </w:tc>
        <w:tc>
          <w:tcPr>
            <w:tcW w:w="300" w:type="dxa"/>
            <w:vAlign w:val="bottom"/>
            <w:tcBorders>
              <w:top w:val="single" w:sz="8" w:color="B2B2B2"/>
              <w:bottom w:val="single" w:sz="8" w:color="auto"/>
            </w:tcBorders>
          </w:tcPr>
          <w:p>
            <w:pPr>
              <w:spacing w:after="0" w:line="20" w:lineRule="exact"/>
              <w:rPr>
                <w:sz w:val="1"/>
                <w:szCs w:val="1"/>
                <w:color w:val="auto"/>
              </w:rPr>
            </w:pPr>
          </w:p>
        </w:tc>
        <w:tc>
          <w:tcPr>
            <w:tcW w:w="980" w:type="dxa"/>
            <w:vAlign w:val="bottom"/>
            <w:tcBorders>
              <w:top w:val="single" w:sz="8" w:color="B2B2B2"/>
              <w:bottom w:val="single" w:sz="8" w:color="auto"/>
            </w:tcBorders>
          </w:tcPr>
          <w:p>
            <w:pPr>
              <w:spacing w:after="0" w:line="20" w:lineRule="exact"/>
              <w:rPr>
                <w:sz w:val="1"/>
                <w:szCs w:val="1"/>
                <w:color w:val="auto"/>
              </w:rPr>
            </w:pPr>
          </w:p>
        </w:tc>
        <w:tc>
          <w:tcPr>
            <w:tcW w:w="100" w:type="dxa"/>
            <w:vAlign w:val="bottom"/>
            <w:tcBorders>
              <w:top w:val="single" w:sz="8" w:color="B2B2B2"/>
            </w:tcBorders>
          </w:tcPr>
          <w:p>
            <w:pPr>
              <w:spacing w:after="0" w:line="20" w:lineRule="exact"/>
              <w:rPr>
                <w:sz w:val="1"/>
                <w:szCs w:val="1"/>
                <w:color w:val="auto"/>
              </w:rPr>
            </w:pPr>
          </w:p>
        </w:tc>
        <w:tc>
          <w:tcPr>
            <w:tcW w:w="360" w:type="dxa"/>
            <w:vAlign w:val="bottom"/>
            <w:tcBorders>
              <w:top w:val="single" w:sz="8" w:color="B2B2B2"/>
              <w:bottom w:val="single" w:sz="8" w:color="auto"/>
            </w:tcBorders>
          </w:tcPr>
          <w:p>
            <w:pPr>
              <w:spacing w:after="0" w:line="20" w:lineRule="exact"/>
              <w:rPr>
                <w:sz w:val="1"/>
                <w:szCs w:val="1"/>
                <w:color w:val="auto"/>
              </w:rPr>
            </w:pPr>
          </w:p>
        </w:tc>
        <w:tc>
          <w:tcPr>
            <w:tcW w:w="940" w:type="dxa"/>
            <w:vAlign w:val="bottom"/>
            <w:tcBorders>
              <w:top w:val="single" w:sz="8" w:color="B2B2B2"/>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02"/>
        </w:trPr>
        <w:tc>
          <w:tcPr>
            <w:tcW w:w="7860" w:type="dxa"/>
            <w:vAlign w:val="bottom"/>
            <w:tcBorders>
              <w:top w:val="single" w:sz="8" w:color="B2B2B2"/>
            </w:tcBorders>
            <w:shd w:val="clear" w:color="auto" w:fill="B2B2B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top w:val="single" w:sz="8" w:color="auto"/>
            </w:tcBorders>
            <w:shd w:val="clear" w:color="auto" w:fill="B2B2B2"/>
          </w:tcPr>
          <w:p>
            <w:pPr>
              <w:spacing w:after="0"/>
              <w:rPr>
                <w:sz w:val="17"/>
                <w:szCs w:val="17"/>
                <w:color w:val="auto"/>
              </w:rPr>
            </w:pPr>
          </w:p>
        </w:tc>
        <w:tc>
          <w:tcPr>
            <w:tcW w:w="1160" w:type="dxa"/>
            <w:vAlign w:val="bottom"/>
            <w:tcBorders>
              <w:top w:val="single" w:sz="8" w:color="auto"/>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auto"/>
            </w:tcBorders>
            <w:shd w:val="clear" w:color="auto" w:fill="B2B2B2"/>
          </w:tcPr>
          <w:p>
            <w:pPr>
              <w:spacing w:after="0"/>
              <w:rPr>
                <w:sz w:val="17"/>
                <w:szCs w:val="17"/>
                <w:color w:val="auto"/>
              </w:rPr>
            </w:pPr>
          </w:p>
        </w:tc>
        <w:tc>
          <w:tcPr>
            <w:tcW w:w="1760" w:type="dxa"/>
            <w:vAlign w:val="bottom"/>
            <w:tcBorders>
              <w:top w:val="single" w:sz="8" w:color="auto"/>
            </w:tcBorders>
            <w:shd w:val="clear" w:color="auto" w:fill="B2B2B2"/>
          </w:tcPr>
          <w:p>
            <w:pPr>
              <w:spacing w:after="0"/>
              <w:rPr>
                <w:sz w:val="17"/>
                <w:szCs w:val="17"/>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204,037</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195,540</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202,612</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218,271</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96,092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79,070</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115,532</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95,149</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6,162</w:t>
            </w:r>
          </w:p>
        </w:tc>
      </w:tr>
      <w:tr>
        <w:trPr>
          <w:trHeight w:val="216"/>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88"/>
              <w:spacing w:after="0"/>
              <w:rPr>
                <w:sz w:val="20"/>
                <w:szCs w:val="20"/>
                <w:color w:val="auto"/>
              </w:rPr>
            </w:pPr>
            <w:r>
              <w:rPr>
                <w:rFonts w:ascii="Arial" w:cs="Arial" w:eastAsia="Arial" w:hAnsi="Arial"/>
                <w:sz w:val="14"/>
                <w:szCs w:val="14"/>
                <w:color w:val="auto"/>
              </w:rPr>
              <w:t>26,209</w:t>
            </w:r>
          </w:p>
        </w:tc>
        <w:tc>
          <w:tcPr>
            <w:tcW w:w="120" w:type="dxa"/>
            <w:vAlign w:val="bottom"/>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760" w:type="dxa"/>
            <w:vAlign w:val="bottom"/>
            <w:tcBorders>
              <w:bottom w:val="single" w:sz="8" w:color="auto"/>
            </w:tcBorders>
            <w:shd w:val="clear" w:color="auto" w:fill="B2B2B2"/>
          </w:tcPr>
          <w:p>
            <w:pPr>
              <w:jc w:val="right"/>
              <w:ind w:right="68"/>
              <w:spacing w:after="0"/>
              <w:rPr>
                <w:sz w:val="20"/>
                <w:szCs w:val="20"/>
                <w:color w:val="auto"/>
              </w:rPr>
            </w:pPr>
            <w:r>
              <w:rPr>
                <w:rFonts w:ascii="Arial" w:cs="Arial" w:eastAsia="Arial" w:hAnsi="Arial"/>
                <w:sz w:val="14"/>
                <w:szCs w:val="14"/>
                <w:color w:val="auto"/>
              </w:rPr>
              <w:t>24,142</w:t>
            </w:r>
          </w:p>
        </w:tc>
      </w:tr>
      <w:tr>
        <w:trPr>
          <w:trHeight w:val="209"/>
        </w:trPr>
        <w:tc>
          <w:tcPr>
            <w:tcW w:w="786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650,480</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618,334</w:t>
            </w:r>
          </w:p>
        </w:tc>
      </w:tr>
      <w:tr>
        <w:trPr>
          <w:trHeight w:val="222"/>
        </w:trPr>
        <w:tc>
          <w:tcPr>
            <w:tcW w:w="7860" w:type="dxa"/>
            <w:vAlign w:val="bottom"/>
            <w:shd w:val="clear" w:color="auto" w:fill="B2B2B2"/>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spacing w:after="0"/>
              <w:rPr>
                <w:sz w:val="19"/>
                <w:szCs w:val="19"/>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443,046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466,462</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49,706</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52,892</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181,302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180,934</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40,999</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51,621</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36,901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41,234</w:t>
            </w:r>
          </w:p>
        </w:tc>
      </w:tr>
      <w:tr>
        <w:trPr>
          <w:trHeight w:val="216"/>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88"/>
              <w:spacing w:after="0"/>
              <w:rPr>
                <w:sz w:val="20"/>
                <w:szCs w:val="20"/>
                <w:color w:val="auto"/>
              </w:rPr>
            </w:pPr>
            <w:r>
              <w:rPr>
                <w:rFonts w:ascii="Arial" w:cs="Arial" w:eastAsia="Arial" w:hAnsi="Arial"/>
                <w:sz w:val="14"/>
                <w:szCs w:val="14"/>
                <w:color w:val="auto"/>
              </w:rPr>
              <w:t>59,526</w:t>
            </w:r>
          </w:p>
        </w:tc>
        <w:tc>
          <w:tcPr>
            <w:tcW w:w="120" w:type="dxa"/>
            <w:vAlign w:val="bottom"/>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760" w:type="dxa"/>
            <w:vAlign w:val="bottom"/>
            <w:tcBorders>
              <w:bottom w:val="single" w:sz="8" w:color="auto"/>
            </w:tcBorders>
            <w:shd w:val="clear" w:color="auto" w:fill="B2B2B2"/>
          </w:tcPr>
          <w:p>
            <w:pPr>
              <w:jc w:val="right"/>
              <w:ind w:right="68"/>
              <w:spacing w:after="0"/>
              <w:rPr>
                <w:sz w:val="20"/>
                <w:szCs w:val="20"/>
                <w:color w:val="auto"/>
              </w:rPr>
            </w:pPr>
            <w:r>
              <w:rPr>
                <w:rFonts w:ascii="Arial" w:cs="Arial" w:eastAsia="Arial" w:hAnsi="Arial"/>
                <w:sz w:val="14"/>
                <w:szCs w:val="14"/>
                <w:color w:val="auto"/>
              </w:rPr>
              <w:t>62,891</w:t>
            </w:r>
          </w:p>
        </w:tc>
      </w:tr>
      <w:tr>
        <w:trPr>
          <w:trHeight w:val="216"/>
        </w:trPr>
        <w:tc>
          <w:tcPr>
            <w:tcW w:w="786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1,461,960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1,474,368</w:t>
            </w:r>
          </w:p>
        </w:tc>
      </w:tr>
      <w:tr>
        <w:trPr>
          <w:trHeight w:val="20"/>
        </w:trPr>
        <w:tc>
          <w:tcPr>
            <w:tcW w:w="786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16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220" w:type="dxa"/>
            <w:vAlign w:val="bottom"/>
            <w:shd w:val="clear" w:color="auto" w:fill="B2B2B2"/>
          </w:tcPr>
          <w:p>
            <w:pPr>
              <w:spacing w:after="0"/>
              <w:rPr>
                <w:sz w:val="15"/>
                <w:szCs w:val="15"/>
                <w:color w:val="auto"/>
              </w:rPr>
            </w:pPr>
          </w:p>
        </w:tc>
        <w:tc>
          <w:tcPr>
            <w:tcW w:w="1760" w:type="dxa"/>
            <w:vAlign w:val="bottom"/>
            <w:shd w:val="clear" w:color="auto" w:fill="B2B2B2"/>
          </w:tcPr>
          <w:p>
            <w:pPr>
              <w:spacing w:after="0"/>
              <w:rPr>
                <w:sz w:val="15"/>
                <w:szCs w:val="15"/>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B2B2B2"/>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50,181</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65,203</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115,458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125,885</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20</w:t>
            </w:r>
          </w:p>
        </w:tc>
      </w:tr>
      <w:tr>
        <w:trPr>
          <w:trHeight w:val="210"/>
        </w:trPr>
        <w:tc>
          <w:tcPr>
            <w:tcW w:w="786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11,546</w:t>
            </w:r>
          </w:p>
        </w:tc>
        <w:tc>
          <w:tcPr>
            <w:tcW w:w="120" w:type="dxa"/>
            <w:vAlign w:val="bottom"/>
            <w:tcBorders>
              <w:bottom w:val="single" w:sz="8" w:color="B2B2B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11,611</w:t>
            </w:r>
          </w:p>
        </w:tc>
      </w:tr>
      <w:tr>
        <w:trPr>
          <w:trHeight w:val="215"/>
        </w:trPr>
        <w:tc>
          <w:tcPr>
            <w:tcW w:w="7860" w:type="dxa"/>
            <w:vAlign w:val="bottom"/>
            <w:shd w:val="clear" w:color="auto" w:fill="B2B2B2"/>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177,202</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202,719</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435,000</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424,009</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134,898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132,725</w:t>
            </w:r>
          </w:p>
        </w:tc>
      </w:tr>
      <w:tr>
        <w:trPr>
          <w:trHeight w:val="216"/>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88"/>
              <w:spacing w:after="0"/>
              <w:rPr>
                <w:sz w:val="20"/>
                <w:szCs w:val="20"/>
                <w:color w:val="auto"/>
              </w:rPr>
            </w:pPr>
            <w:r>
              <w:rPr>
                <w:rFonts w:ascii="Arial" w:cs="Arial" w:eastAsia="Arial" w:hAnsi="Arial"/>
                <w:sz w:val="14"/>
                <w:szCs w:val="14"/>
                <w:color w:val="auto"/>
              </w:rPr>
              <w:t>8,702</w:t>
            </w:r>
          </w:p>
        </w:tc>
        <w:tc>
          <w:tcPr>
            <w:tcW w:w="120" w:type="dxa"/>
            <w:vAlign w:val="bottom"/>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760" w:type="dxa"/>
            <w:vAlign w:val="bottom"/>
            <w:tcBorders>
              <w:bottom w:val="single" w:sz="8" w:color="auto"/>
            </w:tcBorders>
            <w:shd w:val="clear" w:color="auto" w:fill="B2B2B2"/>
          </w:tcPr>
          <w:p>
            <w:pPr>
              <w:jc w:val="right"/>
              <w:ind w:right="68"/>
              <w:spacing w:after="0"/>
              <w:rPr>
                <w:sz w:val="20"/>
                <w:szCs w:val="20"/>
                <w:color w:val="auto"/>
              </w:rPr>
            </w:pPr>
            <w:r>
              <w:rPr>
                <w:rFonts w:ascii="Arial" w:cs="Arial" w:eastAsia="Arial" w:hAnsi="Arial"/>
                <w:sz w:val="14"/>
                <w:szCs w:val="14"/>
                <w:color w:val="auto"/>
              </w:rPr>
              <w:t>12,226</w:t>
            </w:r>
          </w:p>
        </w:tc>
      </w:tr>
      <w:tr>
        <w:trPr>
          <w:trHeight w:val="209"/>
        </w:trPr>
        <w:tc>
          <w:tcPr>
            <w:tcW w:w="7860" w:type="dxa"/>
            <w:vAlign w:val="bottom"/>
            <w:tcBorders>
              <w:bottom w:val="single" w:sz="8" w:color="B2B2B2"/>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755,802</w:t>
            </w:r>
          </w:p>
        </w:tc>
        <w:tc>
          <w:tcPr>
            <w:tcW w:w="120" w:type="dxa"/>
            <w:vAlign w:val="bottom"/>
            <w:tcBorders>
              <w:bottom w:val="single" w:sz="8" w:color="B2B2B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771,679</w:t>
            </w:r>
          </w:p>
        </w:tc>
      </w:tr>
      <w:tr>
        <w:trPr>
          <w:trHeight w:val="202"/>
        </w:trPr>
        <w:tc>
          <w:tcPr>
            <w:tcW w:w="78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760" w:type="dxa"/>
            <w:vAlign w:val="bottom"/>
            <w:shd w:val="clear" w:color="auto" w:fill="B2B2B2"/>
          </w:tcPr>
          <w:p>
            <w:pPr>
              <w:spacing w:after="0"/>
              <w:rPr>
                <w:sz w:val="17"/>
                <w:szCs w:val="17"/>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7860" w:type="dxa"/>
            <w:vAlign w:val="bottom"/>
            <w:shd w:val="clear" w:color="auto" w:fill="B2B2B2"/>
          </w:tcPr>
          <w:p>
            <w:pPr>
              <w:ind w:left="12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B2B2B2"/>
          </w:tcPr>
          <w:p>
            <w:pPr>
              <w:spacing w:after="0"/>
              <w:rPr>
                <w:sz w:val="19"/>
                <w:szCs w:val="19"/>
                <w:color w:val="auto"/>
              </w:rPr>
            </w:pPr>
          </w:p>
        </w:tc>
        <w:tc>
          <w:tcPr>
            <w:tcW w:w="1280" w:type="dxa"/>
            <w:vAlign w:val="bottom"/>
            <w:gridSpan w:val="2"/>
            <w:shd w:val="clear" w:color="auto" w:fill="B2B2B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194"/>
        </w:trPr>
        <w:tc>
          <w:tcPr>
            <w:tcW w:w="7860" w:type="dxa"/>
            <w:vAlign w:val="bottom"/>
          </w:tcPr>
          <w:p>
            <w:pPr>
              <w:ind w:left="120"/>
              <w:spacing w:after="0"/>
              <w:rPr>
                <w:sz w:val="20"/>
                <w:szCs w:val="20"/>
                <w:color w:val="auto"/>
              </w:rPr>
            </w:pPr>
            <w:r>
              <w:rPr>
                <w:rFonts w:ascii="Arial" w:cs="Arial" w:eastAsia="Arial" w:hAnsi="Arial"/>
                <w:sz w:val="14"/>
                <w:szCs w:val="14"/>
                <w:color w:val="auto"/>
              </w:rPr>
              <w:t>Class A Common Stock, par value $.001 per share; authorized 100,000,000 shares; 39,112,722 issued in 2020</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78"/>
        </w:trPr>
        <w:tc>
          <w:tcPr>
            <w:tcW w:w="7860" w:type="dxa"/>
            <w:vAlign w:val="bottom"/>
          </w:tcPr>
          <w:p>
            <w:pPr>
              <w:ind w:left="120"/>
              <w:spacing w:after="0"/>
              <w:rPr>
                <w:sz w:val="20"/>
                <w:szCs w:val="20"/>
                <w:color w:val="auto"/>
              </w:rPr>
            </w:pPr>
            <w:r>
              <w:rPr>
                <w:rFonts w:ascii="Arial" w:cs="Arial" w:eastAsia="Arial" w:hAnsi="Arial"/>
                <w:sz w:val="14"/>
                <w:szCs w:val="14"/>
                <w:color w:val="auto"/>
              </w:rPr>
              <w:t>and 39,098,792 in 2019</w:t>
            </w:r>
          </w:p>
        </w:tc>
        <w:tc>
          <w:tcPr>
            <w:tcW w:w="1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39</w:t>
            </w:r>
          </w:p>
        </w:tc>
      </w:tr>
      <w:tr>
        <w:trPr>
          <w:trHeight w:val="200"/>
        </w:trPr>
        <w:tc>
          <w:tcPr>
            <w:tcW w:w="7860" w:type="dxa"/>
            <w:vAlign w:val="bottom"/>
            <w:shd w:val="clear" w:color="auto" w:fill="B2B2B2"/>
          </w:tcPr>
          <w:p>
            <w:pPr>
              <w:ind w:left="120"/>
              <w:spacing w:after="0"/>
              <w:rPr>
                <w:sz w:val="20"/>
                <w:szCs w:val="20"/>
                <w:color w:val="auto"/>
              </w:rPr>
            </w:pPr>
            <w:r>
              <w:rPr>
                <w:rFonts w:ascii="Arial" w:cs="Arial" w:eastAsia="Arial" w:hAnsi="Arial"/>
                <w:sz w:val="14"/>
                <w:szCs w:val="14"/>
                <w:color w:val="auto"/>
              </w:rPr>
              <w:t>Class B Common Stock, par value $.001 per share; authorized 25,000,000 shares; issued and outstanding 1,617,998 in</w:t>
            </w:r>
          </w:p>
        </w:tc>
        <w:tc>
          <w:tcPr>
            <w:tcW w:w="120" w:type="dxa"/>
            <w:vAlign w:val="bottom"/>
            <w:shd w:val="clear" w:color="auto" w:fill="B2B2B2"/>
          </w:tcPr>
          <w:p>
            <w:pPr>
              <w:spacing w:after="0"/>
              <w:rPr>
                <w:sz w:val="17"/>
                <w:szCs w:val="17"/>
                <w:color w:val="auto"/>
              </w:rPr>
            </w:pPr>
          </w:p>
        </w:tc>
        <w:tc>
          <w:tcPr>
            <w:tcW w:w="11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760" w:type="dxa"/>
            <w:vAlign w:val="bottom"/>
            <w:shd w:val="clear" w:color="auto" w:fill="B2B2B2"/>
          </w:tcPr>
          <w:p>
            <w:pPr>
              <w:spacing w:after="0"/>
              <w:rPr>
                <w:sz w:val="17"/>
                <w:szCs w:val="17"/>
                <w:color w:val="auto"/>
              </w:rPr>
            </w:pPr>
          </w:p>
        </w:tc>
      </w:tr>
      <w:tr>
        <w:trPr>
          <w:trHeight w:val="184"/>
        </w:trPr>
        <w:tc>
          <w:tcPr>
            <w:tcW w:w="7860" w:type="dxa"/>
            <w:vAlign w:val="bottom"/>
            <w:shd w:val="clear" w:color="auto" w:fill="B2B2B2"/>
          </w:tcPr>
          <w:p>
            <w:pPr>
              <w:ind w:left="120"/>
              <w:spacing w:after="0"/>
              <w:rPr>
                <w:sz w:val="20"/>
                <w:szCs w:val="20"/>
                <w:color w:val="auto"/>
              </w:rPr>
            </w:pPr>
            <w:r>
              <w:rPr>
                <w:rFonts w:ascii="Arial" w:cs="Arial" w:eastAsia="Arial" w:hAnsi="Arial"/>
                <w:sz w:val="14"/>
                <w:szCs w:val="14"/>
                <w:color w:val="auto"/>
              </w:rPr>
              <w:t>2020 and 2019</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432,738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432,518</w:t>
            </w:r>
          </w:p>
        </w:tc>
      </w:tr>
      <w:tr>
        <w:trPr>
          <w:trHeight w:val="222"/>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726,233</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698,496</w:t>
            </w: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7860" w:type="dxa"/>
            <w:vAlign w:val="bottom"/>
            <w:shd w:val="clear" w:color="auto" w:fill="B2B2B2"/>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(139,635)</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(122,852)</w:t>
            </w:r>
          </w:p>
        </w:tc>
      </w:tr>
      <w:tr>
        <w:trPr>
          <w:trHeight w:val="210"/>
        </w:trPr>
        <w:tc>
          <w:tcPr>
            <w:tcW w:w="786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(48,962)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(49,994)</w:t>
            </w:r>
          </w:p>
        </w:tc>
      </w:tr>
      <w:tr>
        <w:trPr>
          <w:trHeight w:val="222"/>
        </w:trPr>
        <w:tc>
          <w:tcPr>
            <w:tcW w:w="7860" w:type="dxa"/>
            <w:vAlign w:val="bottom"/>
            <w:shd w:val="clear" w:color="auto" w:fill="B2B2B2"/>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B2B2B2"/>
          </w:tcPr>
          <w:p>
            <w:pPr>
              <w:spacing w:after="0"/>
              <w:rPr>
                <w:sz w:val="19"/>
                <w:szCs w:val="19"/>
                <w:color w:val="auto"/>
              </w:rPr>
            </w:pPr>
          </w:p>
        </w:tc>
        <w:tc>
          <w:tcPr>
            <w:tcW w:w="116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(11,030)</w:t>
            </w:r>
          </w:p>
        </w:tc>
        <w:tc>
          <w:tcPr>
            <w:tcW w:w="12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176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(3,135)</w:t>
            </w:r>
          </w:p>
        </w:tc>
      </w:tr>
      <w:tr>
        <w:trPr>
          <w:trHeight w:val="210"/>
        </w:trPr>
        <w:tc>
          <w:tcPr>
            <w:tcW w:w="7860" w:type="dxa"/>
            <w:vAlign w:val="bottom"/>
            <w:tcBorders>
              <w:bottom w:val="single" w:sz="8" w:color="B2B2B2"/>
            </w:tcBorders>
          </w:tcPr>
          <w:p>
            <w:pPr>
              <w:ind w:left="120"/>
              <w:spacing w:after="0"/>
              <w:rPr>
                <w:sz w:val="20"/>
                <w:szCs w:val="20"/>
                <w:color w:val="auto"/>
              </w:rPr>
            </w:pPr>
            <w:r>
              <w:rPr>
                <w:rFonts w:ascii="Arial" w:cs="Arial" w:eastAsia="Arial" w:hAnsi="Arial"/>
                <w:sz w:val="14"/>
                <w:szCs w:val="14"/>
                <w:color w:val="auto"/>
              </w:rPr>
              <w:t>Treasury stock (Class A), at cost; 8,394,022 shares in 2020 and 8,408,770 shares in 2019</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(256,074)</w:t>
            </w:r>
          </w:p>
        </w:tc>
        <w:tc>
          <w:tcPr>
            <w:tcW w:w="120" w:type="dxa"/>
            <w:vAlign w:val="bottom"/>
            <w:tcBorders>
              <w:bottom w:val="single" w:sz="8" w:color="B2B2B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(256,391)</w:t>
            </w:r>
          </w:p>
        </w:tc>
      </w:tr>
      <w:tr>
        <w:trPr>
          <w:trHeight w:val="216"/>
        </w:trPr>
        <w:tc>
          <w:tcPr>
            <w:tcW w:w="7860" w:type="dxa"/>
            <w:vAlign w:val="bottom"/>
            <w:shd w:val="clear" w:color="auto" w:fill="B2B2B2"/>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703,311</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698,683</w:t>
            </w:r>
          </w:p>
        </w:tc>
      </w:tr>
      <w:tr>
        <w:trPr>
          <w:trHeight w:val="210"/>
        </w:trPr>
        <w:tc>
          <w:tcPr>
            <w:tcW w:w="786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2,847</w:t>
            </w:r>
          </w:p>
        </w:tc>
        <w:tc>
          <w:tcPr>
            <w:tcW w:w="120" w:type="dxa"/>
            <w:vAlign w:val="bottom"/>
            <w:tcBorders>
              <w:bottom w:val="single" w:sz="8" w:color="B2B2B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4,006</w:t>
            </w:r>
          </w:p>
        </w:tc>
      </w:tr>
      <w:tr>
        <w:trPr>
          <w:trHeight w:val="209"/>
        </w:trPr>
        <w:tc>
          <w:tcPr>
            <w:tcW w:w="7860" w:type="dxa"/>
            <w:vAlign w:val="bottom"/>
            <w:shd w:val="clear" w:color="auto" w:fill="B2B2B2"/>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88"/>
              <w:spacing w:after="0"/>
              <w:rPr>
                <w:sz w:val="20"/>
                <w:szCs w:val="20"/>
                <w:color w:val="auto"/>
              </w:rPr>
            </w:pPr>
            <w:r>
              <w:rPr>
                <w:rFonts w:ascii="Arial" w:cs="Arial" w:eastAsia="Arial" w:hAnsi="Arial"/>
                <w:sz w:val="14"/>
                <w:szCs w:val="14"/>
                <w:color w:val="auto"/>
              </w:rPr>
              <w:t>706,158</w:t>
            </w:r>
          </w:p>
        </w:tc>
        <w:tc>
          <w:tcPr>
            <w:tcW w:w="120" w:type="dxa"/>
            <w:vAlign w:val="bottom"/>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760" w:type="dxa"/>
            <w:vAlign w:val="bottom"/>
            <w:tcBorders>
              <w:bottom w:val="single" w:sz="8" w:color="auto"/>
            </w:tcBorders>
            <w:shd w:val="clear" w:color="auto" w:fill="B2B2B2"/>
          </w:tcPr>
          <w:p>
            <w:pPr>
              <w:jc w:val="right"/>
              <w:ind w:right="68"/>
              <w:spacing w:after="0"/>
              <w:rPr>
                <w:sz w:val="20"/>
                <w:szCs w:val="20"/>
                <w:color w:val="auto"/>
              </w:rPr>
            </w:pPr>
            <w:r>
              <w:rPr>
                <w:rFonts w:ascii="Arial" w:cs="Arial" w:eastAsia="Arial" w:hAnsi="Arial"/>
                <w:sz w:val="14"/>
                <w:szCs w:val="14"/>
                <w:color w:val="auto"/>
              </w:rPr>
              <w:t>702,689</w:t>
            </w:r>
          </w:p>
        </w:tc>
      </w:tr>
      <w:tr>
        <w:trPr>
          <w:trHeight w:val="216"/>
        </w:trPr>
        <w:tc>
          <w:tcPr>
            <w:tcW w:w="786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1,461,960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1,474,368</w:t>
            </w: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20" w:type="dxa"/>
            <w:vAlign w:val="bottom"/>
            <w:tcBorders>
              <w:bottom w:val="single" w:sz="8" w:color="B2B2B2"/>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B2B2B2"/>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2B2B2"/>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B2B2B2"/>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5820" w:type="dxa"/>
            <w:vAlign w:val="bottom"/>
            <w:shd w:val="clear" w:color="auto" w:fill="B2B2B2"/>
          </w:tcPr>
          <w:p>
            <w:pPr>
              <w:ind w:left="2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80" w:type="dxa"/>
            <w:vAlign w:val="bottom"/>
            <w:shd w:val="clear" w:color="auto" w:fill="B2B2B2"/>
          </w:tcPr>
          <w:p>
            <w:pPr>
              <w:spacing w:after="0"/>
              <w:rPr>
                <w:sz w:val="17"/>
                <w:szCs w:val="17"/>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32,449</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34,259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40,043</w:t>
            </w:r>
          </w:p>
        </w:tc>
        <w:tc>
          <w:tcPr>
            <w:tcW w:w="10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63,667</w:t>
            </w:r>
          </w:p>
        </w:tc>
      </w:tr>
      <w:tr>
        <w:trPr>
          <w:trHeight w:val="222"/>
        </w:trPr>
        <w:tc>
          <w:tcPr>
            <w:tcW w:w="5820" w:type="dxa"/>
            <w:vAlign w:val="bottom"/>
            <w:shd w:val="clear" w:color="auto" w:fill="B2B2B2"/>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spacing w:after="0"/>
              <w:rPr>
                <w:sz w:val="19"/>
                <w:szCs w:val="19"/>
                <w:color w:val="auto"/>
              </w:rPr>
            </w:pP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15,498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30,987</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5,020</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4,723</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Change in deferred taxes and other liabilities</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(746)</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Provision for write-off of property, plant and equipment</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1,106</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Non-cash interest expense</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303</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623</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Fair value adjustment on foreign currency option</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1,769</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804</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Foreign currency remeasurement loss/(gain) on intercompany loans</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15,581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(1,607)</w:t>
            </w:r>
          </w:p>
        </w:tc>
      </w:tr>
      <w:tr>
        <w:trPr>
          <w:trHeight w:val="168"/>
        </w:trPr>
        <w:tc>
          <w:tcPr>
            <w:tcW w:w="582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100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980" w:type="dxa"/>
            <w:vAlign w:val="bottom"/>
            <w:shd w:val="clear" w:color="auto" w:fill="B2B2B2"/>
          </w:tcPr>
          <w:p>
            <w:pPr>
              <w:spacing w:after="0"/>
              <w:rPr>
                <w:sz w:val="14"/>
                <w:szCs w:val="14"/>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11,511</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14,215</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8,117</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2,006</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Contract assets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(20,009)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3,047</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(4,878)</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(24,628)</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(18,167)</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(4,188)</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Income taxes prepaid and receivable</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358</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7,474</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4,171</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(10,901)</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(12,169)</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7,230</w:t>
            </w: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Noncurrent receivables</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68"/>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8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(340)</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(2,160)</w:t>
            </w:r>
          </w:p>
        </w:tc>
      </w:tr>
      <w:tr>
        <w:trPr>
          <w:trHeight w:val="216"/>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68"/>
              <w:spacing w:after="0"/>
              <w:rPr>
                <w:sz w:val="20"/>
                <w:szCs w:val="20"/>
                <w:color w:val="auto"/>
              </w:rPr>
            </w:pPr>
            <w:r>
              <w:rPr>
                <w:rFonts w:ascii="Arial" w:cs="Arial" w:eastAsia="Arial" w:hAnsi="Arial"/>
                <w:sz w:val="14"/>
                <w:szCs w:val="14"/>
                <w:color w:val="auto"/>
              </w:rPr>
              <w:t>145</w:t>
            </w:r>
          </w:p>
        </w:tc>
      </w:tr>
      <w:tr>
        <w:trPr>
          <w:trHeight w:val="210"/>
        </w:trPr>
        <w:tc>
          <w:tcPr>
            <w:tcW w:w="5820" w:type="dxa"/>
            <w:vAlign w:val="bottom"/>
            <w:tcBorders>
              <w:bottom w:val="single" w:sz="8" w:color="B2B2B2"/>
            </w:tcBorders>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50,672</w:t>
            </w:r>
          </w:p>
        </w:tc>
        <w:tc>
          <w:tcPr>
            <w:tcW w:w="120" w:type="dxa"/>
            <w:vAlign w:val="bottom"/>
            <w:tcBorders>
              <w:bottom w:val="single" w:sz="8" w:color="B2B2B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58,530</w:t>
            </w:r>
          </w:p>
        </w:tc>
        <w:tc>
          <w:tcPr>
            <w:tcW w:w="100" w:type="dxa"/>
            <w:vAlign w:val="bottom"/>
            <w:tcBorders>
              <w:bottom w:val="single" w:sz="8" w:color="B2B2B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44,034</w:t>
            </w:r>
          </w:p>
        </w:tc>
        <w:tc>
          <w:tcPr>
            <w:tcW w:w="100" w:type="dxa"/>
            <w:vAlign w:val="bottom"/>
            <w:tcBorders>
              <w:bottom w:val="single" w:sz="8" w:color="B2B2B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83,096</w:t>
            </w:r>
          </w:p>
        </w:tc>
      </w:tr>
      <w:tr>
        <w:trPr>
          <w:trHeight w:val="135"/>
        </w:trPr>
        <w:tc>
          <w:tcPr>
            <w:tcW w:w="5820" w:type="dxa"/>
            <w:vAlign w:val="bottom"/>
            <w:shd w:val="clear" w:color="auto" w:fill="B2B2B2"/>
          </w:tcPr>
          <w:p>
            <w:pPr>
              <w:spacing w:after="0"/>
              <w:rPr>
                <w:sz w:val="11"/>
                <w:szCs w:val="11"/>
                <w:color w:val="auto"/>
              </w:rPr>
            </w:pPr>
          </w:p>
        </w:tc>
        <w:tc>
          <w:tcPr>
            <w:tcW w:w="220" w:type="dxa"/>
            <w:vAlign w:val="bottom"/>
            <w:shd w:val="clear" w:color="auto" w:fill="B2B2B2"/>
          </w:tcPr>
          <w:p>
            <w:pPr>
              <w:spacing w:after="0"/>
              <w:rPr>
                <w:sz w:val="11"/>
                <w:szCs w:val="11"/>
                <w:color w:val="auto"/>
              </w:rPr>
            </w:pPr>
          </w:p>
        </w:tc>
        <w:tc>
          <w:tcPr>
            <w:tcW w:w="1060" w:type="dxa"/>
            <w:vAlign w:val="bottom"/>
            <w:shd w:val="clear" w:color="auto" w:fill="B2B2B2"/>
          </w:tcPr>
          <w:p>
            <w:pPr>
              <w:spacing w:after="0"/>
              <w:rPr>
                <w:sz w:val="11"/>
                <w:szCs w:val="11"/>
                <w:color w:val="auto"/>
              </w:rPr>
            </w:pPr>
          </w:p>
        </w:tc>
        <w:tc>
          <w:tcPr>
            <w:tcW w:w="120" w:type="dxa"/>
            <w:vAlign w:val="bottom"/>
            <w:shd w:val="clear" w:color="auto" w:fill="B2B2B2"/>
          </w:tcPr>
          <w:p>
            <w:pPr>
              <w:spacing w:after="0"/>
              <w:rPr>
                <w:sz w:val="11"/>
                <w:szCs w:val="11"/>
                <w:color w:val="auto"/>
              </w:rPr>
            </w:pPr>
          </w:p>
        </w:tc>
        <w:tc>
          <w:tcPr>
            <w:tcW w:w="280" w:type="dxa"/>
            <w:vAlign w:val="bottom"/>
            <w:shd w:val="clear" w:color="auto" w:fill="B2B2B2"/>
          </w:tcPr>
          <w:p>
            <w:pPr>
              <w:spacing w:after="0"/>
              <w:rPr>
                <w:sz w:val="11"/>
                <w:szCs w:val="11"/>
                <w:color w:val="auto"/>
              </w:rPr>
            </w:pPr>
          </w:p>
        </w:tc>
        <w:tc>
          <w:tcPr>
            <w:tcW w:w="1000" w:type="dxa"/>
            <w:vAlign w:val="bottom"/>
            <w:shd w:val="clear" w:color="auto" w:fill="B2B2B2"/>
          </w:tcPr>
          <w:p>
            <w:pPr>
              <w:spacing w:after="0"/>
              <w:rPr>
                <w:sz w:val="11"/>
                <w:szCs w:val="11"/>
                <w:color w:val="auto"/>
              </w:rPr>
            </w:pPr>
          </w:p>
        </w:tc>
        <w:tc>
          <w:tcPr>
            <w:tcW w:w="100" w:type="dxa"/>
            <w:vAlign w:val="bottom"/>
            <w:shd w:val="clear" w:color="auto" w:fill="B2B2B2"/>
          </w:tcPr>
          <w:p>
            <w:pPr>
              <w:spacing w:after="0"/>
              <w:rPr>
                <w:sz w:val="11"/>
                <w:szCs w:val="11"/>
                <w:color w:val="auto"/>
              </w:rPr>
            </w:pPr>
          </w:p>
        </w:tc>
        <w:tc>
          <w:tcPr>
            <w:tcW w:w="240" w:type="dxa"/>
            <w:vAlign w:val="bottom"/>
            <w:shd w:val="clear" w:color="auto" w:fill="B2B2B2"/>
          </w:tcPr>
          <w:p>
            <w:pPr>
              <w:spacing w:after="0"/>
              <w:rPr>
                <w:sz w:val="11"/>
                <w:szCs w:val="11"/>
                <w:color w:val="auto"/>
              </w:rPr>
            </w:pPr>
          </w:p>
        </w:tc>
        <w:tc>
          <w:tcPr>
            <w:tcW w:w="1040" w:type="dxa"/>
            <w:vAlign w:val="bottom"/>
            <w:shd w:val="clear" w:color="auto" w:fill="B2B2B2"/>
          </w:tcPr>
          <w:p>
            <w:pPr>
              <w:spacing w:after="0"/>
              <w:rPr>
                <w:sz w:val="11"/>
                <w:szCs w:val="11"/>
                <w:color w:val="auto"/>
              </w:rPr>
            </w:pPr>
          </w:p>
        </w:tc>
        <w:tc>
          <w:tcPr>
            <w:tcW w:w="100" w:type="dxa"/>
            <w:vAlign w:val="bottom"/>
            <w:shd w:val="clear" w:color="auto" w:fill="B2B2B2"/>
          </w:tcPr>
          <w:p>
            <w:pPr>
              <w:spacing w:after="0"/>
              <w:rPr>
                <w:sz w:val="11"/>
                <w:szCs w:val="11"/>
                <w:color w:val="auto"/>
              </w:rPr>
            </w:pPr>
          </w:p>
        </w:tc>
        <w:tc>
          <w:tcPr>
            <w:tcW w:w="280" w:type="dxa"/>
            <w:vAlign w:val="bottom"/>
            <w:shd w:val="clear" w:color="auto" w:fill="B2B2B2"/>
          </w:tcPr>
          <w:p>
            <w:pPr>
              <w:spacing w:after="0"/>
              <w:rPr>
                <w:sz w:val="11"/>
                <w:szCs w:val="11"/>
                <w:color w:val="auto"/>
              </w:rPr>
            </w:pPr>
          </w:p>
        </w:tc>
        <w:tc>
          <w:tcPr>
            <w:tcW w:w="980" w:type="dxa"/>
            <w:vAlign w:val="bottom"/>
            <w:shd w:val="clear" w:color="auto" w:fill="B2B2B2"/>
          </w:tcPr>
          <w:p>
            <w:pPr>
              <w:spacing w:after="0"/>
              <w:rPr>
                <w:sz w:val="11"/>
                <w:szCs w:val="1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(9,212)</w:t>
            </w:r>
          </w:p>
        </w:tc>
        <w:tc>
          <w:tcPr>
            <w:tcW w:w="12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(14,606)</w:t>
            </w:r>
          </w:p>
        </w:tc>
        <w:tc>
          <w:tcPr>
            <w:tcW w:w="10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040" w:type="dxa"/>
            <w:vAlign w:val="bottom"/>
            <w:shd w:val="clear" w:color="auto" w:fill="B2B2B2"/>
          </w:tcPr>
          <w:p>
            <w:pPr>
              <w:jc w:val="right"/>
              <w:ind w:right="48"/>
              <w:spacing w:after="0"/>
              <w:rPr>
                <w:sz w:val="20"/>
                <w:szCs w:val="20"/>
                <w:color w:val="auto"/>
              </w:rPr>
            </w:pPr>
            <w:r>
              <w:rPr>
                <w:rFonts w:ascii="Arial" w:cs="Arial" w:eastAsia="Arial" w:hAnsi="Arial"/>
                <w:sz w:val="14"/>
                <w:szCs w:val="14"/>
                <w:color w:val="auto"/>
              </w:rPr>
              <w:t>(21,971)</w:t>
            </w:r>
          </w:p>
        </w:tc>
        <w:tc>
          <w:tcPr>
            <w:tcW w:w="10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(35,404)</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Purchased software</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10"/>
        </w:trPr>
        <w:tc>
          <w:tcPr>
            <w:tcW w:w="5820" w:type="dxa"/>
            <w:vAlign w:val="bottom"/>
            <w:tcBorders>
              <w:top w:val="single" w:sz="8" w:color="B3B3B3"/>
            </w:tcBorders>
            <w:shd w:val="clear" w:color="auto" w:fill="B3B3B3"/>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bottom w:val="single" w:sz="8" w:color="auto"/>
            </w:tcBorders>
            <w:shd w:val="clear" w:color="auto" w:fill="B3B3B3"/>
          </w:tcPr>
          <w:p>
            <w:pPr>
              <w:spacing w:after="0"/>
              <w:rPr>
                <w:sz w:val="18"/>
                <w:szCs w:val="18"/>
                <w:color w:val="auto"/>
              </w:rPr>
            </w:pPr>
          </w:p>
        </w:tc>
        <w:tc>
          <w:tcPr>
            <w:tcW w:w="1060" w:type="dxa"/>
            <w:vAlign w:val="bottom"/>
            <w:tcBorders>
              <w:top w:val="single" w:sz="8" w:color="auto"/>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(9,212)</w:t>
            </w:r>
          </w:p>
        </w:tc>
        <w:tc>
          <w:tcPr>
            <w:tcW w:w="120" w:type="dxa"/>
            <w:vAlign w:val="bottom"/>
            <w:tcBorders>
              <w:top w:val="single" w:sz="8" w:color="B3B3B3"/>
            </w:tcBorders>
            <w:shd w:val="clear" w:color="auto" w:fill="B3B3B3"/>
          </w:tcPr>
          <w:p>
            <w:pPr>
              <w:spacing w:after="0"/>
              <w:rPr>
                <w:sz w:val="18"/>
                <w:szCs w:val="18"/>
                <w:color w:val="auto"/>
              </w:rPr>
            </w:pPr>
          </w:p>
        </w:tc>
        <w:tc>
          <w:tcPr>
            <w:tcW w:w="280" w:type="dxa"/>
            <w:vAlign w:val="bottom"/>
            <w:tcBorders>
              <w:top w:val="single" w:sz="8" w:color="auto"/>
              <w:bottom w:val="single" w:sz="8" w:color="auto"/>
            </w:tcBorders>
            <w:shd w:val="clear" w:color="auto" w:fill="B3B3B3"/>
          </w:tcPr>
          <w:p>
            <w:pPr>
              <w:spacing w:after="0"/>
              <w:rPr>
                <w:sz w:val="18"/>
                <w:szCs w:val="18"/>
                <w:color w:val="auto"/>
              </w:rPr>
            </w:pPr>
          </w:p>
        </w:tc>
        <w:tc>
          <w:tcPr>
            <w:tcW w:w="1000" w:type="dxa"/>
            <w:vAlign w:val="bottom"/>
            <w:tcBorders>
              <w:top w:val="single" w:sz="8" w:color="auto"/>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(14,633)</w:t>
            </w:r>
          </w:p>
        </w:tc>
        <w:tc>
          <w:tcPr>
            <w:tcW w:w="100" w:type="dxa"/>
            <w:vAlign w:val="bottom"/>
            <w:tcBorders>
              <w:top w:val="single" w:sz="8" w:color="B3B3B3"/>
            </w:tcBorders>
            <w:shd w:val="clear" w:color="auto" w:fill="B3B3B3"/>
          </w:tcPr>
          <w:p>
            <w:pPr>
              <w:spacing w:after="0"/>
              <w:rPr>
                <w:sz w:val="18"/>
                <w:szCs w:val="18"/>
                <w:color w:val="auto"/>
              </w:rPr>
            </w:pPr>
          </w:p>
        </w:tc>
        <w:tc>
          <w:tcPr>
            <w:tcW w:w="240" w:type="dxa"/>
            <w:vAlign w:val="bottom"/>
            <w:tcBorders>
              <w:top w:val="single" w:sz="8" w:color="auto"/>
              <w:bottom w:val="single" w:sz="8" w:color="auto"/>
            </w:tcBorders>
            <w:shd w:val="clear" w:color="auto" w:fill="B3B3B3"/>
          </w:tcPr>
          <w:p>
            <w:pPr>
              <w:spacing w:after="0"/>
              <w:rPr>
                <w:sz w:val="18"/>
                <w:szCs w:val="18"/>
                <w:color w:val="auto"/>
              </w:rPr>
            </w:pPr>
          </w:p>
        </w:tc>
        <w:tc>
          <w:tcPr>
            <w:tcW w:w="1040" w:type="dxa"/>
            <w:vAlign w:val="bottom"/>
            <w:tcBorders>
              <w:top w:val="single" w:sz="8" w:color="auto"/>
              <w:bottom w:val="single" w:sz="8" w:color="auto"/>
            </w:tcBorders>
            <w:shd w:val="clear" w:color="auto" w:fill="B3B3B3"/>
          </w:tcPr>
          <w:p>
            <w:pPr>
              <w:jc w:val="right"/>
              <w:ind w:right="48"/>
              <w:spacing w:after="0"/>
              <w:rPr>
                <w:sz w:val="20"/>
                <w:szCs w:val="20"/>
                <w:color w:val="auto"/>
              </w:rPr>
            </w:pPr>
            <w:r>
              <w:rPr>
                <w:rFonts w:ascii="Arial" w:cs="Arial" w:eastAsia="Arial" w:hAnsi="Arial"/>
                <w:sz w:val="14"/>
                <w:szCs w:val="14"/>
                <w:color w:val="auto"/>
              </w:rPr>
              <w:t>(22,017)</w:t>
            </w:r>
          </w:p>
        </w:tc>
        <w:tc>
          <w:tcPr>
            <w:tcW w:w="100" w:type="dxa"/>
            <w:vAlign w:val="bottom"/>
            <w:tcBorders>
              <w:top w:val="single" w:sz="8" w:color="B3B3B3"/>
            </w:tcBorders>
            <w:shd w:val="clear" w:color="auto" w:fill="B3B3B3"/>
          </w:tcPr>
          <w:p>
            <w:pPr>
              <w:spacing w:after="0"/>
              <w:rPr>
                <w:sz w:val="18"/>
                <w:szCs w:val="18"/>
                <w:color w:val="auto"/>
              </w:rPr>
            </w:pPr>
          </w:p>
        </w:tc>
        <w:tc>
          <w:tcPr>
            <w:tcW w:w="280" w:type="dxa"/>
            <w:vAlign w:val="bottom"/>
            <w:tcBorders>
              <w:top w:val="single" w:sz="8" w:color="auto"/>
              <w:bottom w:val="single" w:sz="8" w:color="auto"/>
            </w:tcBorders>
            <w:shd w:val="clear" w:color="auto" w:fill="B3B3B3"/>
          </w:tcPr>
          <w:p>
            <w:pPr>
              <w:spacing w:after="0"/>
              <w:rPr>
                <w:sz w:val="18"/>
                <w:szCs w:val="18"/>
                <w:color w:val="auto"/>
              </w:rPr>
            </w:pPr>
          </w:p>
        </w:tc>
        <w:tc>
          <w:tcPr>
            <w:tcW w:w="980" w:type="dxa"/>
            <w:vAlign w:val="bottom"/>
            <w:tcBorders>
              <w:top w:val="single" w:sz="8" w:color="auto"/>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(35,453)</w:t>
            </w:r>
          </w:p>
        </w:tc>
      </w:tr>
      <w:tr>
        <w:trPr>
          <w:trHeight w:val="94"/>
        </w:trPr>
        <w:tc>
          <w:tcPr>
            <w:tcW w:w="5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6"/>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B3B3B3"/>
          </w:tcPr>
          <w:p>
            <w:pPr>
              <w:spacing w:after="0"/>
              <w:rPr>
                <w:sz w:val="18"/>
                <w:szCs w:val="18"/>
                <w:color w:val="auto"/>
              </w:rPr>
            </w:pPr>
          </w:p>
        </w:tc>
        <w:tc>
          <w:tcPr>
            <w:tcW w:w="106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280" w:type="dxa"/>
            <w:vAlign w:val="bottom"/>
            <w:shd w:val="clear" w:color="auto" w:fill="B3B3B3"/>
          </w:tcPr>
          <w:p>
            <w:pPr>
              <w:spacing w:after="0"/>
              <w:rPr>
                <w:sz w:val="18"/>
                <w:szCs w:val="18"/>
                <w:color w:val="auto"/>
              </w:rPr>
            </w:pPr>
          </w:p>
        </w:tc>
        <w:tc>
          <w:tcPr>
            <w:tcW w:w="100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240" w:type="dxa"/>
            <w:vAlign w:val="bottom"/>
            <w:shd w:val="clear" w:color="auto" w:fill="B3B3B3"/>
          </w:tcPr>
          <w:p>
            <w:pPr>
              <w:spacing w:after="0"/>
              <w:rPr>
                <w:sz w:val="18"/>
                <w:szCs w:val="18"/>
                <w:color w:val="auto"/>
              </w:rPr>
            </w:pPr>
          </w:p>
        </w:tc>
        <w:tc>
          <w:tcPr>
            <w:tcW w:w="104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280" w:type="dxa"/>
            <w:vAlign w:val="bottom"/>
            <w:shd w:val="clear" w:color="auto" w:fill="B3B3B3"/>
          </w:tcPr>
          <w:p>
            <w:pPr>
              <w:spacing w:after="0"/>
              <w:rPr>
                <w:sz w:val="18"/>
                <w:szCs w:val="18"/>
                <w:color w:val="auto"/>
              </w:rPr>
            </w:pPr>
          </w:p>
        </w:tc>
        <w:tc>
          <w:tcPr>
            <w:tcW w:w="980" w:type="dxa"/>
            <w:vAlign w:val="bottom"/>
            <w:shd w:val="clear" w:color="auto" w:fill="B3B3B3"/>
          </w:tcPr>
          <w:p>
            <w:pPr>
              <w:spacing w:after="0"/>
              <w:rPr>
                <w:sz w:val="18"/>
                <w:szCs w:val="18"/>
                <w:color w:val="auto"/>
              </w:rPr>
            </w:pP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Proceeds from borrowings</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20,000</w:t>
            </w:r>
          </w:p>
        </w:tc>
      </w:tr>
      <w:tr>
        <w:trPr>
          <w:trHeight w:val="222"/>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Principal payments on debt</w:t>
            </w:r>
          </w:p>
        </w:tc>
        <w:tc>
          <w:tcPr>
            <w:tcW w:w="22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28"/>
              <w:spacing w:after="0"/>
              <w:rPr>
                <w:sz w:val="20"/>
                <w:szCs w:val="20"/>
                <w:color w:val="auto"/>
              </w:rPr>
            </w:pPr>
            <w:r>
              <w:rPr>
                <w:rFonts w:ascii="Arial" w:cs="Arial" w:eastAsia="Arial" w:hAnsi="Arial"/>
                <w:sz w:val="14"/>
                <w:szCs w:val="14"/>
                <w:color w:val="auto"/>
              </w:rPr>
              <w:t>(56,005)</w:t>
            </w:r>
          </w:p>
        </w:tc>
        <w:tc>
          <w:tcPr>
            <w:tcW w:w="120" w:type="dxa"/>
            <w:vAlign w:val="bottom"/>
            <w:shd w:val="clear" w:color="auto" w:fill="B3B3B3"/>
          </w:tcPr>
          <w:p>
            <w:pPr>
              <w:spacing w:after="0"/>
              <w:rPr>
                <w:sz w:val="19"/>
                <w:szCs w:val="19"/>
                <w:color w:val="auto"/>
              </w:rPr>
            </w:pPr>
          </w:p>
        </w:tc>
        <w:tc>
          <w:tcPr>
            <w:tcW w:w="280" w:type="dxa"/>
            <w:vAlign w:val="bottom"/>
            <w:shd w:val="clear" w:color="auto" w:fill="B3B3B3"/>
          </w:tcPr>
          <w:p>
            <w:pPr>
              <w:spacing w:after="0"/>
              <w:rPr>
                <w:sz w:val="19"/>
                <w:szCs w:val="19"/>
                <w:color w:val="auto"/>
              </w:rPr>
            </w:pPr>
          </w:p>
        </w:tc>
        <w:tc>
          <w:tcPr>
            <w:tcW w:w="1000" w:type="dxa"/>
            <w:vAlign w:val="bottom"/>
            <w:shd w:val="clear" w:color="auto" w:fill="B3B3B3"/>
          </w:tcPr>
          <w:p>
            <w:pPr>
              <w:jc w:val="right"/>
              <w:ind w:right="28"/>
              <w:spacing w:after="0"/>
              <w:rPr>
                <w:sz w:val="20"/>
                <w:szCs w:val="20"/>
                <w:color w:val="auto"/>
              </w:rPr>
            </w:pPr>
            <w:r>
              <w:rPr>
                <w:rFonts w:ascii="Arial" w:cs="Arial" w:eastAsia="Arial" w:hAnsi="Arial"/>
                <w:sz w:val="14"/>
                <w:szCs w:val="14"/>
                <w:color w:val="auto"/>
              </w:rPr>
              <w:t>(9,004)</w:t>
            </w:r>
          </w:p>
        </w:tc>
        <w:tc>
          <w:tcPr>
            <w:tcW w:w="100" w:type="dxa"/>
            <w:vAlign w:val="bottom"/>
            <w:shd w:val="clear" w:color="auto" w:fill="B3B3B3"/>
          </w:tcPr>
          <w:p>
            <w:pPr>
              <w:spacing w:after="0"/>
              <w:rPr>
                <w:sz w:val="19"/>
                <w:szCs w:val="19"/>
                <w:color w:val="auto"/>
              </w:rPr>
            </w:pPr>
          </w:p>
        </w:tc>
        <w:tc>
          <w:tcPr>
            <w:tcW w:w="240" w:type="dxa"/>
            <w:vAlign w:val="bottom"/>
            <w:shd w:val="clear" w:color="auto" w:fill="B3B3B3"/>
          </w:tcPr>
          <w:p>
            <w:pPr>
              <w:spacing w:after="0"/>
              <w:rPr>
                <w:sz w:val="19"/>
                <w:szCs w:val="19"/>
                <w:color w:val="auto"/>
              </w:rPr>
            </w:pPr>
          </w:p>
        </w:tc>
        <w:tc>
          <w:tcPr>
            <w:tcW w:w="1040" w:type="dxa"/>
            <w:vAlign w:val="bottom"/>
            <w:shd w:val="clear" w:color="auto" w:fill="B3B3B3"/>
          </w:tcPr>
          <w:p>
            <w:pPr>
              <w:jc w:val="right"/>
              <w:ind w:right="48"/>
              <w:spacing w:after="0"/>
              <w:rPr>
                <w:sz w:val="20"/>
                <w:szCs w:val="20"/>
                <w:color w:val="auto"/>
              </w:rPr>
            </w:pPr>
            <w:r>
              <w:rPr>
                <w:rFonts w:ascii="Arial" w:cs="Arial" w:eastAsia="Arial" w:hAnsi="Arial"/>
                <w:sz w:val="14"/>
                <w:szCs w:val="14"/>
                <w:color w:val="auto"/>
              </w:rPr>
              <w:t>(59,011)</w:t>
            </w:r>
          </w:p>
        </w:tc>
        <w:tc>
          <w:tcPr>
            <w:tcW w:w="100" w:type="dxa"/>
            <w:vAlign w:val="bottom"/>
            <w:shd w:val="clear" w:color="auto" w:fill="B3B3B3"/>
          </w:tcPr>
          <w:p>
            <w:pPr>
              <w:spacing w:after="0"/>
              <w:rPr>
                <w:sz w:val="19"/>
                <w:szCs w:val="19"/>
                <w:color w:val="auto"/>
              </w:rPr>
            </w:pPr>
          </w:p>
        </w:tc>
        <w:tc>
          <w:tcPr>
            <w:tcW w:w="280" w:type="dxa"/>
            <w:vAlign w:val="bottom"/>
            <w:shd w:val="clear" w:color="auto" w:fill="B3B3B3"/>
          </w:tcPr>
          <w:p>
            <w:pPr>
              <w:spacing w:after="0"/>
              <w:rPr>
                <w:sz w:val="19"/>
                <w:szCs w:val="19"/>
                <w:color w:val="auto"/>
              </w:rPr>
            </w:pPr>
          </w:p>
        </w:tc>
        <w:tc>
          <w:tcPr>
            <w:tcW w:w="980" w:type="dxa"/>
            <w:vAlign w:val="bottom"/>
            <w:shd w:val="clear" w:color="auto" w:fill="B3B3B3"/>
          </w:tcPr>
          <w:p>
            <w:pPr>
              <w:jc w:val="right"/>
              <w:ind w:right="28"/>
              <w:spacing w:after="0"/>
              <w:rPr>
                <w:sz w:val="20"/>
                <w:szCs w:val="20"/>
                <w:color w:val="auto"/>
              </w:rPr>
            </w:pPr>
            <w:r>
              <w:rPr>
                <w:rFonts w:ascii="Arial" w:cs="Arial" w:eastAsia="Arial" w:hAnsi="Arial"/>
                <w:sz w:val="14"/>
                <w:szCs w:val="14"/>
                <w:color w:val="auto"/>
              </w:rPr>
              <w:t>(37,008)</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Principal payments on finance lease liabilities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(578)</w:t>
            </w:r>
          </w:p>
        </w:tc>
      </w:tr>
      <w:tr>
        <w:trPr>
          <w:trHeight w:val="222"/>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Taxes paid in lieu of share issuance</w:t>
            </w:r>
          </w:p>
        </w:tc>
        <w:tc>
          <w:tcPr>
            <w:tcW w:w="220" w:type="dxa"/>
            <w:vAlign w:val="bottom"/>
            <w:shd w:val="clear" w:color="auto" w:fill="B3B3B3"/>
          </w:tcPr>
          <w:p>
            <w:pPr>
              <w:spacing w:after="0"/>
              <w:rPr>
                <w:sz w:val="19"/>
                <w:szCs w:val="19"/>
                <w:color w:val="auto"/>
              </w:rPr>
            </w:pPr>
          </w:p>
        </w:tc>
        <w:tc>
          <w:tcPr>
            <w:tcW w:w="1180" w:type="dxa"/>
            <w:vAlign w:val="bottom"/>
            <w:gridSpan w:val="2"/>
            <w:shd w:val="clear" w:color="auto" w:fill="B3B3B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B3B3B3"/>
          </w:tcPr>
          <w:p>
            <w:pPr>
              <w:spacing w:after="0"/>
              <w:rPr>
                <w:sz w:val="19"/>
                <w:szCs w:val="19"/>
                <w:color w:val="auto"/>
              </w:rPr>
            </w:pPr>
          </w:p>
        </w:tc>
        <w:tc>
          <w:tcPr>
            <w:tcW w:w="1100" w:type="dxa"/>
            <w:vAlign w:val="bottom"/>
            <w:gridSpan w:val="2"/>
            <w:shd w:val="clear" w:color="auto" w:fill="B3B3B3"/>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B3B3B3"/>
          </w:tcPr>
          <w:p>
            <w:pPr>
              <w:spacing w:after="0"/>
              <w:rPr>
                <w:sz w:val="19"/>
                <w:szCs w:val="19"/>
                <w:color w:val="auto"/>
              </w:rPr>
            </w:pPr>
          </w:p>
        </w:tc>
        <w:tc>
          <w:tcPr>
            <w:tcW w:w="1040" w:type="dxa"/>
            <w:vAlign w:val="bottom"/>
            <w:shd w:val="clear" w:color="auto" w:fill="B3B3B3"/>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B3B3B3"/>
          </w:tcPr>
          <w:p>
            <w:pPr>
              <w:spacing w:after="0"/>
              <w:rPr>
                <w:sz w:val="19"/>
                <w:szCs w:val="19"/>
                <w:color w:val="auto"/>
              </w:rPr>
            </w:pPr>
          </w:p>
        </w:tc>
        <w:tc>
          <w:tcPr>
            <w:tcW w:w="280" w:type="dxa"/>
            <w:vAlign w:val="bottom"/>
            <w:shd w:val="clear" w:color="auto" w:fill="B3B3B3"/>
          </w:tcPr>
          <w:p>
            <w:pPr>
              <w:spacing w:after="0"/>
              <w:rPr>
                <w:sz w:val="19"/>
                <w:szCs w:val="19"/>
                <w:color w:val="auto"/>
              </w:rPr>
            </w:pPr>
          </w:p>
        </w:tc>
        <w:tc>
          <w:tcPr>
            <w:tcW w:w="980" w:type="dxa"/>
            <w:vAlign w:val="bottom"/>
            <w:shd w:val="clear" w:color="auto" w:fill="B3B3B3"/>
          </w:tcPr>
          <w:p>
            <w:pPr>
              <w:jc w:val="right"/>
              <w:ind w:right="28"/>
              <w:spacing w:after="0"/>
              <w:rPr>
                <w:sz w:val="20"/>
                <w:szCs w:val="20"/>
                <w:color w:val="auto"/>
              </w:rPr>
            </w:pPr>
            <w:r>
              <w:rPr>
                <w:rFonts w:ascii="Arial" w:cs="Arial" w:eastAsia="Arial" w:hAnsi="Arial"/>
                <w:sz w:val="14"/>
                <w:szCs w:val="14"/>
                <w:color w:val="auto"/>
              </w:rPr>
              <w:t>(971)</w:t>
            </w:r>
          </w:p>
        </w:tc>
      </w:tr>
      <w:tr>
        <w:trPr>
          <w:trHeight w:val="210"/>
        </w:trPr>
        <w:tc>
          <w:tcPr>
            <w:tcW w:w="5820" w:type="dxa"/>
            <w:vAlign w:val="bottom"/>
          </w:tcPr>
          <w:p>
            <w:pPr>
              <w:ind w:left="460"/>
              <w:spacing w:after="0"/>
              <w:rPr>
                <w:sz w:val="20"/>
                <w:szCs w:val="20"/>
                <w:color w:val="auto"/>
              </w:rPr>
            </w:pPr>
            <w:r>
              <w:rPr>
                <w:rFonts w:ascii="Arial" w:cs="Arial" w:eastAsia="Arial" w:hAnsi="Arial"/>
                <w:sz w:val="14"/>
                <w:szCs w:val="14"/>
                <w:color w:val="auto"/>
              </w:rPr>
              <w:t>Proceeds from options exercised</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72</w:t>
            </w:r>
          </w:p>
        </w:tc>
      </w:tr>
      <w:tr>
        <w:trPr>
          <w:trHeight w:val="216"/>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B3B3B3"/>
          </w:tcPr>
          <w:p>
            <w:pPr>
              <w:spacing w:after="0"/>
              <w:rPr>
                <w:sz w:val="18"/>
                <w:szCs w:val="18"/>
                <w:color w:val="auto"/>
              </w:rPr>
            </w:pPr>
          </w:p>
        </w:tc>
        <w:tc>
          <w:tcPr>
            <w:tcW w:w="1060" w:type="dxa"/>
            <w:vAlign w:val="bottom"/>
            <w:tcBorders>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(6,141)</w:t>
            </w:r>
          </w:p>
        </w:tc>
        <w:tc>
          <w:tcPr>
            <w:tcW w:w="120" w:type="dxa"/>
            <w:vAlign w:val="bottom"/>
            <w:shd w:val="clear" w:color="auto" w:fill="B3B3B3"/>
          </w:tcPr>
          <w:p>
            <w:pPr>
              <w:spacing w:after="0"/>
              <w:rPr>
                <w:sz w:val="18"/>
                <w:szCs w:val="18"/>
                <w:color w:val="auto"/>
              </w:rPr>
            </w:pPr>
          </w:p>
        </w:tc>
        <w:tc>
          <w:tcPr>
            <w:tcW w:w="280" w:type="dxa"/>
            <w:vAlign w:val="bottom"/>
            <w:tcBorders>
              <w:bottom w:val="single" w:sz="8" w:color="auto"/>
            </w:tcBorders>
            <w:shd w:val="clear" w:color="auto" w:fill="B3B3B3"/>
          </w:tcPr>
          <w:p>
            <w:pPr>
              <w:spacing w:after="0"/>
              <w:rPr>
                <w:sz w:val="18"/>
                <w:szCs w:val="18"/>
                <w:color w:val="auto"/>
              </w:rPr>
            </w:pPr>
          </w:p>
        </w:tc>
        <w:tc>
          <w:tcPr>
            <w:tcW w:w="1000" w:type="dxa"/>
            <w:vAlign w:val="bottom"/>
            <w:tcBorders>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(5,813)</w:t>
            </w:r>
          </w:p>
        </w:tc>
        <w:tc>
          <w:tcPr>
            <w:tcW w:w="100" w:type="dxa"/>
            <w:vAlign w:val="bottom"/>
            <w:shd w:val="clear" w:color="auto" w:fill="B3B3B3"/>
          </w:tcPr>
          <w:p>
            <w:pPr>
              <w:spacing w:after="0"/>
              <w:rPr>
                <w:sz w:val="18"/>
                <w:szCs w:val="18"/>
                <w:color w:val="auto"/>
              </w:rPr>
            </w:pPr>
          </w:p>
        </w:tc>
        <w:tc>
          <w:tcPr>
            <w:tcW w:w="240" w:type="dxa"/>
            <w:vAlign w:val="bottom"/>
            <w:tcBorders>
              <w:bottom w:val="single" w:sz="8" w:color="auto"/>
            </w:tcBorders>
            <w:shd w:val="clear" w:color="auto" w:fill="B3B3B3"/>
          </w:tcPr>
          <w:p>
            <w:pPr>
              <w:spacing w:after="0"/>
              <w:rPr>
                <w:sz w:val="18"/>
                <w:szCs w:val="18"/>
                <w:color w:val="auto"/>
              </w:rPr>
            </w:pPr>
          </w:p>
        </w:tc>
        <w:tc>
          <w:tcPr>
            <w:tcW w:w="1040" w:type="dxa"/>
            <w:vAlign w:val="bottom"/>
            <w:tcBorders>
              <w:bottom w:val="single" w:sz="8" w:color="auto"/>
            </w:tcBorders>
            <w:shd w:val="clear" w:color="auto" w:fill="B3B3B3"/>
          </w:tcPr>
          <w:p>
            <w:pPr>
              <w:jc w:val="right"/>
              <w:ind w:right="48"/>
              <w:spacing w:after="0"/>
              <w:rPr>
                <w:sz w:val="20"/>
                <w:szCs w:val="20"/>
                <w:color w:val="auto"/>
              </w:rPr>
            </w:pPr>
            <w:r>
              <w:rPr>
                <w:rFonts w:ascii="Arial" w:cs="Arial" w:eastAsia="Arial" w:hAnsi="Arial"/>
                <w:sz w:val="14"/>
                <w:szCs w:val="14"/>
                <w:color w:val="auto"/>
              </w:rPr>
              <w:t>(12,280)</w:t>
            </w:r>
          </w:p>
        </w:tc>
        <w:tc>
          <w:tcPr>
            <w:tcW w:w="100" w:type="dxa"/>
            <w:vAlign w:val="bottom"/>
            <w:shd w:val="clear" w:color="auto" w:fill="B3B3B3"/>
          </w:tcPr>
          <w:p>
            <w:pPr>
              <w:spacing w:after="0"/>
              <w:rPr>
                <w:sz w:val="18"/>
                <w:szCs w:val="18"/>
                <w:color w:val="auto"/>
              </w:rPr>
            </w:pPr>
          </w:p>
        </w:tc>
        <w:tc>
          <w:tcPr>
            <w:tcW w:w="280" w:type="dxa"/>
            <w:vAlign w:val="bottom"/>
            <w:tcBorders>
              <w:bottom w:val="single" w:sz="8" w:color="auto"/>
            </w:tcBorders>
            <w:shd w:val="clear" w:color="auto" w:fill="B3B3B3"/>
          </w:tcPr>
          <w:p>
            <w:pPr>
              <w:spacing w:after="0"/>
              <w:rPr>
                <w:sz w:val="18"/>
                <w:szCs w:val="18"/>
                <w:color w:val="auto"/>
              </w:rPr>
            </w:pPr>
          </w:p>
        </w:tc>
        <w:tc>
          <w:tcPr>
            <w:tcW w:w="980" w:type="dxa"/>
            <w:vAlign w:val="bottom"/>
            <w:tcBorders>
              <w:bottom w:val="single" w:sz="8" w:color="auto"/>
            </w:tcBorders>
            <w:shd w:val="clear" w:color="auto" w:fill="B3B3B3"/>
          </w:tcPr>
          <w:p>
            <w:pPr>
              <w:jc w:val="right"/>
              <w:ind w:right="28"/>
              <w:spacing w:after="0"/>
              <w:rPr>
                <w:sz w:val="20"/>
                <w:szCs w:val="20"/>
                <w:color w:val="auto"/>
              </w:rPr>
            </w:pPr>
            <w:r>
              <w:rPr>
                <w:rFonts w:ascii="Arial" w:cs="Arial" w:eastAsia="Arial" w:hAnsi="Arial"/>
                <w:sz w:val="14"/>
                <w:szCs w:val="14"/>
                <w:color w:val="auto"/>
              </w:rPr>
              <w:t>(11,621)</w:t>
            </w:r>
          </w:p>
        </w:tc>
      </w:tr>
      <w:tr>
        <w:trPr>
          <w:trHeight w:val="210"/>
        </w:trPr>
        <w:tc>
          <w:tcPr>
            <w:tcW w:w="5820" w:type="dxa"/>
            <w:vAlign w:val="bottom"/>
          </w:tcPr>
          <w:p>
            <w:pPr>
              <w:ind w:left="44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(62,455)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(30,106)</w:t>
            </w:r>
          </w:p>
        </w:tc>
      </w:tr>
      <w:tr>
        <w:trPr>
          <w:trHeight w:val="155"/>
        </w:trPr>
        <w:tc>
          <w:tcPr>
            <w:tcW w:w="5820" w:type="dxa"/>
            <w:vAlign w:val="bottom"/>
            <w:shd w:val="clear" w:color="auto" w:fill="B3B3B3"/>
          </w:tcPr>
          <w:p>
            <w:pPr>
              <w:spacing w:after="0"/>
              <w:rPr>
                <w:sz w:val="13"/>
                <w:szCs w:val="13"/>
                <w:color w:val="auto"/>
              </w:rPr>
            </w:pPr>
          </w:p>
        </w:tc>
        <w:tc>
          <w:tcPr>
            <w:tcW w:w="220" w:type="dxa"/>
            <w:vAlign w:val="bottom"/>
            <w:shd w:val="clear" w:color="auto" w:fill="B3B3B3"/>
          </w:tcPr>
          <w:p>
            <w:pPr>
              <w:spacing w:after="0"/>
              <w:rPr>
                <w:sz w:val="13"/>
                <w:szCs w:val="13"/>
                <w:color w:val="auto"/>
              </w:rPr>
            </w:pPr>
          </w:p>
        </w:tc>
        <w:tc>
          <w:tcPr>
            <w:tcW w:w="1060" w:type="dxa"/>
            <w:vAlign w:val="bottom"/>
            <w:shd w:val="clear" w:color="auto" w:fill="B3B3B3"/>
          </w:tcPr>
          <w:p>
            <w:pPr>
              <w:spacing w:after="0"/>
              <w:rPr>
                <w:sz w:val="13"/>
                <w:szCs w:val="13"/>
                <w:color w:val="auto"/>
              </w:rPr>
            </w:pPr>
          </w:p>
        </w:tc>
        <w:tc>
          <w:tcPr>
            <w:tcW w:w="120" w:type="dxa"/>
            <w:vAlign w:val="bottom"/>
            <w:shd w:val="clear" w:color="auto" w:fill="B3B3B3"/>
          </w:tcPr>
          <w:p>
            <w:pPr>
              <w:spacing w:after="0"/>
              <w:rPr>
                <w:sz w:val="13"/>
                <w:szCs w:val="13"/>
                <w:color w:val="auto"/>
              </w:rPr>
            </w:pPr>
          </w:p>
        </w:tc>
        <w:tc>
          <w:tcPr>
            <w:tcW w:w="280" w:type="dxa"/>
            <w:vAlign w:val="bottom"/>
            <w:shd w:val="clear" w:color="auto" w:fill="B3B3B3"/>
          </w:tcPr>
          <w:p>
            <w:pPr>
              <w:spacing w:after="0"/>
              <w:rPr>
                <w:sz w:val="13"/>
                <w:szCs w:val="13"/>
                <w:color w:val="auto"/>
              </w:rPr>
            </w:pPr>
          </w:p>
        </w:tc>
        <w:tc>
          <w:tcPr>
            <w:tcW w:w="1000" w:type="dxa"/>
            <w:vAlign w:val="bottom"/>
            <w:shd w:val="clear" w:color="auto" w:fill="B3B3B3"/>
          </w:tcPr>
          <w:p>
            <w:pPr>
              <w:spacing w:after="0"/>
              <w:rPr>
                <w:sz w:val="13"/>
                <w:szCs w:val="13"/>
                <w:color w:val="auto"/>
              </w:rPr>
            </w:pPr>
          </w:p>
        </w:tc>
        <w:tc>
          <w:tcPr>
            <w:tcW w:w="100" w:type="dxa"/>
            <w:vAlign w:val="bottom"/>
            <w:shd w:val="clear" w:color="auto" w:fill="B3B3B3"/>
          </w:tcPr>
          <w:p>
            <w:pPr>
              <w:spacing w:after="0"/>
              <w:rPr>
                <w:sz w:val="13"/>
                <w:szCs w:val="13"/>
                <w:color w:val="auto"/>
              </w:rPr>
            </w:pPr>
          </w:p>
        </w:tc>
        <w:tc>
          <w:tcPr>
            <w:tcW w:w="240" w:type="dxa"/>
            <w:vAlign w:val="bottom"/>
            <w:shd w:val="clear" w:color="auto" w:fill="B3B3B3"/>
          </w:tcPr>
          <w:p>
            <w:pPr>
              <w:spacing w:after="0"/>
              <w:rPr>
                <w:sz w:val="13"/>
                <w:szCs w:val="13"/>
                <w:color w:val="auto"/>
              </w:rPr>
            </w:pPr>
          </w:p>
        </w:tc>
        <w:tc>
          <w:tcPr>
            <w:tcW w:w="1040" w:type="dxa"/>
            <w:vAlign w:val="bottom"/>
            <w:shd w:val="clear" w:color="auto" w:fill="B3B3B3"/>
          </w:tcPr>
          <w:p>
            <w:pPr>
              <w:spacing w:after="0"/>
              <w:rPr>
                <w:sz w:val="13"/>
                <w:szCs w:val="13"/>
                <w:color w:val="auto"/>
              </w:rPr>
            </w:pPr>
          </w:p>
        </w:tc>
        <w:tc>
          <w:tcPr>
            <w:tcW w:w="100" w:type="dxa"/>
            <w:vAlign w:val="bottom"/>
            <w:shd w:val="clear" w:color="auto" w:fill="B3B3B3"/>
          </w:tcPr>
          <w:p>
            <w:pPr>
              <w:spacing w:after="0"/>
              <w:rPr>
                <w:sz w:val="13"/>
                <w:szCs w:val="13"/>
                <w:color w:val="auto"/>
              </w:rPr>
            </w:pPr>
          </w:p>
        </w:tc>
        <w:tc>
          <w:tcPr>
            <w:tcW w:w="280" w:type="dxa"/>
            <w:vAlign w:val="bottom"/>
            <w:shd w:val="clear" w:color="auto" w:fill="B3B3B3"/>
          </w:tcPr>
          <w:p>
            <w:pPr>
              <w:spacing w:after="0"/>
              <w:rPr>
                <w:sz w:val="13"/>
                <w:szCs w:val="13"/>
                <w:color w:val="auto"/>
              </w:rPr>
            </w:pPr>
          </w:p>
        </w:tc>
        <w:tc>
          <w:tcPr>
            <w:tcW w:w="980" w:type="dxa"/>
            <w:vAlign w:val="bottom"/>
            <w:shd w:val="clear" w:color="auto" w:fill="B3B3B3"/>
          </w:tcPr>
          <w:p>
            <w:pPr>
              <w:spacing w:after="0"/>
              <w:rPr>
                <w:sz w:val="13"/>
                <w:szCs w:val="13"/>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155"/>
        </w:trPr>
        <w:tc>
          <w:tcPr>
            <w:tcW w:w="5820" w:type="dxa"/>
            <w:vAlign w:val="bottom"/>
            <w:shd w:val="clear" w:color="auto" w:fill="B3B3B3"/>
          </w:tcPr>
          <w:p>
            <w:pPr>
              <w:spacing w:after="0"/>
              <w:rPr>
                <w:sz w:val="13"/>
                <w:szCs w:val="13"/>
                <w:color w:val="auto"/>
              </w:rPr>
            </w:pPr>
          </w:p>
        </w:tc>
        <w:tc>
          <w:tcPr>
            <w:tcW w:w="220" w:type="dxa"/>
            <w:vAlign w:val="bottom"/>
            <w:shd w:val="clear" w:color="auto" w:fill="B3B3B3"/>
          </w:tcPr>
          <w:p>
            <w:pPr>
              <w:spacing w:after="0"/>
              <w:rPr>
                <w:sz w:val="13"/>
                <w:szCs w:val="13"/>
                <w:color w:val="auto"/>
              </w:rPr>
            </w:pPr>
          </w:p>
        </w:tc>
        <w:tc>
          <w:tcPr>
            <w:tcW w:w="1060" w:type="dxa"/>
            <w:vAlign w:val="bottom"/>
            <w:shd w:val="clear" w:color="auto" w:fill="B3B3B3"/>
          </w:tcPr>
          <w:p>
            <w:pPr>
              <w:spacing w:after="0"/>
              <w:rPr>
                <w:sz w:val="13"/>
                <w:szCs w:val="13"/>
                <w:color w:val="auto"/>
              </w:rPr>
            </w:pPr>
          </w:p>
        </w:tc>
        <w:tc>
          <w:tcPr>
            <w:tcW w:w="120" w:type="dxa"/>
            <w:vAlign w:val="bottom"/>
            <w:shd w:val="clear" w:color="auto" w:fill="B3B3B3"/>
          </w:tcPr>
          <w:p>
            <w:pPr>
              <w:spacing w:after="0"/>
              <w:rPr>
                <w:sz w:val="13"/>
                <w:szCs w:val="13"/>
                <w:color w:val="auto"/>
              </w:rPr>
            </w:pPr>
          </w:p>
        </w:tc>
        <w:tc>
          <w:tcPr>
            <w:tcW w:w="280" w:type="dxa"/>
            <w:vAlign w:val="bottom"/>
            <w:shd w:val="clear" w:color="auto" w:fill="B3B3B3"/>
          </w:tcPr>
          <w:p>
            <w:pPr>
              <w:spacing w:after="0"/>
              <w:rPr>
                <w:sz w:val="13"/>
                <w:szCs w:val="13"/>
                <w:color w:val="auto"/>
              </w:rPr>
            </w:pPr>
          </w:p>
        </w:tc>
        <w:tc>
          <w:tcPr>
            <w:tcW w:w="1000" w:type="dxa"/>
            <w:vAlign w:val="bottom"/>
            <w:shd w:val="clear" w:color="auto" w:fill="B3B3B3"/>
          </w:tcPr>
          <w:p>
            <w:pPr>
              <w:spacing w:after="0"/>
              <w:rPr>
                <w:sz w:val="13"/>
                <w:szCs w:val="13"/>
                <w:color w:val="auto"/>
              </w:rPr>
            </w:pPr>
          </w:p>
        </w:tc>
        <w:tc>
          <w:tcPr>
            <w:tcW w:w="100" w:type="dxa"/>
            <w:vAlign w:val="bottom"/>
            <w:shd w:val="clear" w:color="auto" w:fill="B3B3B3"/>
          </w:tcPr>
          <w:p>
            <w:pPr>
              <w:spacing w:after="0"/>
              <w:rPr>
                <w:sz w:val="13"/>
                <w:szCs w:val="13"/>
                <w:color w:val="auto"/>
              </w:rPr>
            </w:pPr>
          </w:p>
        </w:tc>
        <w:tc>
          <w:tcPr>
            <w:tcW w:w="240" w:type="dxa"/>
            <w:vAlign w:val="bottom"/>
            <w:shd w:val="clear" w:color="auto" w:fill="B3B3B3"/>
          </w:tcPr>
          <w:p>
            <w:pPr>
              <w:spacing w:after="0"/>
              <w:rPr>
                <w:sz w:val="13"/>
                <w:szCs w:val="13"/>
                <w:color w:val="auto"/>
              </w:rPr>
            </w:pPr>
          </w:p>
        </w:tc>
        <w:tc>
          <w:tcPr>
            <w:tcW w:w="1040" w:type="dxa"/>
            <w:vAlign w:val="bottom"/>
            <w:shd w:val="clear" w:color="auto" w:fill="B3B3B3"/>
          </w:tcPr>
          <w:p>
            <w:pPr>
              <w:spacing w:after="0"/>
              <w:rPr>
                <w:sz w:val="13"/>
                <w:szCs w:val="13"/>
                <w:color w:val="auto"/>
              </w:rPr>
            </w:pPr>
          </w:p>
        </w:tc>
        <w:tc>
          <w:tcPr>
            <w:tcW w:w="100" w:type="dxa"/>
            <w:vAlign w:val="bottom"/>
            <w:shd w:val="clear" w:color="auto" w:fill="B3B3B3"/>
          </w:tcPr>
          <w:p>
            <w:pPr>
              <w:spacing w:after="0"/>
              <w:rPr>
                <w:sz w:val="13"/>
                <w:szCs w:val="13"/>
                <w:color w:val="auto"/>
              </w:rPr>
            </w:pPr>
          </w:p>
        </w:tc>
        <w:tc>
          <w:tcPr>
            <w:tcW w:w="280" w:type="dxa"/>
            <w:vAlign w:val="bottom"/>
            <w:shd w:val="clear" w:color="auto" w:fill="B3B3B3"/>
          </w:tcPr>
          <w:p>
            <w:pPr>
              <w:spacing w:after="0"/>
              <w:rPr>
                <w:sz w:val="13"/>
                <w:szCs w:val="13"/>
                <w:color w:val="auto"/>
              </w:rPr>
            </w:pPr>
          </w:p>
        </w:tc>
        <w:tc>
          <w:tcPr>
            <w:tcW w:w="980" w:type="dxa"/>
            <w:vAlign w:val="bottom"/>
            <w:shd w:val="clear" w:color="auto" w:fill="B3B3B3"/>
          </w:tcPr>
          <w:p>
            <w:pPr>
              <w:spacing w:after="0"/>
              <w:rPr>
                <w:sz w:val="13"/>
                <w:szCs w:val="13"/>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4"/>
                <w:szCs w:val="14"/>
                <w:color w:val="auto"/>
              </w:rPr>
              <w:t>Increase/(decrease) in cash and cash equivalents</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(18,643)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17,478</w:t>
            </w:r>
          </w:p>
        </w:tc>
      </w:tr>
      <w:tr>
        <w:trPr>
          <w:trHeight w:val="216"/>
        </w:trPr>
        <w:tc>
          <w:tcPr>
            <w:tcW w:w="5820" w:type="dxa"/>
            <w:vAlign w:val="bottom"/>
            <w:shd w:val="clear" w:color="auto" w:fill="B3B3B3"/>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B3B3B3"/>
          </w:tcPr>
          <w:p>
            <w:pPr>
              <w:spacing w:after="0"/>
              <w:rPr>
                <w:sz w:val="18"/>
                <w:szCs w:val="18"/>
                <w:color w:val="auto"/>
              </w:rPr>
            </w:pPr>
          </w:p>
        </w:tc>
        <w:tc>
          <w:tcPr>
            <w:tcW w:w="1060" w:type="dxa"/>
            <w:vAlign w:val="bottom"/>
            <w:tcBorders>
              <w:bottom w:val="single" w:sz="8" w:color="auto"/>
            </w:tcBorders>
            <w:shd w:val="clear" w:color="auto" w:fill="B3B3B3"/>
          </w:tcPr>
          <w:p>
            <w:pPr>
              <w:jc w:val="right"/>
              <w:ind w:right="68"/>
              <w:spacing w:after="0"/>
              <w:rPr>
                <w:sz w:val="20"/>
                <w:szCs w:val="20"/>
                <w:color w:val="auto"/>
              </w:rPr>
            </w:pPr>
            <w:r>
              <w:rPr>
                <w:rFonts w:ascii="Arial" w:cs="Arial" w:eastAsia="Arial" w:hAnsi="Arial"/>
                <w:sz w:val="14"/>
                <w:szCs w:val="14"/>
                <w:color w:val="auto"/>
              </w:rPr>
              <w:t>222,680</w:t>
            </w:r>
          </w:p>
        </w:tc>
        <w:tc>
          <w:tcPr>
            <w:tcW w:w="120" w:type="dxa"/>
            <w:vAlign w:val="bottom"/>
            <w:shd w:val="clear" w:color="auto" w:fill="B3B3B3"/>
          </w:tcPr>
          <w:p>
            <w:pPr>
              <w:spacing w:after="0"/>
              <w:rPr>
                <w:sz w:val="18"/>
                <w:szCs w:val="18"/>
                <w:color w:val="auto"/>
              </w:rPr>
            </w:pPr>
          </w:p>
        </w:tc>
        <w:tc>
          <w:tcPr>
            <w:tcW w:w="280" w:type="dxa"/>
            <w:vAlign w:val="bottom"/>
            <w:tcBorders>
              <w:bottom w:val="single" w:sz="8" w:color="auto"/>
            </w:tcBorders>
            <w:shd w:val="clear" w:color="auto" w:fill="B3B3B3"/>
          </w:tcPr>
          <w:p>
            <w:pPr>
              <w:spacing w:after="0"/>
              <w:rPr>
                <w:sz w:val="18"/>
                <w:szCs w:val="18"/>
                <w:color w:val="auto"/>
              </w:rPr>
            </w:pPr>
          </w:p>
        </w:tc>
        <w:tc>
          <w:tcPr>
            <w:tcW w:w="1000" w:type="dxa"/>
            <w:vAlign w:val="bottom"/>
            <w:tcBorders>
              <w:bottom w:val="single" w:sz="8" w:color="auto"/>
            </w:tcBorders>
            <w:shd w:val="clear" w:color="auto" w:fill="B3B3B3"/>
          </w:tcPr>
          <w:p>
            <w:pPr>
              <w:jc w:val="right"/>
              <w:ind w:right="68"/>
              <w:spacing w:after="0"/>
              <w:rPr>
                <w:sz w:val="20"/>
                <w:szCs w:val="20"/>
                <w:color w:val="auto"/>
              </w:rPr>
            </w:pPr>
            <w:r>
              <w:rPr>
                <w:rFonts w:ascii="Arial" w:cs="Arial" w:eastAsia="Arial" w:hAnsi="Arial"/>
                <w:sz w:val="14"/>
                <w:szCs w:val="14"/>
                <w:color w:val="auto"/>
              </w:rPr>
              <w:t>187,385</w:t>
            </w:r>
          </w:p>
        </w:tc>
        <w:tc>
          <w:tcPr>
            <w:tcW w:w="100" w:type="dxa"/>
            <w:vAlign w:val="bottom"/>
            <w:shd w:val="clear" w:color="auto" w:fill="B3B3B3"/>
          </w:tcPr>
          <w:p>
            <w:pPr>
              <w:spacing w:after="0"/>
              <w:rPr>
                <w:sz w:val="18"/>
                <w:szCs w:val="18"/>
                <w:color w:val="auto"/>
              </w:rPr>
            </w:pPr>
          </w:p>
        </w:tc>
        <w:tc>
          <w:tcPr>
            <w:tcW w:w="240" w:type="dxa"/>
            <w:vAlign w:val="bottom"/>
            <w:tcBorders>
              <w:bottom w:val="single" w:sz="8" w:color="auto"/>
            </w:tcBorders>
            <w:shd w:val="clear" w:color="auto" w:fill="B3B3B3"/>
          </w:tcPr>
          <w:p>
            <w:pPr>
              <w:spacing w:after="0"/>
              <w:rPr>
                <w:sz w:val="18"/>
                <w:szCs w:val="18"/>
                <w:color w:val="auto"/>
              </w:rPr>
            </w:pPr>
          </w:p>
        </w:tc>
        <w:tc>
          <w:tcPr>
            <w:tcW w:w="1040" w:type="dxa"/>
            <w:vAlign w:val="bottom"/>
            <w:tcBorders>
              <w:bottom w:val="single" w:sz="8" w:color="auto"/>
            </w:tcBorders>
            <w:shd w:val="clear" w:color="auto" w:fill="B3B3B3"/>
          </w:tcPr>
          <w:p>
            <w:pPr>
              <w:jc w:val="right"/>
              <w:ind w:right="88"/>
              <w:spacing w:after="0"/>
              <w:rPr>
                <w:sz w:val="20"/>
                <w:szCs w:val="20"/>
                <w:color w:val="auto"/>
              </w:rPr>
            </w:pPr>
            <w:r>
              <w:rPr>
                <w:rFonts w:ascii="Arial" w:cs="Arial" w:eastAsia="Arial" w:hAnsi="Arial"/>
                <w:sz w:val="14"/>
                <w:szCs w:val="14"/>
                <w:color w:val="auto"/>
              </w:rPr>
              <w:t>195,540</w:t>
            </w:r>
          </w:p>
        </w:tc>
        <w:tc>
          <w:tcPr>
            <w:tcW w:w="100" w:type="dxa"/>
            <w:vAlign w:val="bottom"/>
            <w:shd w:val="clear" w:color="auto" w:fill="B3B3B3"/>
          </w:tcPr>
          <w:p>
            <w:pPr>
              <w:spacing w:after="0"/>
              <w:rPr>
                <w:sz w:val="18"/>
                <w:szCs w:val="18"/>
                <w:color w:val="auto"/>
              </w:rPr>
            </w:pPr>
          </w:p>
        </w:tc>
        <w:tc>
          <w:tcPr>
            <w:tcW w:w="280" w:type="dxa"/>
            <w:vAlign w:val="bottom"/>
            <w:tcBorders>
              <w:bottom w:val="single" w:sz="8" w:color="auto"/>
            </w:tcBorders>
            <w:shd w:val="clear" w:color="auto" w:fill="B3B3B3"/>
          </w:tcPr>
          <w:p>
            <w:pPr>
              <w:spacing w:after="0"/>
              <w:rPr>
                <w:sz w:val="18"/>
                <w:szCs w:val="18"/>
                <w:color w:val="auto"/>
              </w:rPr>
            </w:pPr>
          </w:p>
        </w:tc>
        <w:tc>
          <w:tcPr>
            <w:tcW w:w="980" w:type="dxa"/>
            <w:vAlign w:val="bottom"/>
            <w:tcBorders>
              <w:bottom w:val="single" w:sz="8" w:color="auto"/>
            </w:tcBorders>
            <w:shd w:val="clear" w:color="auto" w:fill="B3B3B3"/>
          </w:tcPr>
          <w:p>
            <w:pPr>
              <w:jc w:val="right"/>
              <w:ind w:right="68"/>
              <w:spacing w:after="0"/>
              <w:rPr>
                <w:sz w:val="20"/>
                <w:szCs w:val="20"/>
                <w:color w:val="auto"/>
              </w:rPr>
            </w:pPr>
            <w:r>
              <w:rPr>
                <w:rFonts w:ascii="Arial" w:cs="Arial" w:eastAsia="Arial" w:hAnsi="Arial"/>
                <w:sz w:val="14"/>
                <w:szCs w:val="14"/>
                <w:color w:val="auto"/>
              </w:rPr>
              <w:t>197,755</w:t>
            </w:r>
          </w:p>
        </w:tc>
      </w:tr>
      <w:tr>
        <w:trPr>
          <w:trHeight w:val="215"/>
        </w:trPr>
        <w:tc>
          <w:tcPr>
            <w:tcW w:w="58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204,037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204,037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215,233</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11"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2019.</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Effective January 1, 2020, we adopted the provisions of ASC 326, </w:t>
      </w:r>
      <w:r>
        <w:rPr>
          <w:rFonts w:ascii="Arial" w:cs="Arial" w:eastAsia="Arial" w:hAnsi="Arial"/>
          <w:sz w:val="18"/>
          <w:szCs w:val="18"/>
          <w:i w:val="1"/>
          <w:iCs w:val="1"/>
          <w:color w:val="auto"/>
        </w:rPr>
        <w:t>Current Expected Credit Losses (CECL)</w:t>
      </w:r>
      <w:r>
        <w:rPr>
          <w:rFonts w:ascii="Arial" w:cs="Arial" w:eastAsia="Arial" w:hAnsi="Arial"/>
          <w:sz w:val="18"/>
          <w:szCs w:val="18"/>
          <w:color w:val="auto"/>
        </w:rPr>
        <w:t>, using the effective date (or modified retrospective) approach for transition. Under this transition method, periods prior to 2020 were not restated. The pre-tax cumulative effect of initially applying the new standard was an increase in credit loss reserves of $ 1.8 million, primarily for Accounts receivable and Contract assets. Including tax effects, Retained earnings was reduced by $1.4 million as a result of transitioning to the new standard. The effect of the application of CECL during the first quarter of 2020 is further described in Notes 11 and 12.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In the fourth quarter of 2019, Safran leased manufacturing space from AEC for the GE9X program. Rent paid by Safran under this lease amounted to $0.5 million for the first six months of 2020. AEC net sales to Safran, substantially all of which were through ASC, were $57.0 million and $116.3 million in the first six months of 2020 and 2019, respectively.</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total of Accounts receivable, Contract assets and Noncurrent receivables due from Safran amounted to $105.4 million and $114.5 million as of June 30, 2020 and December 31, 2019, respectively. Other significant programs by AEC include the F-35, Boeing 787, Sikorsky CH-53K and JASSM, as well as the fan case for the GE9X engine. In 2019, approximately 25 percent of AEC sales were related to U.S. government contracts or programs.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153,433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155,016</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290,035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299,349</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72,557</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118,933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171,719</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225,972</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225,990</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273,949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461,754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525,321</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56,543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49,538</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103,718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93,781</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8,299</w:t>
            </w:r>
          </w:p>
        </w:tc>
        <w:tc>
          <w:tcPr>
            <w:tcW w:w="3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17,732</w:t>
            </w:r>
          </w:p>
        </w:tc>
        <w:tc>
          <w:tcPr>
            <w:tcW w:w="3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15,922</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27,254</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(12,115)</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(13,045)</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(27,319)</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(26,717)</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52,727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54,225</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92,321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94,318</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60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(795)</w:t>
            </w:r>
          </w:p>
        </w:tc>
        <w:tc>
          <w:tcPr>
            <w:tcW w:w="3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(1,186)</w:t>
            </w:r>
          </w:p>
        </w:tc>
      </w:tr>
      <w:tr>
        <w:trPr>
          <w:trHeight w:val="243"/>
        </w:trPr>
        <w:tc>
          <w:tcPr>
            <w:tcW w:w="60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4,171</w:t>
            </w:r>
          </w:p>
        </w:tc>
        <w:tc>
          <w:tcPr>
            <w:tcW w:w="3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5,218</w:t>
            </w:r>
          </w:p>
        </w:tc>
        <w:tc>
          <w:tcPr>
            <w:tcW w:w="3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8,595</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10,234</w:t>
            </w:r>
          </w:p>
        </w:tc>
      </w:tr>
      <w:tr>
        <w:trPr>
          <w:trHeight w:val="256"/>
        </w:trPr>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expense/(income), net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930</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16,660</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w:t>
            </w:r>
          </w:p>
        </w:tc>
      </w:tr>
      <w:tr>
        <w:trPr>
          <w:trHeight w:val="23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47,813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48,664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67,861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85,548</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changes in the total assets of the reportable segments in the first six months of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388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935</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1,336</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2,248</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2,248</w:t>
            </w:r>
          </w:p>
        </w:tc>
        <w:tc>
          <w:tcPr>
            <w:tcW w:w="38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51</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2,837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3,479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1,383</w:t>
            </w:r>
          </w:p>
        </w:tc>
      </w:tr>
    </w:tbl>
    <w:p>
      <w:pPr>
        <w:spacing w:after="0" w:line="35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In 2020, net adjustments to the estimated profitability of long-term contracts increased gross profit by $7.4 million and $6.4 million for the three and six month periods,respectively, ended June 30, 2020. In 2019, net adjustments to the estimated profitability of long-term contracts increased gross profit by $5.0 million and $5.6 million for the three and six month periods, respectively,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 2020</w:t>
            </w:r>
          </w:p>
        </w:tc>
        <w:tc>
          <w:tcPr>
            <w:tcW w:w="1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Point in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Time Revenue</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Recognition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47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152,585</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848</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153,433</w:t>
            </w:r>
          </w:p>
        </w:tc>
        <w:tc>
          <w:tcPr>
            <w:tcW w:w="20" w:type="dxa"/>
            <w:vAlign w:val="bottom"/>
          </w:tcPr>
          <w:p>
            <w:pPr>
              <w:spacing w:after="0"/>
              <w:rPr>
                <w:sz w:val="24"/>
                <w:szCs w:val="24"/>
                <w:color w:val="auto"/>
              </w:rPr>
            </w:pPr>
          </w:p>
        </w:tc>
      </w:tr>
      <w:tr>
        <w:trPr>
          <w:trHeight w:val="467"/>
        </w:trPr>
        <w:tc>
          <w:tcPr>
            <w:tcW w:w="6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17,576</w:t>
            </w:r>
          </w:p>
        </w:tc>
        <w:tc>
          <w:tcPr>
            <w:tcW w:w="20" w:type="dxa"/>
            <w:vAlign w:val="bottom"/>
          </w:tcPr>
          <w:p>
            <w:pPr>
              <w:spacing w:after="0"/>
              <w:rPr>
                <w:sz w:val="21"/>
                <w:szCs w:val="21"/>
                <w:color w:val="auto"/>
              </w:rPr>
            </w:pPr>
          </w:p>
        </w:tc>
      </w:tr>
      <w:tr>
        <w:trPr>
          <w:trHeight w:val="256"/>
        </w:trPr>
        <w:tc>
          <w:tcPr>
            <w:tcW w:w="6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4,143</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50,838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54,981</w:t>
            </w:r>
          </w:p>
        </w:tc>
        <w:tc>
          <w:tcPr>
            <w:tcW w:w="20" w:type="dxa"/>
            <w:vAlign w:val="bottom"/>
          </w:tcPr>
          <w:p>
            <w:pPr>
              <w:spacing w:after="0"/>
              <w:rPr>
                <w:sz w:val="22"/>
                <w:szCs w:val="22"/>
                <w:color w:val="auto"/>
              </w:rPr>
            </w:pP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4,143</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68,414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72,557</w:t>
            </w:r>
          </w:p>
        </w:tc>
        <w:tc>
          <w:tcPr>
            <w:tcW w:w="20" w:type="dxa"/>
            <w:vAlign w:val="bottom"/>
          </w:tcPr>
          <w:p>
            <w:pPr>
              <w:spacing w:after="0"/>
              <w:rPr>
                <w:sz w:val="20"/>
                <w:szCs w:val="20"/>
                <w:color w:val="auto"/>
              </w:rPr>
            </w:pPr>
          </w:p>
        </w:tc>
      </w:tr>
      <w:tr>
        <w:trPr>
          <w:trHeight w:val="243"/>
        </w:trPr>
        <w:tc>
          <w:tcPr>
            <w:tcW w:w="68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156,728</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69,262</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225,990</w:t>
            </w:r>
          </w:p>
        </w:tc>
        <w:tc>
          <w:tcPr>
            <w:tcW w:w="20" w:type="dxa"/>
            <w:vAlign w:val="bottom"/>
          </w:tcPr>
          <w:p>
            <w:pPr>
              <w:spacing w:after="0"/>
              <w:rPr>
                <w:sz w:val="20"/>
                <w:szCs w:val="20"/>
                <w:color w:val="auto"/>
              </w:rPr>
            </w:pPr>
          </w:p>
        </w:tc>
      </w:tr>
      <w:tr>
        <w:trPr>
          <w:trHeight w:val="351"/>
        </w:trPr>
        <w:tc>
          <w:tcPr>
            <w:tcW w:w="6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3"/>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Point in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Time Revenue</w:t>
            </w: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47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288,339</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1,696</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290,035</w:t>
            </w:r>
          </w:p>
        </w:tc>
        <w:tc>
          <w:tcPr>
            <w:tcW w:w="20" w:type="dxa"/>
            <w:vAlign w:val="bottom"/>
            <w:tcBorders>
              <w:bottom w:val="single" w:sz="8" w:color="auto"/>
            </w:tcBorders>
          </w:tcPr>
          <w:p>
            <w:pPr>
              <w:spacing w:after="0"/>
              <w:rPr>
                <w:sz w:val="24"/>
                <w:szCs w:val="24"/>
                <w:color w:val="auto"/>
              </w:rPr>
            </w:pPr>
          </w:p>
        </w:tc>
      </w:tr>
      <w:tr>
        <w:trPr>
          <w:trHeight w:val="480"/>
        </w:trPr>
        <w:tc>
          <w:tcPr>
            <w:tcW w:w="6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55,470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55,470</w:t>
            </w:r>
          </w:p>
        </w:tc>
        <w:tc>
          <w:tcPr>
            <w:tcW w:w="20" w:type="dxa"/>
            <w:vAlign w:val="bottom"/>
          </w:tcPr>
          <w:p>
            <w:pPr>
              <w:spacing w:after="0"/>
              <w:rPr>
                <w:sz w:val="21"/>
                <w:szCs w:val="21"/>
                <w:color w:val="auto"/>
              </w:rPr>
            </w:pPr>
          </w:p>
        </w:tc>
      </w:tr>
      <w:tr>
        <w:trPr>
          <w:trHeight w:val="256"/>
        </w:trPr>
        <w:tc>
          <w:tcPr>
            <w:tcW w:w="6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10,463</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105,786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116,249</w:t>
            </w:r>
          </w:p>
        </w:tc>
        <w:tc>
          <w:tcPr>
            <w:tcW w:w="20" w:type="dxa"/>
            <w:vAlign w:val="bottom"/>
            <w:tcBorders>
              <w:bottom w:val="single" w:sz="8" w:color="auto"/>
            </w:tcBorders>
          </w:tcPr>
          <w:p>
            <w:pPr>
              <w:spacing w:after="0"/>
              <w:rPr>
                <w:sz w:val="22"/>
                <w:szCs w:val="22"/>
                <w:color w:val="auto"/>
              </w:rPr>
            </w:pP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10,463</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161,256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171,719</w:t>
            </w:r>
          </w:p>
        </w:tc>
        <w:tc>
          <w:tcPr>
            <w:tcW w:w="20" w:type="dxa"/>
            <w:vAlign w:val="bottom"/>
            <w:tcBorders>
              <w:bottom w:val="single" w:sz="8" w:color="auto"/>
            </w:tcBorders>
          </w:tcPr>
          <w:p>
            <w:pPr>
              <w:spacing w:after="0"/>
              <w:rPr>
                <w:sz w:val="20"/>
                <w:szCs w:val="20"/>
                <w:color w:val="auto"/>
              </w:rPr>
            </w:pPr>
          </w:p>
        </w:tc>
      </w:tr>
      <w:tr>
        <w:trPr>
          <w:trHeight w:val="257"/>
        </w:trPr>
        <w:tc>
          <w:tcPr>
            <w:tcW w:w="6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298,802</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162,952</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461,754</w:t>
            </w:r>
          </w:p>
        </w:tc>
        <w:tc>
          <w:tcPr>
            <w:tcW w:w="20" w:type="dxa"/>
            <w:vAlign w:val="bottom"/>
            <w:tcBorders>
              <w:bottom w:val="single" w:sz="8" w:color="auto"/>
            </w:tcBorders>
          </w:tcPr>
          <w:p>
            <w:pPr>
              <w:spacing w:after="0"/>
              <w:rPr>
                <w:sz w:val="20"/>
                <w:szCs w:val="20"/>
                <w:color w:val="auto"/>
              </w:rPr>
            </w:pPr>
          </w:p>
        </w:tc>
      </w:tr>
      <w:tr>
        <w:trPr>
          <w:trHeight w:val="683"/>
        </w:trPr>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Point in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Time Revenue</w:t>
            </w: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49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154,216</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800</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155,016</w:t>
            </w:r>
          </w:p>
        </w:tc>
        <w:tc>
          <w:tcPr>
            <w:tcW w:w="20" w:type="dxa"/>
            <w:vAlign w:val="bottom"/>
            <w:tcBorders>
              <w:bottom w:val="single" w:sz="8" w:color="auto"/>
            </w:tcBorders>
          </w:tcPr>
          <w:p>
            <w:pPr>
              <w:spacing w:after="0"/>
              <w:rPr>
                <w:sz w:val="24"/>
                <w:szCs w:val="24"/>
                <w:color w:val="auto"/>
              </w:rPr>
            </w:pPr>
          </w:p>
        </w:tc>
      </w:tr>
      <w:tr>
        <w:trPr>
          <w:trHeight w:val="480"/>
        </w:trPr>
        <w:tc>
          <w:tcPr>
            <w:tcW w:w="6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58,694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58,694</w:t>
            </w:r>
          </w:p>
        </w:tc>
        <w:tc>
          <w:tcPr>
            <w:tcW w:w="20" w:type="dxa"/>
            <w:vAlign w:val="bottom"/>
          </w:tcPr>
          <w:p>
            <w:pPr>
              <w:spacing w:after="0"/>
              <w:rPr>
                <w:sz w:val="21"/>
                <w:szCs w:val="21"/>
                <w:color w:val="auto"/>
              </w:rPr>
            </w:pPr>
          </w:p>
        </w:tc>
      </w:tr>
      <w:tr>
        <w:trPr>
          <w:trHeight w:val="256"/>
        </w:trPr>
        <w:tc>
          <w:tcPr>
            <w:tcW w:w="6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9,897</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50,342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60,239</w:t>
            </w:r>
          </w:p>
        </w:tc>
        <w:tc>
          <w:tcPr>
            <w:tcW w:w="20" w:type="dxa"/>
            <w:vAlign w:val="bottom"/>
            <w:tcBorders>
              <w:bottom w:val="single" w:sz="8" w:color="auto"/>
            </w:tcBorders>
          </w:tcPr>
          <w:p>
            <w:pPr>
              <w:spacing w:after="0"/>
              <w:rPr>
                <w:sz w:val="22"/>
                <w:szCs w:val="22"/>
                <w:color w:val="auto"/>
              </w:rPr>
            </w:pPr>
          </w:p>
        </w:tc>
      </w:tr>
      <w:tr>
        <w:trPr>
          <w:trHeight w:val="23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9,897</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109,036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118,933</w:t>
            </w:r>
          </w:p>
        </w:tc>
        <w:tc>
          <w:tcPr>
            <w:tcW w:w="20" w:type="dxa"/>
            <w:vAlign w:val="bottom"/>
            <w:tcBorders>
              <w:bottom w:val="single" w:sz="8" w:color="auto"/>
            </w:tcBorders>
          </w:tcPr>
          <w:p>
            <w:pPr>
              <w:spacing w:after="0"/>
              <w:rPr>
                <w:sz w:val="20"/>
                <w:szCs w:val="20"/>
                <w:color w:val="auto"/>
              </w:rPr>
            </w:pPr>
          </w:p>
        </w:tc>
      </w:tr>
      <w:tr>
        <w:trPr>
          <w:trHeight w:val="256"/>
        </w:trPr>
        <w:tc>
          <w:tcPr>
            <w:tcW w:w="6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164,113</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109,836</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273,949</w:t>
            </w:r>
          </w:p>
        </w:tc>
        <w:tc>
          <w:tcPr>
            <w:tcW w:w="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20" w:type="dxa"/>
            <w:vAlign w:val="bottom"/>
            <w:gridSpan w:val="3"/>
          </w:tcPr>
          <w:p>
            <w:pPr>
              <w:jc w:val="right"/>
              <w:ind w:right="1002"/>
              <w:spacing w:after="0"/>
              <w:rPr>
                <w:sz w:val="20"/>
                <w:szCs w:val="20"/>
                <w:color w:val="auto"/>
              </w:rPr>
            </w:pPr>
            <w:r>
              <w:rPr>
                <w:rFonts w:ascii="Arial" w:cs="Arial" w:eastAsia="Arial" w:hAnsi="Arial"/>
                <w:sz w:val="14"/>
                <w:szCs w:val="14"/>
                <w:b w:val="1"/>
                <w:bCs w:val="1"/>
                <w:color w:val="auto"/>
              </w:rPr>
              <w:t>Six months ended June 30, 2019</w:t>
            </w: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8"/>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60" w:type="dxa"/>
            <w:vAlign w:val="bottom"/>
          </w:tcPr>
          <w:p>
            <w:pPr>
              <w:jc w:val="right"/>
              <w:ind w:right="202"/>
              <w:spacing w:after="0"/>
              <w:rPr>
                <w:sz w:val="20"/>
                <w:szCs w:val="20"/>
                <w:color w:val="auto"/>
              </w:rPr>
            </w:pPr>
            <w:r>
              <w:rPr>
                <w:rFonts w:ascii="Arial" w:cs="Arial" w:eastAsia="Arial" w:hAnsi="Arial"/>
                <w:sz w:val="14"/>
                <w:szCs w:val="14"/>
                <w:b w:val="1"/>
                <w:bCs w:val="1"/>
                <w:color w:val="auto"/>
              </w:rPr>
              <w:t>Point in Time Revenue</w:t>
            </w:r>
          </w:p>
        </w:tc>
        <w:tc>
          <w:tcPr>
            <w:tcW w:w="360" w:type="dxa"/>
            <w:vAlign w:val="bottom"/>
          </w:tcPr>
          <w:p>
            <w:pPr>
              <w:spacing w:after="0"/>
              <w:rPr>
                <w:sz w:val="16"/>
                <w:szCs w:val="16"/>
                <w:color w:val="auto"/>
              </w:rPr>
            </w:pPr>
          </w:p>
        </w:tc>
        <w:tc>
          <w:tcPr>
            <w:tcW w:w="1900" w:type="dxa"/>
            <w:vAlign w:val="bottom"/>
          </w:tcPr>
          <w:p>
            <w:pPr>
              <w:jc w:val="right"/>
              <w:ind w:right="322"/>
              <w:spacing w:after="0"/>
              <w:rPr>
                <w:sz w:val="20"/>
                <w:szCs w:val="20"/>
                <w:color w:val="auto"/>
              </w:rPr>
            </w:pPr>
            <w:r>
              <w:rPr>
                <w:rFonts w:ascii="Arial" w:cs="Arial" w:eastAsia="Arial" w:hAnsi="Arial"/>
                <w:sz w:val="14"/>
                <w:szCs w:val="14"/>
                <w:b w:val="1"/>
                <w:bCs w:val="1"/>
                <w:color w:val="auto"/>
              </w:rPr>
              <w:t>Over Time Revenue</w:t>
            </w: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Recognition</w:t>
            </w: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Recognition</w:t>
            </w:r>
          </w:p>
        </w:tc>
        <w:tc>
          <w:tcPr>
            <w:tcW w:w="6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Total</w:t>
            </w:r>
          </w:p>
        </w:tc>
      </w:tr>
      <w:tr>
        <w:trPr>
          <w:trHeight w:val="49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297,749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1,600</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299,349</w:t>
            </w:r>
          </w:p>
        </w:tc>
      </w:tr>
      <w:tr>
        <w:trPr>
          <w:trHeight w:val="480"/>
        </w:trPr>
        <w:tc>
          <w:tcPr>
            <w:tcW w:w="35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6"/>
                <w:szCs w:val="16"/>
                <w:color w:val="auto"/>
              </w:rPr>
              <w:t>ASC</w:t>
            </w:r>
          </w:p>
        </w:tc>
        <w:tc>
          <w:tcPr>
            <w:tcW w:w="1120" w:type="dxa"/>
            <w:vAlign w:val="bottom"/>
          </w:tcPr>
          <w:p>
            <w:pPr>
              <w:spacing w:after="0"/>
              <w:rPr>
                <w:sz w:val="21"/>
                <w:szCs w:val="21"/>
                <w:color w:val="auto"/>
              </w:rPr>
            </w:pP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900" w:type="dxa"/>
            <w:vAlign w:val="bottom"/>
          </w:tcPr>
          <w:p>
            <w:pPr>
              <w:jc w:val="right"/>
              <w:ind w:right="2"/>
              <w:spacing w:after="0"/>
              <w:rPr>
                <w:sz w:val="20"/>
                <w:szCs w:val="20"/>
                <w:color w:val="auto"/>
              </w:rPr>
            </w:pPr>
            <w:r>
              <w:rPr>
                <w:rFonts w:ascii="Arial" w:cs="Arial" w:eastAsia="Arial" w:hAnsi="Arial"/>
                <w:sz w:val="16"/>
                <w:szCs w:val="16"/>
                <w:color w:val="auto"/>
              </w:rPr>
              <w:t>114,137</w:t>
            </w:r>
          </w:p>
        </w:tc>
        <w:tc>
          <w:tcPr>
            <w:tcW w:w="600" w:type="dxa"/>
            <w:vAlign w:val="bottom"/>
          </w:tcPr>
          <w:p>
            <w:pPr>
              <w:spacing w:after="0"/>
              <w:rPr>
                <w:sz w:val="21"/>
                <w:szCs w:val="21"/>
                <w:color w:val="auto"/>
              </w:rPr>
            </w:pPr>
          </w:p>
        </w:tc>
        <w:tc>
          <w:tcPr>
            <w:tcW w:w="1720" w:type="dxa"/>
            <w:vAlign w:val="bottom"/>
          </w:tcPr>
          <w:p>
            <w:pPr>
              <w:jc w:val="right"/>
              <w:ind w:right="81"/>
              <w:spacing w:after="0"/>
              <w:rPr>
                <w:sz w:val="20"/>
                <w:szCs w:val="20"/>
                <w:color w:val="auto"/>
              </w:rPr>
            </w:pPr>
            <w:r>
              <w:rPr>
                <w:rFonts w:ascii="Arial" w:cs="Arial" w:eastAsia="Arial" w:hAnsi="Arial"/>
                <w:sz w:val="16"/>
                <w:szCs w:val="16"/>
                <w:color w:val="auto"/>
              </w:rPr>
              <w:t>114,137</w:t>
            </w:r>
          </w:p>
        </w:tc>
      </w:tr>
      <w:tr>
        <w:trPr>
          <w:trHeight w:val="256"/>
        </w:trPr>
        <w:tc>
          <w:tcPr>
            <w:tcW w:w="35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1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16,142</w:t>
            </w: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95,693</w:t>
            </w:r>
          </w:p>
        </w:tc>
        <w:tc>
          <w:tcPr>
            <w:tcW w:w="6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111,835</w:t>
            </w:r>
          </w:p>
        </w:tc>
      </w:tr>
      <w:tr>
        <w:trPr>
          <w:trHeight w:val="23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16,142</w:t>
            </w: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209,830</w:t>
            </w: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225,972</w:t>
            </w:r>
          </w:p>
        </w:tc>
      </w:tr>
      <w:tr>
        <w:trPr>
          <w:trHeight w:val="257"/>
        </w:trPr>
        <w:tc>
          <w:tcPr>
            <w:tcW w:w="3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313,891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211,430</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525,321</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466"/>
        </w:trPr>
        <w:tc>
          <w:tcPr>
            <w:tcW w:w="6040" w:type="dxa"/>
            <w:vAlign w:val="bottom"/>
          </w:tcPr>
          <w:p>
            <w:pPr>
              <w:ind w:left="20"/>
              <w:spacing w:after="0"/>
              <w:rPr>
                <w:sz w:val="20"/>
                <w:szCs w:val="20"/>
                <w:color w:val="auto"/>
              </w:rPr>
            </w:pPr>
            <w:r>
              <w:rPr>
                <w:rFonts w:ascii="Arial" w:cs="Arial" w:eastAsia="Arial" w:hAnsi="Arial"/>
                <w:sz w:val="16"/>
                <w:szCs w:val="16"/>
                <w:color w:val="auto"/>
              </w:rPr>
              <w:t>Americas PMC</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81,225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81,583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154,902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156,923</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2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54,166</w:t>
            </w:r>
          </w:p>
        </w:tc>
        <w:tc>
          <w:tcPr>
            <w:tcW w:w="3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54,081</w:t>
            </w:r>
          </w:p>
        </w:tc>
        <w:tc>
          <w:tcPr>
            <w:tcW w:w="3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99,297</w:t>
            </w:r>
          </w:p>
        </w:tc>
        <w:tc>
          <w:tcPr>
            <w:tcW w:w="38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105,519</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Engineered Fabrics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18,042</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19,352</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35,836</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36,907</w:t>
            </w:r>
          </w:p>
        </w:tc>
      </w:tr>
      <w:tr>
        <w:trPr>
          <w:trHeight w:val="23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153,433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155,016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290,035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299,349</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accordance with ASC 606,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$85 million and $112 million as of June 30, 2020 and 2019, respectively, and related primarily to firm contracts in the AEC segment. Of the remaining performance obligations as of June 30, 2020, we expect to recognize as revenue approximately $52 million during 2020 and the remainder during 2021.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Business Acquisition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 years performance period. The Company funded the acquisition using a combination of cash on hand and funds drawn on its revolving credit facility. In March 2020, the Company purchased, in cash, the primary operating facility in Germany for $5.8 million, which resulted in the recording of land and building assets, and the removal of the Right of use assets and associated lease liabilities included in the acquisition-date balance sheet.</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 The acquired entity is part of the AEC segment. CirComp specializes in designing and manufacturing customized engineered composite components for aerospace and other demanding industrial applications.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the purchase price to the fair value of the assets and liabilities acquired: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November 20, 2019</w:t>
            </w:r>
          </w:p>
        </w:tc>
      </w:tr>
      <w:tr>
        <w:trPr>
          <w:trHeight w:val="22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3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Cash</w:t>
            </w:r>
          </w:p>
        </w:tc>
        <w:tc>
          <w:tcPr>
            <w:tcW w:w="3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1,607</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986</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1,992</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525</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452</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5,686</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4,884</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Amortizable intangible assets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10,302</w:t>
            </w:r>
          </w:p>
        </w:tc>
      </w:tr>
      <w:tr>
        <w:trPr>
          <w:trHeight w:val="25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Goodwill</w:t>
            </w:r>
          </w:p>
        </w:tc>
        <w:tc>
          <w:tcPr>
            <w:tcW w:w="33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17,676</w:t>
            </w: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44,110</w:t>
            </w:r>
          </w:p>
        </w:tc>
      </w:tr>
      <w:tr>
        <w:trPr>
          <w:trHeight w:val="46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65</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2,777</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502</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34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3,182</w:t>
            </w:r>
          </w:p>
        </w:tc>
      </w:tr>
      <w:tr>
        <w:trPr>
          <w:trHeight w:val="25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3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5,184</w:t>
            </w: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assumed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11,710</w:t>
            </w:r>
          </w:p>
        </w:tc>
      </w:tr>
      <w:tr>
        <w:trPr>
          <w:trHeight w:val="243"/>
        </w:trPr>
        <w:tc>
          <w:tcPr>
            <w:tcW w:w="63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32,400</w:t>
            </w:r>
          </w:p>
        </w:tc>
      </w:tr>
      <w:tr>
        <w:trPr>
          <w:trHeight w:val="23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Purchase of business, net of cash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30,793</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first six months of 2020, management identified adjustments to the provisional value of assets and liabilities acquired reported in the Form 10-K for the year ended December 31, 2019, which resulted in a decrease to Contract assets of $0.3 million, an increase to Accrued liabilities of $0.5 million, an increase to Amortizable intangible assets of $0.3 million, a decrease to Deferred income tax liabilities of $0.2 million, and an increase to Goodwill of $0.3 million. Management's review of the purchase price allocation has been completed.</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Acquired Goodwill of $17.7 million reflects the Company’s belief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 The acquisition significantly increases the Company’s opportunities for future growth. The goodwill is non-deductible for tax purposes.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820" w:firstLine="8"/>
        <w:spacing w:after="0" w:line="388" w:lineRule="auto"/>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six months ended June 30,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1,148</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1,261</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95</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3,071</w:t>
            </w:r>
          </w:p>
        </w:tc>
        <w:tc>
          <w:tcPr>
            <w:tcW w:w="5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3,578</w:t>
            </w:r>
          </w:p>
        </w:tc>
        <w:tc>
          <w:tcPr>
            <w:tcW w:w="2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857</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1,057</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(3,415)</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(4,102)</w:t>
            </w:r>
          </w:p>
        </w:tc>
        <w:tc>
          <w:tcPr>
            <w:tcW w:w="2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Settlement cost</w:t>
            </w:r>
          </w:p>
        </w:tc>
        <w:tc>
          <w:tcPr>
            <w:tcW w:w="3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145</w:t>
            </w:r>
          </w:p>
        </w:tc>
        <w:tc>
          <w:tcPr>
            <w:tcW w:w="5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Curtailment cost</w:t>
            </w:r>
          </w:p>
        </w:tc>
        <w:tc>
          <w:tcPr>
            <w:tcW w:w="3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233</w:t>
            </w:r>
          </w:p>
        </w:tc>
        <w:tc>
          <w:tcPr>
            <w:tcW w:w="5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16</w:t>
            </w:r>
          </w:p>
        </w:tc>
        <w:tc>
          <w:tcPr>
            <w:tcW w:w="5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(2,244)</w:t>
            </w:r>
          </w:p>
        </w:tc>
        <w:tc>
          <w:tcPr>
            <w:tcW w:w="3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(2,244)</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1,180</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1,125</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1,296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1,114</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2,378</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w:t>
            </w:r>
          </w:p>
        </w:tc>
      </w:tr>
    </w:tbl>
    <w:p>
      <w:pPr>
        <w:spacing w:after="0" w:line="337" w:lineRule="exact"/>
        <w:rPr>
          <w:sz w:val="20"/>
          <w:szCs w:val="20"/>
          <w:color w:val="auto"/>
        </w:rPr>
      </w:pPr>
    </w:p>
    <w:p>
      <w:pPr>
        <w:jc w:val="both"/>
        <w:ind w:right="320" w:firstLine="324"/>
        <w:spacing w:after="0"/>
        <w:rPr>
          <w:sz w:val="20"/>
          <w:szCs w:val="20"/>
          <w:color w:val="auto"/>
        </w:rPr>
      </w:pPr>
      <w:r>
        <w:rPr>
          <w:rFonts w:ascii="Arial" w:cs="Arial" w:eastAsia="Arial" w:hAnsi="Arial"/>
          <w:sz w:val="18"/>
          <w:szCs w:val="18"/>
          <w:color w:val="auto"/>
        </w:rPr>
        <w:t>The amount of net periodic pension cost is determined at the beginning of each year and generally only varies from quarter to quarter when a significant event occurs, such as a curtailment or a settlement. In the second quarter of 2020, the Company recorded expense of $0.4 million related to curtailments and settlements.</w:t>
      </w: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 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382"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In the second quarter of 2020, AEC reduced its workforce at various locations, principally in the United States, leading to restructuring charges of $2.2 million.</w:t>
      </w:r>
    </w:p>
    <w:p>
      <w:pPr>
        <w:spacing w:after="0" w:line="224" w:lineRule="exact"/>
        <w:rPr>
          <w:sz w:val="20"/>
          <w:szCs w:val="20"/>
          <w:color w:val="auto"/>
        </w:rPr>
      </w:pPr>
    </w:p>
    <w:p>
      <w:pPr>
        <w:jc w:val="both"/>
        <w:ind w:right="40" w:firstLine="324"/>
        <w:spacing w:after="0"/>
        <w:rPr>
          <w:sz w:val="20"/>
          <w:szCs w:val="20"/>
          <w:color w:val="auto"/>
        </w:rPr>
      </w:pPr>
      <w:r>
        <w:rPr>
          <w:rFonts w:ascii="Arial" w:cs="Arial" w:eastAsia="Arial" w:hAnsi="Arial"/>
          <w:sz w:val="18"/>
          <w:szCs w:val="18"/>
          <w:color w:val="auto"/>
        </w:rPr>
        <w:t>Machine Clothing restructuring charges for the first six months of 2020 and 2019 were principally related to discontinued operations at its MC production facility in Sélestat, France that was announced in 2017. Since 2017, we have recorded $13.1 million of restructuring charges related to this action.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center"/>
              <w:ind w:left="581"/>
              <w:spacing w:after="0"/>
              <w:rPr>
                <w:sz w:val="20"/>
                <w:szCs w:val="20"/>
                <w:color w:val="auto"/>
              </w:rPr>
            </w:pPr>
            <w:r>
              <w:rPr>
                <w:rFonts w:ascii="Arial" w:cs="Arial" w:eastAsia="Arial" w:hAnsi="Arial"/>
                <w:sz w:val="16"/>
                <w:szCs w:val="16"/>
                <w:b w:val="1"/>
                <w:bCs w:val="1"/>
                <w:color w:val="auto"/>
                <w:w w:val="97"/>
              </w:rPr>
              <w:t>388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935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1,336</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2,248</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2,248</w:t>
            </w:r>
          </w:p>
        </w:tc>
        <w:tc>
          <w:tcPr>
            <w:tcW w:w="24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51</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97"/>
              </w:rPr>
              <w:t>201</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(4)</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r>
      <w:tr>
        <w:trPr>
          <w:trHeight w:val="23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899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1,383</w:t>
            </w:r>
          </w:p>
        </w:tc>
      </w:tr>
      <w:tr>
        <w:trPr>
          <w:trHeight w:val="108"/>
        </w:trPr>
        <w:tc>
          <w:tcPr>
            <w:tcW w:w="6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169"/>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341"/>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restructuring</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26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Impairment of</w:t>
            </w: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costs incurred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262"/>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assets</w:t>
            </w:r>
          </w:p>
        </w:tc>
      </w:tr>
      <w:tr>
        <w:trPr>
          <w:trHeight w:val="222"/>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spacing w:after="0"/>
              <w:rPr>
                <w:sz w:val="19"/>
                <w:szCs w:val="19"/>
                <w:color w:val="auto"/>
              </w:rPr>
            </w:pPr>
          </w:p>
        </w:tc>
        <w:tc>
          <w:tcPr>
            <w:tcW w:w="960" w:type="dxa"/>
            <w:vAlign w:val="bottom"/>
          </w:tcPr>
          <w:p>
            <w:pPr>
              <w:jc w:val="center"/>
              <w:ind w:left="5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1,030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b w:val="1"/>
                <w:bCs w:val="1"/>
                <w:color w:val="auto"/>
              </w:rPr>
              <w:t>1,030</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2,248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b w:val="1"/>
                <w:bCs w:val="1"/>
                <w:color w:val="auto"/>
              </w:rPr>
              <w:t>2,248</w:t>
            </w:r>
          </w:p>
        </w:tc>
        <w:tc>
          <w:tcPr>
            <w:tcW w:w="24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3,479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r>
      <w:tr>
        <w:trPr>
          <w:trHeight w:val="122"/>
        </w:trPr>
        <w:tc>
          <w:tcPr>
            <w:tcW w:w="6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169"/>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341"/>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restructuring</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26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Impairment of</w:t>
            </w: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costs incurred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262"/>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assets</w:t>
            </w:r>
          </w:p>
        </w:tc>
      </w:tr>
      <w:tr>
        <w:trPr>
          <w:trHeight w:val="222"/>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spacing w:after="0"/>
              <w:rPr>
                <w:sz w:val="19"/>
                <w:szCs w:val="19"/>
                <w:color w:val="auto"/>
              </w:rPr>
            </w:pPr>
          </w:p>
        </w:tc>
        <w:tc>
          <w:tcPr>
            <w:tcW w:w="960" w:type="dxa"/>
            <w:vAlign w:val="bottom"/>
          </w:tcPr>
          <w:p>
            <w:pPr>
              <w:jc w:val="center"/>
              <w:ind w:left="5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1,309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27</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1,356</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27</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that approximately $3.7 million of Accrued liabilities for restructuring at June 30, 2020 will be paid within one year and approximately $ 0.4 million will be paid the following year. The table below presents the year-to-date changes in restructuring liabilities for 2020 and 2019, all of which are related to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center"/>
              <w:ind w:right="4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5"/>
              <w:spacing w:after="0"/>
              <w:rPr>
                <w:sz w:val="20"/>
                <w:szCs w:val="20"/>
                <w:color w:val="auto"/>
              </w:rPr>
            </w:pPr>
            <w:r>
              <w:rPr>
                <w:rFonts w:ascii="Arial" w:cs="Arial" w:eastAsia="Arial" w:hAnsi="Arial"/>
                <w:sz w:val="14"/>
                <w:szCs w:val="14"/>
                <w:b w:val="1"/>
                <w:bCs w:val="1"/>
                <w:color w:val="auto"/>
              </w:rPr>
              <w:t>Restructuring</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45"/>
              <w:spacing w:after="0"/>
              <w:rPr>
                <w:sz w:val="20"/>
                <w:szCs w:val="20"/>
                <w:color w:val="auto"/>
              </w:rPr>
            </w:pPr>
            <w:r>
              <w:rPr>
                <w:rFonts w:ascii="Arial" w:cs="Arial" w:eastAsia="Arial" w:hAnsi="Arial"/>
                <w:sz w:val="14"/>
                <w:szCs w:val="14"/>
                <w:b w:val="1"/>
                <w:bCs w:val="1"/>
                <w:color w:val="auto"/>
              </w:rPr>
              <w:t>Currency</w:t>
            </w:r>
          </w:p>
        </w:tc>
        <w:tc>
          <w:tcPr>
            <w:tcW w:w="340" w:type="dxa"/>
            <w:vAlign w:val="bottom"/>
          </w:tcPr>
          <w:p>
            <w:pPr>
              <w:spacing w:after="0"/>
              <w:rPr>
                <w:sz w:val="14"/>
                <w:szCs w:val="14"/>
                <w:color w:val="auto"/>
              </w:rPr>
            </w:pPr>
          </w:p>
        </w:tc>
        <w:tc>
          <w:tcPr>
            <w:tcW w:w="1220" w:type="dxa"/>
            <w:vAlign w:val="bottom"/>
          </w:tcPr>
          <w:p>
            <w:pPr>
              <w:jc w:val="center"/>
              <w:ind w:right="245"/>
              <w:spacing w:after="0"/>
              <w:rPr>
                <w:sz w:val="20"/>
                <w:szCs w:val="20"/>
                <w:color w:val="auto"/>
              </w:rPr>
            </w:pPr>
            <w:r>
              <w:rPr>
                <w:rFonts w:ascii="Arial" w:cs="Arial" w:eastAsia="Arial" w:hAnsi="Arial"/>
                <w:sz w:val="14"/>
                <w:szCs w:val="14"/>
                <w:b w:val="1"/>
                <w:bCs w:val="1"/>
                <w:color w:val="auto"/>
              </w:rPr>
              <w:t>June 30,</w:t>
            </w:r>
          </w:p>
        </w:tc>
      </w:tr>
      <w:tr>
        <w:trPr>
          <w:trHeight w:val="196"/>
        </w:trPr>
        <w:tc>
          <w:tcPr>
            <w:tcW w:w="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charges accrued</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Payments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translation /other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rPr>
              <w:t>2020</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b w:val="1"/>
                <w:bCs w:val="1"/>
                <w:color w:val="auto"/>
              </w:rPr>
              <w:t>2,042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5"/>
              <w:spacing w:after="0"/>
              <w:rPr>
                <w:sz w:val="20"/>
                <w:szCs w:val="20"/>
                <w:color w:val="auto"/>
              </w:rPr>
            </w:pPr>
            <w:r>
              <w:rPr>
                <w:rFonts w:ascii="Arial" w:cs="Arial" w:eastAsia="Arial" w:hAnsi="Arial"/>
                <w:sz w:val="16"/>
                <w:szCs w:val="16"/>
                <w:b w:val="1"/>
                <w:bCs w:val="1"/>
                <w:color w:val="auto"/>
              </w:rPr>
              <w:t>3,479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(1,410)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85"/>
              <w:spacing w:after="0"/>
              <w:rPr>
                <w:sz w:val="20"/>
                <w:szCs w:val="20"/>
                <w:color w:val="auto"/>
              </w:rPr>
            </w:pPr>
            <w:r>
              <w:rPr>
                <w:rFonts w:ascii="Arial" w:cs="Arial" w:eastAsia="Arial" w:hAnsi="Arial"/>
                <w:sz w:val="16"/>
                <w:szCs w:val="16"/>
                <w:b w:val="1"/>
                <w:bCs w:val="1"/>
                <w:color w:val="auto"/>
              </w:rPr>
              <w:t>4,106</w:t>
            </w:r>
          </w:p>
        </w:tc>
      </w:tr>
      <w:tr>
        <w:trPr>
          <w:trHeight w:val="128"/>
        </w:trPr>
        <w:tc>
          <w:tcPr>
            <w:tcW w:w="20" w:type="dxa"/>
            <w:vAlign w:val="bottom"/>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center"/>
              <w:ind w:right="4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5"/>
              <w:spacing w:after="0"/>
              <w:rPr>
                <w:sz w:val="20"/>
                <w:szCs w:val="20"/>
                <w:color w:val="auto"/>
              </w:rPr>
            </w:pPr>
            <w:r>
              <w:rPr>
                <w:rFonts w:ascii="Arial" w:cs="Arial" w:eastAsia="Arial" w:hAnsi="Arial"/>
                <w:sz w:val="14"/>
                <w:szCs w:val="14"/>
                <w:b w:val="1"/>
                <w:bCs w:val="1"/>
                <w:color w:val="auto"/>
              </w:rPr>
              <w:t>Restructuring</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45"/>
              <w:spacing w:after="0"/>
              <w:rPr>
                <w:sz w:val="20"/>
                <w:szCs w:val="20"/>
                <w:color w:val="auto"/>
              </w:rPr>
            </w:pPr>
            <w:r>
              <w:rPr>
                <w:rFonts w:ascii="Arial" w:cs="Arial" w:eastAsia="Arial" w:hAnsi="Arial"/>
                <w:sz w:val="14"/>
                <w:szCs w:val="14"/>
                <w:b w:val="1"/>
                <w:bCs w:val="1"/>
                <w:color w:val="auto"/>
              </w:rPr>
              <w:t>Currency</w:t>
            </w:r>
          </w:p>
        </w:tc>
        <w:tc>
          <w:tcPr>
            <w:tcW w:w="340" w:type="dxa"/>
            <w:vAlign w:val="bottom"/>
          </w:tcPr>
          <w:p>
            <w:pPr>
              <w:spacing w:after="0"/>
              <w:rPr>
                <w:sz w:val="14"/>
                <w:szCs w:val="14"/>
                <w:color w:val="auto"/>
              </w:rPr>
            </w:pPr>
          </w:p>
        </w:tc>
        <w:tc>
          <w:tcPr>
            <w:tcW w:w="1220" w:type="dxa"/>
            <w:vAlign w:val="bottom"/>
          </w:tcPr>
          <w:p>
            <w:pPr>
              <w:jc w:val="center"/>
              <w:ind w:right="205"/>
              <w:spacing w:after="0"/>
              <w:rPr>
                <w:sz w:val="20"/>
                <w:szCs w:val="20"/>
                <w:color w:val="auto"/>
              </w:rPr>
            </w:pPr>
            <w:r>
              <w:rPr>
                <w:rFonts w:ascii="Arial" w:cs="Arial" w:eastAsia="Arial" w:hAnsi="Arial"/>
                <w:sz w:val="14"/>
                <w:szCs w:val="14"/>
                <w:b w:val="1"/>
                <w:bCs w:val="1"/>
                <w:color w:val="auto"/>
              </w:rPr>
              <w:t>June 30,</w:t>
            </w: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charges accrued</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Payments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rPr>
              <w:t>translation /other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2019</w:t>
            </w:r>
          </w:p>
        </w:tc>
      </w:tr>
      <w:tr>
        <w:trPr>
          <w:trHeight w:val="236"/>
        </w:trPr>
        <w:tc>
          <w:tcPr>
            <w:tcW w:w="2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5,570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3,507</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Currency transaction (gains)/losses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14,851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(1,696)</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2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93</w:t>
            </w:r>
          </w:p>
        </w:tc>
        <w:tc>
          <w:tcPr>
            <w:tcW w:w="3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168</w:t>
            </w:r>
          </w:p>
        </w:tc>
        <w:tc>
          <w:tcPr>
            <w:tcW w:w="38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181</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2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754</w:t>
            </w:r>
          </w:p>
        </w:tc>
        <w:tc>
          <w:tcPr>
            <w:tcW w:w="3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3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1,139</w:t>
            </w:r>
          </w:p>
        </w:tc>
        <w:tc>
          <w:tcPr>
            <w:tcW w:w="38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562</w:t>
            </w: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227</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502</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675</w:t>
            </w:r>
          </w:p>
        </w:tc>
      </w:tr>
      <w:tr>
        <w:trPr>
          <w:trHeight w:val="23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1,091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16,660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(278)</w:t>
            </w:r>
          </w:p>
        </w:tc>
      </w:tr>
    </w:tbl>
    <w:p>
      <w:pPr>
        <w:spacing w:after="0" w:line="200" w:lineRule="exact"/>
        <w:rPr>
          <w:sz w:val="20"/>
          <w:szCs w:val="20"/>
          <w:color w:val="auto"/>
        </w:rPr>
      </w:pPr>
    </w:p>
    <w:p>
      <w:pPr>
        <w:spacing w:after="0" w:line="258"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Other (Income)/Expense, net for the first three months of 2020 includes losses related to the revaluation of nonfunctional-currency balances of $14.8 million, which principally resulted from an intercompany demand loan payable by a Mexican subsidiary combined with the effects of a much weaker peso in 2020. As a result of changes in</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business conditions that occurred in the first quarter of 2020, certain loan repayments are no longer expected in the foreseeable future and, beginning April 1, 2020, the revaluation effects for those loans are being recorded in Other comprehensive income. This resulted in gains of $0.6 million being recorded in Other comprehensive income in the second quarter of 2020. Other (income)/expense, net, for the first six months of 2019 included gains related to the revaluation of nonfunctional-currency balances of $1.7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Income tax based on income from continuing operations, at estimated tax rates of</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16,262</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23,571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6"/>
                <w:szCs w:val="16"/>
                <w:color w:val="auto"/>
              </w:rPr>
              <w:t>34.0% and 28.4%, respectively</w:t>
            </w:r>
          </w:p>
        </w:tc>
        <w:tc>
          <w:tcPr>
            <w:tcW w:w="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13,821</w:t>
            </w:r>
          </w:p>
        </w:tc>
        <w:tc>
          <w:tcPr>
            <w:tcW w:w="2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24,668</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color w:val="auto"/>
              </w:rPr>
              <w:t>Income tax before discrete items</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15,772</w:t>
            </w:r>
          </w:p>
        </w:tc>
        <w:tc>
          <w:tcPr>
            <w:tcW w:w="3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13,439</w:t>
            </w:r>
          </w:p>
        </w:tc>
        <w:tc>
          <w:tcPr>
            <w:tcW w:w="22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23,081</w:t>
            </w:r>
          </w:p>
        </w:tc>
        <w:tc>
          <w:tcPr>
            <w:tcW w:w="300" w:type="dxa"/>
            <w:vAlign w:val="bottom"/>
          </w:tcPr>
          <w:p>
            <w:pPr>
              <w:spacing w:after="0"/>
              <w:rPr>
                <w:sz w:val="19"/>
                <w:szCs w:val="19"/>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24,286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Exercise of U.S. stock options</w:t>
            </w:r>
          </w:p>
        </w:tc>
        <w:tc>
          <w:tcPr>
            <w:tcW w:w="36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36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879</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767</w:t>
            </w:r>
          </w:p>
        </w:tc>
        <w:tc>
          <w:tcPr>
            <w:tcW w:w="30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(1,489)</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(1,733)</w:t>
            </w:r>
          </w:p>
        </w:tc>
        <w:tc>
          <w:tcPr>
            <w:tcW w:w="30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Out-of-period adjustments to deferred tax assets</w:t>
            </w:r>
          </w:p>
        </w:tc>
        <w:tc>
          <w:tcPr>
            <w:tcW w:w="36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1,830</w:t>
            </w:r>
          </w:p>
        </w:tc>
        <w:tc>
          <w:tcPr>
            <w:tcW w:w="3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Changes in opening valuation allowance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3,656</w:t>
            </w:r>
          </w:p>
        </w:tc>
        <w:tc>
          <w:tcPr>
            <w:tcW w:w="3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Changes in valuation allowance</w:t>
            </w:r>
          </w:p>
        </w:tc>
        <w:tc>
          <w:tcPr>
            <w:tcW w:w="36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222</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841</w:t>
            </w:r>
          </w:p>
        </w:tc>
        <w:tc>
          <w:tcPr>
            <w:tcW w:w="2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222</w:t>
            </w:r>
          </w:p>
        </w:tc>
        <w:tc>
          <w:tcPr>
            <w:tcW w:w="30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income tax expense</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15,364</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27,818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21,881</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second quarter estimated annual effective tax rate on continuing operations was 34.0 percent in 2020, compared to 28.4 percent for the same period in 2019.</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The higher estimated second quarter 2020 income tax rate is primarily driven by an increase in losses in a foreign jurisdiction that is excluded in calculating the quarterly income tax provision.</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$143.0 million of current year and prior year earnings of the Company’s foreign operations. If these earnings were distributed, the Company would be subject to foreign withholding taxes of $2.3 million and state income taxes of $2.4 million which have already been recorded.</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2020. The Company is currently under audit in U.S and non-U.S. tax jurisdictions, including but not limited to Canada and Italy. In the first quarter of 2020, the Company recorded a $1.8 million out-of-period immaterial charge related to developments in ongoing tax audits, which resulted in a corresponding decrease in deferred tax assets.In the second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quarter of 2020, the US state tax audit was settled. As a result of the audit settlement, the Company recorded a net tax benefit of $1.5 million.</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recorded a net deferred tax expense of $1.0 million due to an adjustment of net operating losses related to settled audits. Additionally, the Company also recorded a $0.2 million valuation allowance on the net deferred tax assets of one of its foreign subsidiaries in the second quarter of 2020.</w:t>
      </w:r>
    </w:p>
    <w:p>
      <w:pPr>
        <w:spacing w:after="0" w:line="22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Company’s subsidiary in Mexico has an intercompany loan payable in U.S. dollars. As a result of the weaker Mexican peso, the Company recorded a revaluation loss of $12.7 million in the first quarter of 2020. That foreign currency loss is not deductible under Mexican tax law, which had a $3.7 million discrete tax impact in the first quarter of 2020. This intercompany loan was designated as a long-term loan as of April 1, 2020 and, as such, the foreign currency impacts are not recorded in the income statement.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7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32,354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41,463</w:t>
            </w:r>
          </w:p>
        </w:tc>
        <w:tc>
          <w:tcPr>
            <w:tcW w:w="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63,244</w:t>
            </w:r>
          </w:p>
        </w:tc>
        <w:tc>
          <w:tcPr>
            <w:tcW w:w="0" w:type="dxa"/>
            <w:vAlign w:val="bottom"/>
          </w:tcPr>
          <w:p>
            <w:pPr>
              <w:spacing w:after="0"/>
              <w:rPr>
                <w:sz w:val="1"/>
                <w:szCs w:val="1"/>
                <w:color w:val="auto"/>
              </w:rPr>
            </w:pPr>
          </w:p>
        </w:tc>
      </w:tr>
      <w:tr>
        <w:trPr>
          <w:trHeight w:val="46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shares used in calculating basic net income per share</w:t>
            </w:r>
          </w:p>
        </w:tc>
        <w:tc>
          <w:tcPr>
            <w:tcW w:w="2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32,328</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32,299</w:t>
            </w:r>
          </w:p>
        </w:tc>
        <w:tc>
          <w:tcPr>
            <w:tcW w:w="30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32,320</w:t>
            </w:r>
          </w:p>
        </w:tc>
        <w:tc>
          <w:tcPr>
            <w:tcW w:w="38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32,286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61"/>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shares used in calculating diluted net income per</w:t>
            </w:r>
          </w:p>
        </w:tc>
        <w:tc>
          <w:tcPr>
            <w:tcW w:w="220" w:type="dxa"/>
            <w:vAlign w:val="bottom"/>
          </w:tcPr>
          <w:p>
            <w:pPr>
              <w:spacing w:after="0"/>
              <w:rPr>
                <w:sz w:val="24"/>
                <w:szCs w:val="24"/>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32,336</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32,328</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32,311</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32,298</w:t>
            </w:r>
          </w:p>
        </w:tc>
        <w:tc>
          <w:tcPr>
            <w:tcW w:w="0" w:type="dxa"/>
            <w:vAlign w:val="bottom"/>
          </w:tcPr>
          <w:p>
            <w:pPr>
              <w:spacing w:after="0"/>
              <w:rPr>
                <w:sz w:val="1"/>
                <w:szCs w:val="1"/>
                <w:color w:val="auto"/>
              </w:rPr>
            </w:pPr>
          </w:p>
        </w:tc>
      </w:tr>
      <w:tr>
        <w:trPr>
          <w:trHeight w:val="466"/>
        </w:trPr>
        <w:tc>
          <w:tcPr>
            <w:tcW w:w="6060" w:type="dxa"/>
            <w:vAlign w:val="bottom"/>
          </w:tcPr>
          <w:p>
            <w:pPr>
              <w:ind w:left="2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54.08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74.86</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59.73</w:t>
            </w:r>
          </w:p>
        </w:tc>
        <w:tc>
          <w:tcPr>
            <w:tcW w:w="38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73.08</w:t>
            </w:r>
          </w:p>
        </w:tc>
        <w:tc>
          <w:tcPr>
            <w:tcW w:w="0" w:type="dxa"/>
            <w:vAlign w:val="bottom"/>
          </w:tcPr>
          <w:p>
            <w:pPr>
              <w:spacing w:after="0"/>
              <w:rPr>
                <w:sz w:val="1"/>
                <w:szCs w:val="1"/>
                <w:color w:val="auto"/>
              </w:rPr>
            </w:pPr>
          </w:p>
        </w:tc>
      </w:tr>
      <w:tr>
        <w:trPr>
          <w:trHeight w:val="50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1.28</w:t>
            </w:r>
          </w:p>
        </w:tc>
        <w:tc>
          <w:tcPr>
            <w:tcW w:w="38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w:t>
            </w:r>
          </w:p>
        </w:tc>
        <w:tc>
          <w:tcPr>
            <w:tcW w:w="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June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42"/>
              <w:spacing w:after="0"/>
              <w:rPr>
                <w:sz w:val="20"/>
                <w:szCs w:val="20"/>
                <w:color w:val="auto"/>
              </w:rPr>
            </w:pPr>
            <w:r>
              <w:rPr>
                <w:rFonts w:ascii="Arial" w:cs="Arial" w:eastAsia="Arial" w:hAnsi="Arial"/>
                <w:sz w:val="14"/>
                <w:szCs w:val="14"/>
                <w:b w:val="1"/>
                <w:bCs w:val="1"/>
                <w:color w:val="auto"/>
              </w:rPr>
              <w:t>Total Accumulated</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postretirement</w:t>
            </w:r>
          </w:p>
        </w:tc>
        <w:tc>
          <w:tcPr>
            <w:tcW w:w="28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261"/>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400" w:type="dxa"/>
            <w:vAlign w:val="bottom"/>
          </w:tcPr>
          <w:p>
            <w:pPr>
              <w:jc w:val="center"/>
              <w:ind w:right="4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(122,852)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(49,994)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(175,981)</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(16,783)</w:t>
            </w:r>
          </w:p>
        </w:tc>
        <w:tc>
          <w:tcPr>
            <w:tcW w:w="22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581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(9,028)</w:t>
            </w:r>
          </w:p>
        </w:tc>
        <w:tc>
          <w:tcPr>
            <w:tcW w:w="160" w:type="dxa"/>
            <w:vAlign w:val="bottom"/>
          </w:tcPr>
          <w:p>
            <w:pPr>
              <w:spacing w:after="0"/>
              <w:rPr>
                <w:sz w:val="19"/>
                <w:szCs w:val="19"/>
                <w:color w:val="auto"/>
              </w:rPr>
            </w:pPr>
          </w:p>
        </w:tc>
        <w:tc>
          <w:tcPr>
            <w:tcW w:w="1400" w:type="dxa"/>
            <w:vAlign w:val="bottom"/>
          </w:tcPr>
          <w:p>
            <w:pPr>
              <w:jc w:val="right"/>
              <w:ind w:right="42"/>
              <w:spacing w:after="0"/>
              <w:rPr>
                <w:sz w:val="20"/>
                <w:szCs w:val="20"/>
                <w:color w:val="auto"/>
              </w:rPr>
            </w:pPr>
            <w:r>
              <w:rPr>
                <w:rFonts w:ascii="Arial" w:cs="Arial" w:eastAsia="Arial" w:hAnsi="Arial"/>
                <w:sz w:val="16"/>
                <w:szCs w:val="16"/>
                <w:color w:val="auto"/>
              </w:rPr>
              <w:t>(25,230)</w:t>
            </w:r>
          </w:p>
        </w:tc>
      </w:tr>
      <w:tr>
        <w:trPr>
          <w:trHeight w:val="243"/>
        </w:trPr>
        <w:tc>
          <w:tcPr>
            <w:tcW w:w="5100" w:type="dxa"/>
            <w:vAlign w:val="bottom"/>
          </w:tcPr>
          <w:p>
            <w:pPr>
              <w:ind w:left="20"/>
              <w:spacing w:after="0"/>
              <w:rPr>
                <w:sz w:val="20"/>
                <w:szCs w:val="20"/>
                <w:color w:val="auto"/>
              </w:rPr>
            </w:pPr>
            <w:r>
              <w:rPr>
                <w:rFonts w:ascii="Arial" w:cs="Arial" w:eastAsia="Arial" w:hAnsi="Arial"/>
                <w:sz w:val="16"/>
                <w:szCs w:val="16"/>
                <w:color w:val="auto"/>
              </w:rPr>
              <w:t>Pension/postretirement curtailment loss, net of tax</w:t>
            </w:r>
          </w:p>
        </w:tc>
        <w:tc>
          <w:tcPr>
            <w:tcW w:w="28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265</w:t>
            </w:r>
          </w:p>
        </w:tc>
        <w:tc>
          <w:tcPr>
            <w:tcW w:w="28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265</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1,133</w:t>
            </w:r>
          </w:p>
        </w:tc>
        <w:tc>
          <w:tcPr>
            <w:tcW w:w="160" w:type="dxa"/>
            <w:vAlign w:val="bottom"/>
          </w:tcPr>
          <w:p>
            <w:pPr>
              <w:spacing w:after="0"/>
              <w:rPr>
                <w:sz w:val="16"/>
                <w:szCs w:val="16"/>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1,133</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186</w:t>
            </w: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(16,783)</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1,032</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(7,895)</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(23,646)</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(139,635)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(199,627)</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2018 to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42"/>
              <w:spacing w:after="0"/>
              <w:rPr>
                <w:sz w:val="20"/>
                <w:szCs w:val="20"/>
                <w:color w:val="auto"/>
              </w:rPr>
            </w:pPr>
            <w:r>
              <w:rPr>
                <w:rFonts w:ascii="Arial" w:cs="Arial" w:eastAsia="Arial" w:hAnsi="Arial"/>
                <w:sz w:val="14"/>
                <w:szCs w:val="14"/>
                <w:b w:val="1"/>
                <w:bCs w:val="1"/>
                <w:color w:val="auto"/>
              </w:rPr>
              <w:t>Total Accumulated</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postretirement</w:t>
            </w:r>
          </w:p>
        </w:tc>
        <w:tc>
          <w:tcPr>
            <w:tcW w:w="28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261"/>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280" w:type="dxa"/>
            <w:vAlign w:val="bottom"/>
          </w:tcPr>
          <w:p>
            <w:pPr>
              <w:jc w:val="center"/>
              <w:ind w:right="62"/>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400" w:type="dxa"/>
            <w:vAlign w:val="bottom"/>
          </w:tcPr>
          <w:p>
            <w:pPr>
              <w:jc w:val="center"/>
              <w:ind w:right="4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(115,976)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(47,109)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4,697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(158,388)</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(655)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(6,897)</w:t>
            </w:r>
          </w:p>
        </w:tc>
        <w:tc>
          <w:tcPr>
            <w:tcW w:w="160" w:type="dxa"/>
            <w:vAlign w:val="bottom"/>
          </w:tcPr>
          <w:p>
            <w:pPr>
              <w:spacing w:after="0"/>
              <w:rPr>
                <w:sz w:val="19"/>
                <w:szCs w:val="19"/>
                <w:color w:val="auto"/>
              </w:rPr>
            </w:pPr>
          </w:p>
        </w:tc>
        <w:tc>
          <w:tcPr>
            <w:tcW w:w="1400" w:type="dxa"/>
            <w:vAlign w:val="bottom"/>
          </w:tcPr>
          <w:p>
            <w:pPr>
              <w:jc w:val="right"/>
              <w:ind w:right="42"/>
              <w:spacing w:after="0"/>
              <w:rPr>
                <w:sz w:val="20"/>
                <w:szCs w:val="20"/>
                <w:color w:val="auto"/>
              </w:rPr>
            </w:pPr>
            <w:r>
              <w:rPr>
                <w:rFonts w:ascii="Arial" w:cs="Arial" w:eastAsia="Arial" w:hAnsi="Arial"/>
                <w:sz w:val="16"/>
                <w:szCs w:val="16"/>
                <w:color w:val="auto"/>
              </w:rPr>
              <w:t>(7,753)</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w:t>
            </w:r>
          </w:p>
        </w:tc>
        <w:tc>
          <w:tcPr>
            <w:tcW w:w="160" w:type="dxa"/>
            <w:vAlign w:val="bottom"/>
          </w:tcPr>
          <w:p>
            <w:pPr>
              <w:spacing w:after="0"/>
              <w:rPr>
                <w:sz w:val="16"/>
                <w:szCs w:val="16"/>
                <w:color w:val="auto"/>
              </w:rPr>
            </w:pPr>
          </w:p>
        </w:tc>
        <w:tc>
          <w:tcPr>
            <w:tcW w:w="1400" w:type="dxa"/>
            <w:vAlign w:val="bottom"/>
          </w:tcPr>
          <w:p>
            <w:pPr>
              <w:jc w:val="right"/>
              <w:ind w:right="42"/>
              <w:spacing w:after="0"/>
              <w:rPr>
                <w:sz w:val="20"/>
                <w:szCs w:val="20"/>
                <w:color w:val="auto"/>
              </w:rPr>
            </w:pPr>
            <w:r>
              <w:rPr>
                <w:rFonts w:ascii="Arial" w:cs="Arial" w:eastAsia="Arial" w:hAnsi="Arial"/>
                <w:sz w:val="16"/>
                <w:szCs w:val="16"/>
                <w:color w:val="auto"/>
              </w:rPr>
              <w:t>(649)</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20</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Adjustment related to prior period change in opening valuation</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(1,346)</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(7,546)</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(9,728)</w:t>
            </w: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(116,631)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(48,636)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(168,116)</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three and six months ended June 30, 2020 and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Pretax Derivative valuation reclassified from Accumulated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Expense/(income) related to interest rate swaps included in Income before taxes</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1,116</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1,523</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20"/>
              <w:spacing w:after="0"/>
              <w:rPr>
                <w:sz w:val="20"/>
                <w:szCs w:val="20"/>
                <w:color w:val="auto"/>
              </w:rPr>
            </w:pPr>
            <w:r>
              <w:rPr>
                <w:rFonts w:ascii="Arial" w:cs="Arial" w:eastAsia="Arial" w:hAnsi="Arial"/>
                <w:sz w:val="16"/>
                <w:szCs w:val="16"/>
                <w:color w:val="auto"/>
              </w:rPr>
              <w:t>(a)</w:t>
            </w:r>
          </w:p>
        </w:tc>
        <w:tc>
          <w:tcPr>
            <w:tcW w:w="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8"/>
        </w:trPr>
        <w:tc>
          <w:tcPr>
            <w:tcW w:w="604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830</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1,133</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441"/>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Pension/postretirement curtailment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378</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378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(1,105)</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(2,228)</w:t>
            </w:r>
          </w:p>
        </w:tc>
        <w:tc>
          <w:tcPr>
            <w:tcW w:w="3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1,232</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1,118</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2,476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Total pretax amount reclassified (b)</w:t>
            </w:r>
          </w:p>
        </w:tc>
        <w:tc>
          <w:tcPr>
            <w:tcW w:w="2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496</w:t>
            </w:r>
          </w:p>
        </w:tc>
        <w:tc>
          <w:tcPr>
            <w:tcW w:w="34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626</w:t>
            </w:r>
          </w:p>
        </w:tc>
        <w:tc>
          <w:tcPr>
            <w:tcW w:w="3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6"/>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8"/>
        </w:trPr>
        <w:tc>
          <w:tcPr>
            <w:tcW w:w="604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353</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451</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60" w:hanging="652"/>
        <w:spacing w:after="0" w:line="24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15 and 16).</w:t>
      </w: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4).</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23"/>
        </w:trPr>
        <w:tc>
          <w:tcPr>
            <w:tcW w:w="7080" w:type="dxa"/>
            <w:vAlign w:val="bottom"/>
          </w:tcPr>
          <w:p>
            <w:pPr>
              <w:ind w:left="20"/>
              <w:spacing w:after="0"/>
              <w:rPr>
                <w:sz w:val="20"/>
                <w:szCs w:val="20"/>
                <w:color w:val="auto"/>
              </w:rPr>
            </w:pPr>
            <w:r>
              <w:rPr>
                <w:rFonts w:ascii="Arial" w:cs="Arial" w:eastAsia="Arial" w:hAnsi="Arial"/>
                <w:sz w:val="16"/>
                <w:szCs w:val="16"/>
                <w:color w:val="auto"/>
              </w:rPr>
              <w:t>Net (loss)/income of Albany Safran Composites (ASC)</w:t>
            </w: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(13,612)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4,884</w:t>
            </w:r>
          </w:p>
        </w:tc>
      </w:tr>
      <w:tr>
        <w:trPr>
          <w:trHeight w:val="25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587</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652</w:t>
            </w:r>
          </w:p>
        </w:tc>
      </w:tr>
      <w:tr>
        <w:trPr>
          <w:trHeight w:val="223"/>
        </w:trPr>
        <w:tc>
          <w:tcPr>
            <w:tcW w:w="7080" w:type="dxa"/>
            <w:vAlign w:val="bottom"/>
          </w:tcPr>
          <w:p>
            <w:pPr>
              <w:ind w:left="20"/>
              <w:spacing w:after="0"/>
              <w:rPr>
                <w:sz w:val="20"/>
                <w:szCs w:val="20"/>
                <w:color w:val="auto"/>
              </w:rPr>
            </w:pPr>
            <w:r>
              <w:rPr>
                <w:rFonts w:ascii="Arial" w:cs="Arial" w:eastAsia="Arial" w:hAnsi="Arial"/>
                <w:sz w:val="16"/>
                <w:szCs w:val="16"/>
                <w:color w:val="auto"/>
              </w:rPr>
              <w:t>Net (loss)/income of ASC available for common ownership</w:t>
            </w: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(14,199)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4,232</w:t>
            </w:r>
          </w:p>
        </w:tc>
      </w:tr>
      <w:tr>
        <w:trPr>
          <w:trHeight w:val="25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3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(loss)/income attributable to noncontrolling interest</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(1,420)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423</w:t>
            </w:r>
          </w:p>
        </w:tc>
      </w:tr>
      <w:tr>
        <w:trPr>
          <w:trHeight w:val="467"/>
        </w:trPr>
        <w:tc>
          <w:tcPr>
            <w:tcW w:w="7080" w:type="dxa"/>
            <w:vAlign w:val="bottom"/>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4,006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3,031</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Net (loss)/income attributable to noncontrolling interest</w:t>
            </w:r>
          </w:p>
        </w:tc>
        <w:tc>
          <w:tcPr>
            <w:tcW w:w="1740" w:type="dxa"/>
            <w:vAlign w:val="bottom"/>
          </w:tcPr>
          <w:p>
            <w:pPr>
              <w:spacing w:after="0"/>
              <w:rPr>
                <w:sz w:val="21"/>
                <w:szCs w:val="21"/>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(1,420)</w:t>
            </w:r>
          </w:p>
        </w:tc>
        <w:tc>
          <w:tcPr>
            <w:tcW w:w="320" w:type="dxa"/>
            <w:vAlign w:val="bottom"/>
          </w:tcPr>
          <w:p>
            <w:pPr>
              <w:spacing w:after="0"/>
              <w:rPr>
                <w:sz w:val="21"/>
                <w:szCs w:val="21"/>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423</w:t>
            </w:r>
          </w:p>
        </w:tc>
      </w:tr>
      <w:tr>
        <w:trPr>
          <w:trHeight w:val="25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Changes in other comprehensive income attributable to noncontrolling interest</w:t>
            </w:r>
          </w:p>
        </w:tc>
        <w:tc>
          <w:tcPr>
            <w:tcW w:w="1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261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r>
      <w:tr>
        <w:trPr>
          <w:trHeight w:val="23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2,847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3,448</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June 30, 2020 and December 31, 2019, Accounts receivable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color w:val="auto"/>
              </w:rPr>
              <w:t>Trade and other accounts receivable</w:t>
            </w:r>
          </w:p>
        </w:tc>
        <w:tc>
          <w:tcPr>
            <w:tcW w:w="32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186,266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201,427</w:t>
            </w: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2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20,279</w:t>
            </w:r>
          </w:p>
        </w:tc>
        <w:tc>
          <w:tcPr>
            <w:tcW w:w="18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18,563</w:t>
            </w:r>
          </w:p>
        </w:tc>
      </w:tr>
      <w:tr>
        <w:trPr>
          <w:trHeight w:val="25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(3,933)</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(1,719)</w:t>
            </w:r>
          </w:p>
        </w:tc>
      </w:tr>
      <w:tr>
        <w:trPr>
          <w:trHeight w:val="23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202,612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218,271</w:t>
            </w: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are invoiced to the customer, with 2% interest, over a 10-year period that began in 2020. As of June 30, 2020 and December 31, 2019, Noncurrent receivables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jc w:val="right"/>
              <w:ind w:right="24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color w:val="auto"/>
              </w:rPr>
              <w:t>Noncurrent receivables</w:t>
            </w:r>
          </w:p>
        </w:tc>
        <w:tc>
          <w:tcPr>
            <w:tcW w:w="32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b w:val="1"/>
                <w:bCs w:val="1"/>
                <w:color w:val="auto"/>
              </w:rPr>
              <w:t>37,288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41,234</w:t>
            </w:r>
          </w:p>
        </w:tc>
      </w:tr>
      <w:tr>
        <w:trPr>
          <w:trHeight w:val="25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receivables, net</w:t>
            </w:r>
          </w:p>
        </w:tc>
        <w:tc>
          <w:tcPr>
            <w:tcW w:w="3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36,901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41,234</w:t>
            </w: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As described in Note 1, effective January 1, 2020, the Company adopted the provisions of ASC 326, </w:t>
      </w:r>
      <w:r>
        <w:rPr>
          <w:rFonts w:ascii="Arial" w:cs="Arial" w:eastAsia="Arial" w:hAnsi="Arial"/>
          <w:sz w:val="18"/>
          <w:szCs w:val="18"/>
          <w:i w:val="1"/>
          <w:iCs w:val="1"/>
          <w:color w:val="auto"/>
        </w:rPr>
        <w:t>Current Expected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(CECL). </w:t>
      </w:r>
      <w:r>
        <w:rPr>
          <w:rFonts w:ascii="Arial" w:cs="Arial" w:eastAsia="Arial" w:hAnsi="Arial"/>
          <w:sz w:val="18"/>
          <w:szCs w:val="18"/>
          <w:color w:val="auto"/>
        </w:rPr>
        <w:t>The overarching purpose of the new standard is to provide greater transparency and understanding of the Company’s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CECL accounting update replaces the incurred loss impairment methodology under current GAAP with a methodology that reflects expected credit losses and requires consideration of a broader range of reasonable and supportable information to inform credit loss estimates. Under the new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9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may cause an increase in risk of loss.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probability of default is driven by the relative financial health of our customer base and that of the industries in which we do business, as well as the broader macro-economic environment. A changing economic environment or forecasted economic scenario can lead to a different probability of default and can suggest that credit risk has changed. Such is the case with the global COVID-19 pandemic, which has increased uncertainty and poses a significant challenge to the macro-economic environment. Management believes this has increased the probability of credit default, causing the Company to increase the allowance for expected credit losses during the current year.</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each reporting period, the Company will recognize the amount of change in current expected credit losses as an allowance gain or loss in Selling, general, and administrative expenses in the Consolidated Statements of Income.</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(increases)/decreases in the allowance for credit losses for Accounts receivable: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CECL</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transition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Currency</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Charges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Specific customer reserves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(1,754)</w:t>
            </w:r>
          </w:p>
        </w:tc>
      </w:tr>
      <w:tr>
        <w:trPr>
          <w:trHeight w:val="222"/>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Incremental expected credit losses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(2,179)</w:t>
            </w:r>
          </w:p>
        </w:tc>
      </w:tr>
      <w:tr>
        <w:trPr>
          <w:trHeight w:val="21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Accounts receivable expected credit losses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(increases)/decreases in the allowance for credit losses for Noncurrent receivables: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rPr>
              <w:t>CECL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jc w:val="center"/>
              <w:ind w:right="288"/>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transition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rPr>
              <w:t>Currency</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Charges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translation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20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receivables expected credit losses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Contract assets and Contract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32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96,794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79,070</w:t>
            </w:r>
          </w:p>
        </w:tc>
      </w:tr>
      <w:tr>
        <w:trPr>
          <w:trHeight w:val="25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(702)</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assets, net</w:t>
            </w:r>
          </w:p>
        </w:tc>
        <w:tc>
          <w:tcPr>
            <w:tcW w:w="3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96,092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79,070</w:t>
            </w:r>
          </w:p>
        </w:tc>
      </w:tr>
      <w:tr>
        <w:trPr>
          <w:trHeight w:val="243"/>
        </w:trPr>
        <w:tc>
          <w:tcPr>
            <w:tcW w:w="56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liabilities</w:t>
            </w:r>
          </w:p>
        </w:tc>
        <w:tc>
          <w:tcPr>
            <w:tcW w:w="3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5,656</w:t>
            </w:r>
          </w:p>
        </w:tc>
      </w:tr>
    </w:tbl>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increased $17.0 million during the six-month period ended June 30, 2020.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six month periods ended June 30, 2020 and 2019.</w:t>
      </w:r>
    </w:p>
    <w:p>
      <w:pPr>
        <w:spacing w:after="0" w:line="7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 xml:space="preserve">As described in Notes 1 and 11, effective January 1, 2020, the Company adopted the provisions of ASC 326, </w:t>
      </w:r>
      <w:r>
        <w:rPr>
          <w:rFonts w:ascii="Arial" w:cs="Arial" w:eastAsia="Arial" w:hAnsi="Arial"/>
          <w:sz w:val="18"/>
          <w:szCs w:val="18"/>
          <w:i w:val="1"/>
          <w:iCs w:val="1"/>
          <w:color w:val="auto"/>
        </w:rPr>
        <w:t>Current Expected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(CECL).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 decreases in the allowance for credit losses for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rPr>
              <w:t>CECL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center"/>
              <w:ind w:right="245"/>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rPr>
              <w:t>transition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45"/>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145"/>
              <w:spacing w:after="0"/>
              <w:rPr>
                <w:sz w:val="20"/>
                <w:szCs w:val="20"/>
                <w:color w:val="auto"/>
              </w:rPr>
            </w:pPr>
            <w:r>
              <w:rPr>
                <w:rFonts w:ascii="Arial" w:cs="Arial" w:eastAsia="Arial" w:hAnsi="Arial"/>
                <w:sz w:val="14"/>
                <w:szCs w:val="14"/>
                <w:b w:val="1"/>
                <w:bCs w:val="1"/>
                <w:color w:val="auto"/>
                <w:w w:val="99"/>
              </w:rPr>
              <w:t>June 30,</w:t>
            </w:r>
          </w:p>
        </w:tc>
      </w:tr>
      <w:tr>
        <w:trPr>
          <w:trHeight w:val="19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Charges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r>
      <w:tr>
        <w:trPr>
          <w:trHeight w:val="33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assets expected credit losses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(702)</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liabilities increased $3.1 million during the six-month period ended June 30, 2020, primarily due to increased billings in excess of revenue recognized from satisfied performance obligations for contracts that were in a contract liability position. Revenue recognized for the six-month periods ended June 30, 2020 and 2019 that was included in the Contract liability balance at the beginning of the year was $2.1 million and $5.2 million,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29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3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b w:val="1"/>
                <w:bCs w:val="1"/>
                <w:color w:val="auto"/>
              </w:rPr>
              <w:t>64,897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52,960</w:t>
            </w:r>
          </w:p>
        </w:tc>
      </w:tr>
      <w:tr>
        <w:trPr>
          <w:trHeight w:val="243"/>
        </w:trPr>
        <w:tc>
          <w:tcPr>
            <w:tcW w:w="434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360" w:type="dxa"/>
            <w:vAlign w:val="bottom"/>
          </w:tcPr>
          <w:p>
            <w:pPr>
              <w:spacing w:after="0"/>
              <w:rPr>
                <w:sz w:val="21"/>
                <w:szCs w:val="21"/>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b w:val="1"/>
                <w:bCs w:val="1"/>
                <w:color w:val="auto"/>
              </w:rPr>
              <w:t>39,096</w:t>
            </w:r>
          </w:p>
        </w:tc>
        <w:tc>
          <w:tcPr>
            <w:tcW w:w="260" w:type="dxa"/>
            <w:vAlign w:val="bottom"/>
          </w:tcPr>
          <w:p>
            <w:pPr>
              <w:spacing w:after="0"/>
              <w:rPr>
                <w:sz w:val="21"/>
                <w:szCs w:val="21"/>
                <w:color w:val="auto"/>
              </w:rPr>
            </w:pP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31,744</w:t>
            </w:r>
          </w:p>
        </w:tc>
      </w:tr>
      <w:tr>
        <w:trPr>
          <w:trHeight w:val="25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11,539</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10,445</w:t>
            </w:r>
          </w:p>
        </w:tc>
      </w:tr>
      <w:tr>
        <w:trPr>
          <w:trHeight w:val="23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115,532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95,149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382" w:lineRule="exact"/>
        <w:rPr>
          <w:sz w:val="20"/>
          <w:szCs w:val="20"/>
          <w:color w:val="auto"/>
        </w:rPr>
      </w:pPr>
    </w:p>
    <w:p>
      <w:pPr>
        <w:ind w:right="140" w:firstLine="324"/>
        <w:spacing w:after="0" w:line="23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at the reporting unit level. Impairment is the condition that exists when the carrying amount of a reporting unit, including goodwill, exceeds its fair value. Our reportable segments are consistent with our operating segments.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determine fair value, we utilize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second quarter of 2020, management applied the quantitative assessment approach in performing its annual evaluation of goodwill and concluded that no impairment provision was required. As part of this evaluation, the Company considered projected cash flows and market multiples for the Company’s Machine Clothing reporting unit and three AEC reporting units. Management performed assessments as to whether the fair value of each reporting unit was less than its carrying value as of June 30, 2020 and concluded that it was more likely than not that each reporting unit’s fair value continued to exceed its carrying value. In addition, there were no amounts at risk due to the estimated spread between the fair and carrying values. Accordingly, no impairment charges have been recorded during the six months ended June 30, 2020.</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June 30, 2020 and December 31, 2019, were as follows: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2860" w:type="dxa"/>
            <w:vAlign w:val="bottom"/>
          </w:tcPr>
          <w:p>
            <w:pPr>
              <w:jc w:val="center"/>
              <w:ind w:left="704"/>
              <w:spacing w:after="0"/>
              <w:rPr>
                <w:sz w:val="20"/>
                <w:szCs w:val="20"/>
                <w:color w:val="auto"/>
              </w:rPr>
            </w:pPr>
            <w:r>
              <w:rPr>
                <w:rFonts w:ascii="Arial" w:cs="Arial" w:eastAsia="Arial" w:hAnsi="Arial"/>
                <w:sz w:val="13"/>
                <w:szCs w:val="13"/>
                <w:b w:val="1"/>
                <w:bCs w:val="1"/>
                <w:color w:val="auto"/>
                <w:w w:val="96"/>
              </w:rPr>
              <w:t>Weighted average amortization life</w:t>
            </w:r>
          </w:p>
        </w:tc>
        <w:tc>
          <w:tcPr>
            <w:tcW w:w="160" w:type="dxa"/>
            <w:vAlign w:val="bottom"/>
          </w:tcPr>
          <w:p>
            <w:pPr>
              <w:spacing w:after="0"/>
              <w:rPr>
                <w:sz w:val="13"/>
                <w:szCs w:val="13"/>
                <w:color w:val="auto"/>
              </w:rPr>
            </w:pPr>
          </w:p>
        </w:tc>
        <w:tc>
          <w:tcPr>
            <w:tcW w:w="1180" w:type="dxa"/>
            <w:vAlign w:val="bottom"/>
          </w:tcPr>
          <w:p>
            <w:pPr>
              <w:jc w:val="center"/>
              <w:ind w:right="22"/>
              <w:spacing w:after="0"/>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As of June 30, 2020</w:t>
            </w:r>
          </w:p>
        </w:tc>
        <w:tc>
          <w:tcPr>
            <w:tcW w:w="2860" w:type="dxa"/>
            <w:vAlign w:val="bottom"/>
          </w:tcPr>
          <w:p>
            <w:pPr>
              <w:jc w:val="center"/>
              <w:ind w:left="704"/>
              <w:spacing w:after="0"/>
              <w:rPr>
                <w:sz w:val="20"/>
                <w:szCs w:val="20"/>
                <w:color w:val="auto"/>
              </w:rPr>
            </w:pPr>
            <w:r>
              <w:rPr>
                <w:rFonts w:ascii="Arial" w:cs="Arial" w:eastAsia="Arial" w:hAnsi="Arial"/>
                <w:sz w:val="13"/>
                <w:szCs w:val="13"/>
                <w:b w:val="1"/>
                <w:bCs w:val="1"/>
                <w:color w:val="auto"/>
                <w:w w:val="97"/>
              </w:rPr>
              <w:t>in years</w:t>
            </w:r>
          </w:p>
        </w:tc>
        <w:tc>
          <w:tcPr>
            <w:tcW w:w="160" w:type="dxa"/>
            <w:vAlign w:val="bottom"/>
          </w:tcPr>
          <w:p>
            <w:pPr>
              <w:spacing w:after="0"/>
              <w:rPr>
                <w:sz w:val="15"/>
                <w:szCs w:val="15"/>
                <w:color w:val="auto"/>
              </w:rPr>
            </w:pPr>
          </w:p>
        </w:tc>
        <w:tc>
          <w:tcPr>
            <w:tcW w:w="1180" w:type="dxa"/>
            <w:vAlign w:val="bottom"/>
          </w:tcPr>
          <w:p>
            <w:pPr>
              <w:jc w:val="center"/>
              <w:ind w:right="22"/>
              <w:spacing w:after="0"/>
              <w:rPr>
                <w:sz w:val="20"/>
                <w:szCs w:val="20"/>
                <w:color w:val="auto"/>
              </w:rPr>
            </w:pPr>
            <w:r>
              <w:rPr>
                <w:rFonts w:ascii="Arial" w:cs="Arial" w:eastAsia="Arial" w:hAnsi="Arial"/>
                <w:sz w:val="13"/>
                <w:szCs w:val="13"/>
                <w:b w:val="1"/>
                <w:bCs w:val="1"/>
                <w:color w:val="auto"/>
                <w:w w:val="98"/>
              </w:rPr>
              <w:t>carrying amount</w:t>
            </w:r>
          </w:p>
        </w:tc>
        <w:tc>
          <w:tcPr>
            <w:tcW w:w="220" w:type="dxa"/>
            <w:vAlign w:val="bottom"/>
          </w:tcPr>
          <w:p>
            <w:pPr>
              <w:spacing w:after="0"/>
              <w:rPr>
                <w:sz w:val="15"/>
                <w:szCs w:val="15"/>
                <w:color w:val="auto"/>
              </w:rPr>
            </w:pPr>
          </w:p>
        </w:tc>
        <w:tc>
          <w:tcPr>
            <w:tcW w:w="1780" w:type="dxa"/>
            <w:vAlign w:val="bottom"/>
          </w:tcPr>
          <w:p>
            <w:pPr>
              <w:jc w:val="right"/>
              <w:ind w:right="81"/>
              <w:spacing w:after="0"/>
              <w:rPr>
                <w:sz w:val="20"/>
                <w:szCs w:val="20"/>
                <w:color w:val="auto"/>
              </w:rPr>
            </w:pPr>
            <w:r>
              <w:rPr>
                <w:rFonts w:ascii="Arial" w:cs="Arial" w:eastAsia="Arial" w:hAnsi="Arial"/>
                <w:sz w:val="13"/>
                <w:szCs w:val="13"/>
                <w:b w:val="1"/>
                <w:bCs w:val="1"/>
                <w:color w:val="auto"/>
                <w:w w:val="98"/>
              </w:rPr>
              <w:t>Accumulated amortization</w:t>
            </w:r>
          </w:p>
        </w:tc>
        <w:tc>
          <w:tcPr>
            <w:tcW w:w="180" w:type="dxa"/>
            <w:vAlign w:val="bottom"/>
          </w:tcPr>
          <w:p>
            <w:pPr>
              <w:spacing w:after="0"/>
              <w:rPr>
                <w:sz w:val="15"/>
                <w:szCs w:val="15"/>
                <w:color w:val="auto"/>
              </w:rPr>
            </w:pPr>
          </w:p>
        </w:tc>
        <w:tc>
          <w:tcPr>
            <w:tcW w:w="140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Net carrying amount</w:t>
            </w:r>
          </w:p>
        </w:tc>
      </w:tr>
      <w:tr>
        <w:trPr>
          <w:trHeight w:val="189"/>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
        </w:trPr>
        <w:tc>
          <w:tcPr>
            <w:tcW w:w="34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2860" w:type="dxa"/>
            <w:vAlign w:val="bottom"/>
          </w:tcPr>
          <w:p>
            <w:pPr>
              <w:jc w:val="center"/>
              <w:ind w:left="704"/>
              <w:spacing w:after="0"/>
              <w:rPr>
                <w:sz w:val="20"/>
                <w:szCs w:val="20"/>
                <w:color w:val="auto"/>
              </w:rPr>
            </w:pPr>
            <w:r>
              <w:rPr>
                <w:rFonts w:ascii="Arial" w:cs="Arial" w:eastAsia="Arial" w:hAnsi="Arial"/>
                <w:sz w:val="16"/>
                <w:szCs w:val="16"/>
                <w:color w:val="auto"/>
                <w:w w:val="99"/>
              </w:rPr>
              <w:t>6-15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65</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6,262</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(696)</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5,566</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1,202</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17,471</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(12,383)</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5,088</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2860" w:type="dxa"/>
            <w:vAlign w:val="bottom"/>
          </w:tcPr>
          <w:p>
            <w:pPr>
              <w:jc w:val="center"/>
              <w:ind w:left="704"/>
              <w:spacing w:after="0"/>
              <w:rPr>
                <w:sz w:val="20"/>
                <w:szCs w:val="20"/>
                <w:color w:val="auto"/>
              </w:rPr>
            </w:pPr>
            <w:r>
              <w:rPr>
                <w:rFonts w:ascii="Arial" w:cs="Arial" w:eastAsia="Arial" w:hAnsi="Arial"/>
                <w:sz w:val="16"/>
                <w:szCs w:val="16"/>
                <w:color w:val="auto"/>
                <w:w w:val="99"/>
              </w:rPr>
              <w:t>8-15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51,621</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(13,885)</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37,736</w:t>
            </w:r>
          </w:p>
        </w:tc>
      </w:tr>
      <w:tr>
        <w:trPr>
          <w:trHeight w:val="256"/>
        </w:trPr>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2860" w:type="dxa"/>
            <w:vAlign w:val="bottom"/>
            <w:tcBorders>
              <w:bottom w:val="single" w:sz="8" w:color="auto"/>
            </w:tcBorders>
          </w:tcPr>
          <w:p>
            <w:pPr>
              <w:jc w:val="center"/>
              <w:ind w:left="684"/>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322</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w:t>
            </w:r>
          </w:p>
        </w:tc>
      </w:tr>
      <w:tr>
        <w:trPr>
          <w:trHeight w:val="23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2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77,134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49,706</w:t>
            </w:r>
          </w:p>
        </w:tc>
      </w:tr>
      <w:tr>
        <w:trPr>
          <w:trHeight w:val="467"/>
        </w:trPr>
        <w:tc>
          <w:tcPr>
            <w:tcW w:w="344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6"/>
                <w:szCs w:val="16"/>
                <w:color w:val="auto"/>
              </w:rPr>
              <w:t>MC Goodwill</w:t>
            </w:r>
          </w:p>
        </w:tc>
        <w:tc>
          <w:tcPr>
            <w:tcW w:w="2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67,689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67,689</w:t>
            </w:r>
          </w:p>
        </w:tc>
      </w:tr>
      <w:tr>
        <w:trPr>
          <w:trHeight w:val="25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2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113,613</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113,613</w:t>
            </w:r>
          </w:p>
        </w:tc>
      </w:tr>
      <w:tr>
        <w:trPr>
          <w:trHeight w:val="223"/>
        </w:trPr>
        <w:tc>
          <w:tcPr>
            <w:tcW w:w="3440" w:type="dxa"/>
            <w:vAlign w:val="bottom"/>
          </w:tcPr>
          <w:p>
            <w:pPr>
              <w:ind w:left="20"/>
              <w:spacing w:after="0"/>
              <w:rPr>
                <w:sz w:val="20"/>
                <w:szCs w:val="20"/>
                <w:color w:val="auto"/>
              </w:rPr>
            </w:pPr>
            <w:r>
              <w:rPr>
                <w:rFonts w:ascii="Arial" w:cs="Arial" w:eastAsia="Arial" w:hAnsi="Arial"/>
                <w:sz w:val="16"/>
                <w:szCs w:val="16"/>
                <w:color w:val="auto"/>
              </w:rPr>
              <w:t>Total unamortized intangible assets:</w:t>
            </w:r>
          </w:p>
        </w:tc>
        <w:tc>
          <w:tcPr>
            <w:tcW w:w="28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181,302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181,302</w:t>
            </w:r>
          </w:p>
        </w:tc>
      </w:tr>
      <w:tr>
        <w:trPr>
          <w:trHeight w:val="128"/>
        </w:trPr>
        <w:tc>
          <w:tcPr>
            <w:tcW w:w="34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147"/>
        </w:trPr>
        <w:tc>
          <w:tcPr>
            <w:tcW w:w="3440" w:type="dxa"/>
            <w:vAlign w:val="bottom"/>
          </w:tcPr>
          <w:p>
            <w:pPr>
              <w:spacing w:after="0"/>
              <w:rPr>
                <w:sz w:val="12"/>
                <w:szCs w:val="12"/>
                <w:color w:val="auto"/>
              </w:rPr>
            </w:pPr>
          </w:p>
        </w:tc>
        <w:tc>
          <w:tcPr>
            <w:tcW w:w="2860" w:type="dxa"/>
            <w:vAlign w:val="bottom"/>
          </w:tcPr>
          <w:p>
            <w:pPr>
              <w:jc w:val="center"/>
              <w:ind w:left="704"/>
              <w:spacing w:after="0" w:line="148" w:lineRule="exact"/>
              <w:rPr>
                <w:sz w:val="20"/>
                <w:szCs w:val="20"/>
                <w:color w:val="auto"/>
              </w:rPr>
            </w:pPr>
            <w:r>
              <w:rPr>
                <w:rFonts w:ascii="Arial" w:cs="Arial" w:eastAsia="Arial" w:hAnsi="Arial"/>
                <w:sz w:val="13"/>
                <w:szCs w:val="13"/>
                <w:b w:val="1"/>
                <w:bCs w:val="1"/>
                <w:color w:val="auto"/>
                <w:w w:val="96"/>
              </w:rPr>
              <w:t>Weighted average amortization life</w:t>
            </w:r>
          </w:p>
        </w:tc>
        <w:tc>
          <w:tcPr>
            <w:tcW w:w="160" w:type="dxa"/>
            <w:vAlign w:val="bottom"/>
          </w:tcPr>
          <w:p>
            <w:pPr>
              <w:spacing w:after="0"/>
              <w:rPr>
                <w:sz w:val="12"/>
                <w:szCs w:val="12"/>
                <w:color w:val="auto"/>
              </w:rPr>
            </w:pPr>
          </w:p>
        </w:tc>
        <w:tc>
          <w:tcPr>
            <w:tcW w:w="1180" w:type="dxa"/>
            <w:vAlign w:val="bottom"/>
          </w:tcPr>
          <w:p>
            <w:pPr>
              <w:jc w:val="center"/>
              <w:ind w:right="22"/>
              <w:spacing w:after="0" w:line="14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2019</w:t>
            </w:r>
          </w:p>
        </w:tc>
        <w:tc>
          <w:tcPr>
            <w:tcW w:w="2860" w:type="dxa"/>
            <w:vAlign w:val="bottom"/>
          </w:tcPr>
          <w:p>
            <w:pPr>
              <w:jc w:val="center"/>
              <w:ind w:left="704"/>
              <w:spacing w:after="0"/>
              <w:rPr>
                <w:sz w:val="20"/>
                <w:szCs w:val="20"/>
                <w:color w:val="auto"/>
              </w:rPr>
            </w:pPr>
            <w:r>
              <w:rPr>
                <w:rFonts w:ascii="Arial" w:cs="Arial" w:eastAsia="Arial" w:hAnsi="Arial"/>
                <w:sz w:val="13"/>
                <w:szCs w:val="13"/>
                <w:b w:val="1"/>
                <w:bCs w:val="1"/>
                <w:color w:val="auto"/>
                <w:w w:val="97"/>
              </w:rPr>
              <w:t>in years</w:t>
            </w:r>
          </w:p>
        </w:tc>
        <w:tc>
          <w:tcPr>
            <w:tcW w:w="160" w:type="dxa"/>
            <w:vAlign w:val="bottom"/>
          </w:tcPr>
          <w:p>
            <w:pPr>
              <w:spacing w:after="0"/>
              <w:rPr>
                <w:sz w:val="15"/>
                <w:szCs w:val="15"/>
                <w:color w:val="auto"/>
              </w:rPr>
            </w:pPr>
          </w:p>
        </w:tc>
        <w:tc>
          <w:tcPr>
            <w:tcW w:w="1180" w:type="dxa"/>
            <w:vAlign w:val="bottom"/>
          </w:tcPr>
          <w:p>
            <w:pPr>
              <w:jc w:val="center"/>
              <w:ind w:right="22"/>
              <w:spacing w:after="0"/>
              <w:rPr>
                <w:sz w:val="20"/>
                <w:szCs w:val="20"/>
                <w:color w:val="auto"/>
              </w:rPr>
            </w:pPr>
            <w:r>
              <w:rPr>
                <w:rFonts w:ascii="Arial" w:cs="Arial" w:eastAsia="Arial" w:hAnsi="Arial"/>
                <w:sz w:val="13"/>
                <w:szCs w:val="13"/>
                <w:b w:val="1"/>
                <w:bCs w:val="1"/>
                <w:color w:val="auto"/>
                <w:w w:val="98"/>
              </w:rPr>
              <w:t>carrying amount</w:t>
            </w:r>
          </w:p>
        </w:tc>
        <w:tc>
          <w:tcPr>
            <w:tcW w:w="220" w:type="dxa"/>
            <w:vAlign w:val="bottom"/>
          </w:tcPr>
          <w:p>
            <w:pPr>
              <w:spacing w:after="0"/>
              <w:rPr>
                <w:sz w:val="15"/>
                <w:szCs w:val="15"/>
                <w:color w:val="auto"/>
              </w:rPr>
            </w:pPr>
          </w:p>
        </w:tc>
        <w:tc>
          <w:tcPr>
            <w:tcW w:w="1780" w:type="dxa"/>
            <w:vAlign w:val="bottom"/>
          </w:tcPr>
          <w:p>
            <w:pPr>
              <w:jc w:val="right"/>
              <w:ind w:right="81"/>
              <w:spacing w:after="0"/>
              <w:rPr>
                <w:sz w:val="20"/>
                <w:szCs w:val="20"/>
                <w:color w:val="auto"/>
              </w:rPr>
            </w:pPr>
            <w:r>
              <w:rPr>
                <w:rFonts w:ascii="Arial" w:cs="Arial" w:eastAsia="Arial" w:hAnsi="Arial"/>
                <w:sz w:val="13"/>
                <w:szCs w:val="13"/>
                <w:b w:val="1"/>
                <w:bCs w:val="1"/>
                <w:color w:val="auto"/>
                <w:w w:val="98"/>
              </w:rPr>
              <w:t>Accumulated amortization</w:t>
            </w:r>
          </w:p>
        </w:tc>
        <w:tc>
          <w:tcPr>
            <w:tcW w:w="180" w:type="dxa"/>
            <w:vAlign w:val="bottom"/>
          </w:tcPr>
          <w:p>
            <w:pPr>
              <w:spacing w:after="0"/>
              <w:rPr>
                <w:sz w:val="15"/>
                <w:szCs w:val="15"/>
                <w:color w:val="auto"/>
              </w:rPr>
            </w:pPr>
          </w:p>
        </w:tc>
        <w:tc>
          <w:tcPr>
            <w:tcW w:w="140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Net carrying amount</w:t>
            </w:r>
          </w:p>
        </w:tc>
      </w:tr>
      <w:tr>
        <w:trPr>
          <w:trHeight w:val="189"/>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
        </w:trPr>
        <w:tc>
          <w:tcPr>
            <w:tcW w:w="34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474"/>
        </w:trPr>
        <w:tc>
          <w:tcPr>
            <w:tcW w:w="344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2860" w:type="dxa"/>
            <w:vAlign w:val="bottom"/>
          </w:tcPr>
          <w:p>
            <w:pPr>
              <w:jc w:val="center"/>
              <w:ind w:left="704"/>
              <w:spacing w:after="0"/>
              <w:rPr>
                <w:sz w:val="20"/>
                <w:szCs w:val="20"/>
                <w:color w:val="auto"/>
              </w:rPr>
            </w:pPr>
            <w:r>
              <w:rPr>
                <w:rFonts w:ascii="Arial" w:cs="Arial" w:eastAsia="Arial" w:hAnsi="Arial"/>
                <w:sz w:val="16"/>
                <w:szCs w:val="16"/>
                <w:color w:val="auto"/>
                <w:w w:val="99"/>
              </w:rPr>
              <w:t>6-15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73</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6,191</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5,804</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1,243</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2860" w:type="dxa"/>
            <w:vAlign w:val="bottom"/>
          </w:tcPr>
          <w:p>
            <w:pPr>
              <w:jc w:val="center"/>
              <w:ind w:left="684"/>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17,471</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(10,927)</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6,544</w:t>
            </w: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2860" w:type="dxa"/>
            <w:vAlign w:val="bottom"/>
          </w:tcPr>
          <w:p>
            <w:pPr>
              <w:jc w:val="center"/>
              <w:ind w:left="704"/>
              <w:spacing w:after="0"/>
              <w:rPr>
                <w:sz w:val="20"/>
                <w:szCs w:val="20"/>
                <w:color w:val="auto"/>
              </w:rPr>
            </w:pPr>
            <w:r>
              <w:rPr>
                <w:rFonts w:ascii="Arial" w:cs="Arial" w:eastAsia="Arial" w:hAnsi="Arial"/>
                <w:sz w:val="16"/>
                <w:szCs w:val="16"/>
                <w:color w:val="auto"/>
                <w:w w:val="99"/>
              </w:rPr>
              <w:t>8-15</w:t>
            </w:r>
          </w:p>
        </w:tc>
        <w:tc>
          <w:tcPr>
            <w:tcW w:w="16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51,255</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(12,108)</w:t>
            </w:r>
          </w:p>
        </w:tc>
        <w:tc>
          <w:tcPr>
            <w:tcW w:w="18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39,147</w:t>
            </w:r>
          </w:p>
        </w:tc>
      </w:tr>
      <w:tr>
        <w:trPr>
          <w:trHeight w:val="256"/>
        </w:trPr>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2860" w:type="dxa"/>
            <w:vAlign w:val="bottom"/>
            <w:tcBorders>
              <w:bottom w:val="single" w:sz="8" w:color="auto"/>
            </w:tcBorders>
          </w:tcPr>
          <w:p>
            <w:pPr>
              <w:jc w:val="center"/>
              <w:ind w:left="684"/>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322</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81</w:t>
            </w:r>
          </w:p>
        </w:tc>
      </w:tr>
      <w:tr>
        <w:trPr>
          <w:trHeight w:val="23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2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76,697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52,892</w:t>
            </w:r>
          </w:p>
        </w:tc>
      </w:tr>
      <w:tr>
        <w:trPr>
          <w:trHeight w:val="480"/>
        </w:trPr>
        <w:tc>
          <w:tcPr>
            <w:tcW w:w="344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6"/>
                <w:szCs w:val="16"/>
                <w:color w:val="auto"/>
              </w:rPr>
              <w:t>MC Goodwill</w:t>
            </w:r>
          </w:p>
        </w:tc>
        <w:tc>
          <w:tcPr>
            <w:tcW w:w="2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67,672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67,672</w:t>
            </w:r>
          </w:p>
        </w:tc>
      </w:tr>
      <w:tr>
        <w:trPr>
          <w:trHeight w:val="256"/>
        </w:trPr>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Goodwill</w:t>
            </w:r>
          </w:p>
        </w:tc>
        <w:tc>
          <w:tcPr>
            <w:tcW w:w="2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113,262</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113,262</w:t>
            </w:r>
          </w:p>
        </w:tc>
      </w:tr>
      <w:tr>
        <w:trPr>
          <w:trHeight w:val="23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2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180,934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180,934</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intangible assets, net and goodwill from December 31, 2019 to June 30, 2020,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20" w:type="dxa"/>
            <w:vAlign w:val="bottom"/>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4"/>
                <w:szCs w:val="14"/>
                <w:color w:val="auto"/>
              </w:rPr>
            </w:pPr>
          </w:p>
        </w:tc>
        <w:tc>
          <w:tcPr>
            <w:tcW w:w="1080" w:type="dxa"/>
            <w:vAlign w:val="bottom"/>
          </w:tcPr>
          <w:p>
            <w:pPr>
              <w:jc w:val="right"/>
              <w:ind w:right="281"/>
              <w:spacing w:after="0"/>
              <w:rPr>
                <w:sz w:val="20"/>
                <w:szCs w:val="20"/>
                <w:color w:val="auto"/>
              </w:rPr>
            </w:pPr>
            <w:r>
              <w:rPr>
                <w:rFonts w:ascii="Arial" w:cs="Arial" w:eastAsia="Arial" w:hAnsi="Arial"/>
                <w:sz w:val="14"/>
                <w:szCs w:val="14"/>
                <w:b w:val="1"/>
                <w:bCs w:val="1"/>
                <w:color w:val="auto"/>
              </w:rPr>
              <w:t>June 30,</w:t>
            </w: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466"/>
        </w:trPr>
        <w:tc>
          <w:tcPr>
            <w:tcW w:w="37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65</w:t>
            </w: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12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5,804</w:t>
            </w:r>
          </w:p>
        </w:tc>
        <w:tc>
          <w:tcPr>
            <w:tcW w:w="28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w:t>
            </w:r>
          </w:p>
        </w:tc>
        <w:tc>
          <w:tcPr>
            <w:tcW w:w="2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21"/>
                <w:szCs w:val="21"/>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5,566</w:t>
            </w: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12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1,243</w:t>
            </w:r>
          </w:p>
        </w:tc>
        <w:tc>
          <w:tcPr>
            <w:tcW w:w="28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1,202</w:t>
            </w: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12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6,544</w:t>
            </w:r>
          </w:p>
        </w:tc>
        <w:tc>
          <w:tcPr>
            <w:tcW w:w="28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(1,456)</w:t>
            </w:r>
          </w:p>
        </w:tc>
        <w:tc>
          <w:tcPr>
            <w:tcW w:w="2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5,088</w:t>
            </w: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12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39,147</w:t>
            </w:r>
          </w:p>
        </w:tc>
        <w:tc>
          <w:tcPr>
            <w:tcW w:w="28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(1,744)</w:t>
            </w:r>
          </w:p>
        </w:tc>
        <w:tc>
          <w:tcPr>
            <w:tcW w:w="2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1"/>
                <w:szCs w:val="21"/>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37,736</w:t>
            </w:r>
          </w:p>
        </w:tc>
      </w:tr>
      <w:tr>
        <w:trPr>
          <w:trHeight w:val="256"/>
        </w:trPr>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w:t>
            </w: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52,892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49,706</w:t>
            </w:r>
          </w:p>
        </w:tc>
      </w:tr>
      <w:tr>
        <w:trPr>
          <w:trHeight w:val="467"/>
        </w:trPr>
        <w:tc>
          <w:tcPr>
            <w:tcW w:w="370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3700" w:type="dxa"/>
            <w:vAlign w:val="bottom"/>
          </w:tcPr>
          <w:p>
            <w:pPr>
              <w:ind w:left="140"/>
              <w:spacing w:after="0"/>
              <w:rPr>
                <w:sz w:val="20"/>
                <w:szCs w:val="20"/>
                <w:color w:val="auto"/>
              </w:rPr>
            </w:pPr>
            <w:r>
              <w:rPr>
                <w:rFonts w:ascii="Arial" w:cs="Arial" w:eastAsia="Arial" w:hAnsi="Arial"/>
                <w:sz w:val="16"/>
                <w:szCs w:val="16"/>
                <w:color w:val="auto"/>
              </w:rPr>
              <w:t>MC Goodwill</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67,672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67,689</w:t>
            </w:r>
          </w:p>
        </w:tc>
      </w:tr>
      <w:tr>
        <w:trPr>
          <w:trHeight w:val="256"/>
        </w:trPr>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Goodwill</w:t>
            </w: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113,262</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335</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113,613</w:t>
            </w:r>
          </w:p>
        </w:tc>
      </w:tr>
      <w:tr>
        <w:trPr>
          <w:trHeight w:val="23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180,934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181,302</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amortization expense of intangibles for the years ending December 31, 2020 through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202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right"/>
              <w:ind w:right="222"/>
              <w:spacing w:after="0"/>
              <w:rPr>
                <w:sz w:val="20"/>
                <w:szCs w:val="20"/>
                <w:color w:val="auto"/>
              </w:rPr>
            </w:pPr>
            <w:r>
              <w:rPr>
                <w:rFonts w:ascii="Arial" w:cs="Arial" w:eastAsia="Arial" w:hAnsi="Arial"/>
                <w:sz w:val="14"/>
                <w:szCs w:val="14"/>
                <w:b w:val="1"/>
                <w:bCs w:val="1"/>
                <w:color w:val="auto"/>
              </w:rPr>
              <w:t>Annual amortization</w:t>
            </w:r>
          </w:p>
        </w:tc>
      </w:tr>
      <w:tr>
        <w:trPr>
          <w:trHeight w:val="196"/>
        </w:trPr>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Year</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1500" w:type="dxa"/>
            <w:vAlign w:val="bottom"/>
          </w:tcPr>
          <w:p>
            <w:pPr>
              <w:jc w:val="right"/>
              <w:spacing w:after="0"/>
              <w:rPr>
                <w:sz w:val="20"/>
                <w:szCs w:val="20"/>
                <w:color w:val="auto"/>
              </w:rPr>
            </w:pPr>
            <w:r>
              <w:rPr>
                <w:rFonts w:ascii="Arial" w:cs="Arial" w:eastAsia="Arial" w:hAnsi="Arial"/>
                <w:sz w:val="16"/>
                <w:szCs w:val="16"/>
                <w:color w:val="auto"/>
              </w:rPr>
              <w:t>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2"/>
              <w:spacing w:after="0"/>
              <w:rPr>
                <w:sz w:val="20"/>
                <w:szCs w:val="20"/>
                <w:color w:val="auto"/>
              </w:rPr>
            </w:pPr>
            <w:r>
              <w:rPr>
                <w:rFonts w:ascii="Arial" w:cs="Arial" w:eastAsia="Arial" w:hAnsi="Arial"/>
                <w:sz w:val="16"/>
                <w:szCs w:val="16"/>
                <w:color w:val="auto"/>
              </w:rPr>
              <w:t>7,200</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1"/>
                <w:szCs w:val="21"/>
                <w:color w:val="auto"/>
              </w:rPr>
            </w:pPr>
          </w:p>
        </w:tc>
        <w:tc>
          <w:tcPr>
            <w:tcW w:w="1780" w:type="dxa"/>
            <w:vAlign w:val="bottom"/>
          </w:tcPr>
          <w:p>
            <w:pPr>
              <w:jc w:val="right"/>
              <w:ind w:right="42"/>
              <w:spacing w:after="0"/>
              <w:rPr>
                <w:sz w:val="20"/>
                <w:szCs w:val="20"/>
                <w:color w:val="auto"/>
              </w:rPr>
            </w:pPr>
            <w:r>
              <w:rPr>
                <w:rFonts w:ascii="Arial" w:cs="Arial" w:eastAsia="Arial" w:hAnsi="Arial"/>
                <w:sz w:val="16"/>
                <w:szCs w:val="16"/>
                <w:color w:val="auto"/>
              </w:rPr>
              <w:t>7,100</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1"/>
                <w:szCs w:val="21"/>
                <w:color w:val="auto"/>
              </w:rPr>
            </w:pPr>
          </w:p>
        </w:tc>
        <w:tc>
          <w:tcPr>
            <w:tcW w:w="1780" w:type="dxa"/>
            <w:vAlign w:val="bottom"/>
          </w:tcPr>
          <w:p>
            <w:pPr>
              <w:jc w:val="right"/>
              <w:ind w:right="42"/>
              <w:spacing w:after="0"/>
              <w:rPr>
                <w:sz w:val="20"/>
                <w:szCs w:val="20"/>
                <w:color w:val="auto"/>
              </w:rPr>
            </w:pPr>
            <w:r>
              <w:rPr>
                <w:rFonts w:ascii="Arial" w:cs="Arial" w:eastAsia="Arial" w:hAnsi="Arial"/>
                <w:sz w:val="16"/>
                <w:szCs w:val="16"/>
                <w:color w:val="auto"/>
              </w:rPr>
              <w:t>4,900</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1"/>
                <w:szCs w:val="21"/>
                <w:color w:val="auto"/>
              </w:rPr>
            </w:pPr>
          </w:p>
        </w:tc>
        <w:tc>
          <w:tcPr>
            <w:tcW w:w="1780" w:type="dxa"/>
            <w:vAlign w:val="bottom"/>
          </w:tcPr>
          <w:p>
            <w:pPr>
              <w:jc w:val="right"/>
              <w:ind w:right="42"/>
              <w:spacing w:after="0"/>
              <w:rPr>
                <w:sz w:val="20"/>
                <w:szCs w:val="20"/>
                <w:color w:val="auto"/>
              </w:rPr>
            </w:pPr>
            <w:r>
              <w:rPr>
                <w:rFonts w:ascii="Arial" w:cs="Arial" w:eastAsia="Arial" w:hAnsi="Arial"/>
                <w:sz w:val="16"/>
                <w:szCs w:val="16"/>
                <w:color w:val="auto"/>
              </w:rPr>
              <w:t>4,200</w:t>
            </w:r>
          </w:p>
        </w:tc>
      </w:tr>
      <w:tr>
        <w:trPr>
          <w:trHeight w:val="256"/>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460"/>
        </w:trPr>
        <w:tc>
          <w:tcPr>
            <w:tcW w:w="7740" w:type="dxa"/>
            <w:vAlign w:val="bottom"/>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3.11% in 2020</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and 3.43% in 2019 (including the effect of interest rate hedging transactions, as described below), due</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435,000</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Arial" w:cs="Arial" w:eastAsia="Arial" w:hAnsi="Arial"/>
                <w:sz w:val="16"/>
                <w:szCs w:val="16"/>
                <w:color w:val="auto"/>
              </w:rPr>
              <w:t>in 2022</w:t>
            </w:r>
          </w:p>
        </w:tc>
        <w:tc>
          <w:tcPr>
            <w:tcW w:w="3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424,000</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6"/>
                <w:szCs w:val="16"/>
                <w:color w:val="auto"/>
              </w:rPr>
              <w:t>Other debt, at an average end of period rate of 5.50% in both 2020 and 2019, due in varying amounts</w:t>
            </w:r>
          </w:p>
        </w:tc>
        <w:tc>
          <w:tcPr>
            <w:tcW w:w="340" w:type="dxa"/>
            <w:vAlign w:val="bottom"/>
          </w:tcPr>
          <w:p>
            <w:pPr>
              <w:spacing w:after="0"/>
              <w:rPr>
                <w:sz w:val="20"/>
                <w:szCs w:val="20"/>
                <w:color w:val="auto"/>
              </w:rPr>
            </w:pPr>
          </w:p>
        </w:tc>
        <w:tc>
          <w:tcPr>
            <w:tcW w:w="14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through 2021</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435,017</w:t>
            </w:r>
          </w:p>
        </w:tc>
        <w:tc>
          <w:tcPr>
            <w:tcW w:w="200" w:type="dxa"/>
            <w:vAlign w:val="bottom"/>
          </w:tcPr>
          <w:p>
            <w:pPr>
              <w:spacing w:after="0"/>
              <w:rPr>
                <w:sz w:val="19"/>
                <w:szCs w:val="19"/>
                <w:color w:val="auto"/>
              </w:rPr>
            </w:pP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424,029</w:t>
            </w:r>
          </w:p>
        </w:tc>
        <w:tc>
          <w:tcPr>
            <w:tcW w:w="0" w:type="dxa"/>
            <w:vAlign w:val="bottom"/>
          </w:tcPr>
          <w:p>
            <w:pPr>
              <w:spacing w:after="0"/>
              <w:rPr>
                <w:sz w:val="1"/>
                <w:szCs w:val="1"/>
                <w:color w:val="auto"/>
              </w:rPr>
            </w:pPr>
          </w:p>
        </w:tc>
      </w:tr>
      <w:tr>
        <w:trPr>
          <w:trHeight w:val="256"/>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435,000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424,009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$435 million of borrowings were outstanding as of June 30, 2020. The applicable interest rate for borrowings was LIBOR plus a spread, based on our leverage ratio at the time of borrowing. At the time of the last borrowing on June 26, 2020, the spread was 1.375%. The spread was based on a pricing grid, which ranged from 1.250% to 1.750%, based on our leverage ratio. Based on our maximum leverage ratio and our Consolidated EBITDA, and without modification to any other credit agreements, as of June 30, 2020, we would have been able to borrow an additional $250 million under the Agreement.</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which was fully amortized into interest expense through June 2020.</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June 16, 2020 was .20%, during the swap period. On June 16, 2020, the all-in-rate on the $350 million of debt was 3.485%.</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2020, our leverage ratio was 1.48 to 1.00 and our interest coverage ratio was 14.51 to 1.00. We may purchase our Common Stock or pay dividends to the extent our leverage ratio remains at or below 3.50 to 1.00, and may make acquisitions with cash, provided our leverage ratio does not exceed the limits noted above.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June 30,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June 30, 2020, or at December 31, 2019.</w:t>
      </w:r>
    </w:p>
    <w:p>
      <w:pPr>
        <w:spacing w:after="0" w:line="1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44"/>
              <w:spacing w:after="0"/>
              <w:rPr>
                <w:sz w:val="20"/>
                <w:szCs w:val="20"/>
                <w:color w:val="auto"/>
              </w:rPr>
            </w:pPr>
            <w:r>
              <w:rPr>
                <w:rFonts w:ascii="Arial" w:cs="Arial" w:eastAsia="Arial" w:hAnsi="Arial"/>
                <w:sz w:val="14"/>
                <w:szCs w:val="14"/>
                <w:b w:val="1"/>
                <w:bCs w:val="1"/>
                <w:color w:val="auto"/>
              </w:rPr>
              <w:t>Quoted</w:t>
            </w:r>
          </w:p>
        </w:tc>
        <w:tc>
          <w:tcPr>
            <w:tcW w:w="32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5"/>
                <w:szCs w:val="15"/>
                <w:color w:val="auto"/>
              </w:rPr>
            </w:pPr>
          </w:p>
        </w:tc>
        <w:tc>
          <w:tcPr>
            <w:tcW w:w="1060" w:type="dxa"/>
            <w:vAlign w:val="bottom"/>
          </w:tcPr>
          <w:p>
            <w:pPr>
              <w:jc w:val="center"/>
              <w:ind w:right="144"/>
              <w:spacing w:after="0"/>
              <w:rPr>
                <w:sz w:val="20"/>
                <w:szCs w:val="20"/>
                <w:color w:val="auto"/>
              </w:rPr>
            </w:pPr>
            <w:r>
              <w:rPr>
                <w:rFonts w:ascii="Arial" w:cs="Arial" w:eastAsia="Arial" w:hAnsi="Arial"/>
                <w:sz w:val="14"/>
                <w:szCs w:val="14"/>
                <w:b w:val="1"/>
                <w:bCs w:val="1"/>
                <w:color w:val="auto"/>
              </w:rPr>
              <w:t>Quoted</w:t>
            </w:r>
          </w:p>
        </w:tc>
        <w:tc>
          <w:tcPr>
            <w:tcW w:w="30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44"/>
              <w:spacing w:after="0"/>
              <w:rPr>
                <w:sz w:val="20"/>
                <w:szCs w:val="20"/>
                <w:color w:val="auto"/>
              </w:rPr>
            </w:pPr>
            <w:r>
              <w:rPr>
                <w:rFonts w:ascii="Arial" w:cs="Arial" w:eastAsia="Arial" w:hAnsi="Arial"/>
                <w:sz w:val="14"/>
                <w:szCs w:val="14"/>
                <w:b w:val="1"/>
                <w:bCs w:val="1"/>
                <w:color w:val="auto"/>
              </w:rPr>
              <w:t>prices in</w:t>
            </w:r>
          </w:p>
        </w:tc>
        <w:tc>
          <w:tcPr>
            <w:tcW w:w="32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060" w:type="dxa"/>
            <w:vAlign w:val="bottom"/>
          </w:tcPr>
          <w:p>
            <w:pPr>
              <w:jc w:val="center"/>
              <w:ind w:right="144"/>
              <w:spacing w:after="0"/>
              <w:rPr>
                <w:sz w:val="20"/>
                <w:szCs w:val="20"/>
                <w:color w:val="auto"/>
              </w:rPr>
            </w:pPr>
            <w:r>
              <w:rPr>
                <w:rFonts w:ascii="Arial" w:cs="Arial" w:eastAsia="Arial" w:hAnsi="Arial"/>
                <w:sz w:val="14"/>
                <w:szCs w:val="14"/>
                <w:b w:val="1"/>
                <w:bCs w:val="1"/>
                <w:color w:val="auto"/>
              </w:rPr>
              <w:t>prices in</w:t>
            </w:r>
          </w:p>
        </w:tc>
        <w:tc>
          <w:tcPr>
            <w:tcW w:w="30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44"/>
              <w:spacing w:after="0"/>
              <w:rPr>
                <w:sz w:val="20"/>
                <w:szCs w:val="20"/>
                <w:color w:val="auto"/>
              </w:rPr>
            </w:pPr>
            <w:r>
              <w:rPr>
                <w:rFonts w:ascii="Arial" w:cs="Arial" w:eastAsia="Arial" w:hAnsi="Arial"/>
                <w:sz w:val="14"/>
                <w:szCs w:val="14"/>
                <w:b w:val="1"/>
                <w:bCs w:val="1"/>
                <w:color w:val="auto"/>
              </w:rPr>
              <w:t>active</w:t>
            </w:r>
          </w:p>
        </w:tc>
        <w:tc>
          <w:tcPr>
            <w:tcW w:w="32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060" w:type="dxa"/>
            <w:vAlign w:val="bottom"/>
          </w:tcPr>
          <w:p>
            <w:pPr>
              <w:jc w:val="center"/>
              <w:ind w:right="144"/>
              <w:spacing w:after="0"/>
              <w:rPr>
                <w:sz w:val="20"/>
                <w:szCs w:val="20"/>
                <w:color w:val="auto"/>
              </w:rPr>
            </w:pPr>
            <w:r>
              <w:rPr>
                <w:rFonts w:ascii="Arial" w:cs="Arial" w:eastAsia="Arial" w:hAnsi="Arial"/>
                <w:sz w:val="14"/>
                <w:szCs w:val="14"/>
                <w:b w:val="1"/>
                <w:bCs w:val="1"/>
                <w:color w:val="auto"/>
              </w:rPr>
              <w:t>active</w:t>
            </w:r>
          </w:p>
        </w:tc>
        <w:tc>
          <w:tcPr>
            <w:tcW w:w="30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observable</w:t>
            </w:r>
          </w:p>
        </w:tc>
      </w:t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44"/>
              <w:spacing w:after="0"/>
              <w:rPr>
                <w:sz w:val="20"/>
                <w:szCs w:val="20"/>
                <w:color w:val="auto"/>
              </w:rPr>
            </w:pPr>
            <w:r>
              <w:rPr>
                <w:rFonts w:ascii="Arial" w:cs="Arial" w:eastAsia="Arial" w:hAnsi="Arial"/>
                <w:sz w:val="14"/>
                <w:szCs w:val="14"/>
                <w:b w:val="1"/>
                <w:bCs w:val="1"/>
                <w:color w:val="auto"/>
              </w:rPr>
              <w:t>markets</w:t>
            </w:r>
          </w:p>
        </w:tc>
        <w:tc>
          <w:tcPr>
            <w:tcW w:w="320" w:type="dxa"/>
            <w:vAlign w:val="bottom"/>
          </w:tcPr>
          <w:p>
            <w:pPr>
              <w:spacing w:after="0"/>
              <w:rPr>
                <w:sz w:val="16"/>
                <w:szCs w:val="16"/>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6"/>
                <w:szCs w:val="16"/>
                <w:color w:val="auto"/>
              </w:rPr>
            </w:pPr>
          </w:p>
        </w:tc>
        <w:tc>
          <w:tcPr>
            <w:tcW w:w="1060" w:type="dxa"/>
            <w:vAlign w:val="bottom"/>
          </w:tcPr>
          <w:p>
            <w:pPr>
              <w:jc w:val="center"/>
              <w:ind w:right="144"/>
              <w:spacing w:after="0"/>
              <w:rPr>
                <w:sz w:val="20"/>
                <w:szCs w:val="20"/>
                <w:color w:val="auto"/>
              </w:rPr>
            </w:pPr>
            <w:r>
              <w:rPr>
                <w:rFonts w:ascii="Arial" w:cs="Arial" w:eastAsia="Arial" w:hAnsi="Arial"/>
                <w:sz w:val="14"/>
                <w:szCs w:val="14"/>
                <w:b w:val="1"/>
                <w:bCs w:val="1"/>
                <w:color w:val="auto"/>
              </w:rPr>
              <w:t>markets</w:t>
            </w:r>
          </w:p>
        </w:tc>
        <w:tc>
          <w:tcPr>
            <w:tcW w:w="300" w:type="dxa"/>
            <w:vAlign w:val="bottom"/>
          </w:tcPr>
          <w:p>
            <w:pPr>
              <w:spacing w:after="0"/>
              <w:rPr>
                <w:sz w:val="16"/>
                <w:szCs w:val="16"/>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inputs</w:t>
            </w:r>
          </w:p>
        </w:tc>
      </w:tr>
      <w:tr>
        <w:trPr>
          <w:trHeight w:val="22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(Level 2)</w:t>
            </w: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21,322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16,375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Common stock of unaffiliated foreign public company (a)</w:t>
            </w:r>
          </w:p>
        </w:tc>
        <w:tc>
          <w:tcPr>
            <w:tcW w:w="240" w:type="dxa"/>
            <w:vAlign w:val="bottom"/>
          </w:tcPr>
          <w:p>
            <w:pPr>
              <w:spacing w:after="0"/>
              <w:rPr>
                <w:sz w:val="21"/>
                <w:szCs w:val="21"/>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708</w:t>
            </w:r>
          </w:p>
        </w:tc>
        <w:tc>
          <w:tcPr>
            <w:tcW w:w="320" w:type="dxa"/>
            <w:vAlign w:val="bottom"/>
          </w:tcPr>
          <w:p>
            <w:pPr>
              <w:spacing w:after="0"/>
              <w:rPr>
                <w:sz w:val="21"/>
                <w:szCs w:val="21"/>
                <w:color w:val="auto"/>
              </w:rPr>
            </w:pP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839</w:t>
            </w:r>
          </w:p>
        </w:tc>
        <w:tc>
          <w:tcPr>
            <w:tcW w:w="300" w:type="dxa"/>
            <w:vAlign w:val="bottom"/>
          </w:tcPr>
          <w:p>
            <w:pPr>
              <w:spacing w:after="0"/>
              <w:rPr>
                <w:sz w:val="21"/>
                <w:szCs w:val="21"/>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570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ind w:right="6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i w:val="1"/>
                <w:iCs w:val="1"/>
                <w:color w:val="auto"/>
              </w:rPr>
              <w:t>Other noncurrent 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2"/>
        </w:trPr>
        <w:tc>
          <w:tcPr>
            <w:tcW w:w="5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(15,701) ᵇ</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 ᶜ</w:t>
            </w:r>
          </w:p>
        </w:tc>
      </w:tr>
    </w:tbl>
    <w:p>
      <w:pPr>
        <w:spacing w:after="0" w:line="8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$1.7 million receivable floating leg and $17.4 million liability fixed leg.</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$15.2 million receivable floating leg and $20.7 million liability fixed leg.</w:t>
      </w:r>
    </w:p>
    <w:p>
      <w:pPr>
        <w:spacing w:after="0" w:line="36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June 30, 2020, these interest rate swaps were determined to be highly effective hedges of interest rate cash flow risk. Amounts accumulated in Other comprehensive income are reclassified as Interest expense, net when the related interest payments (that is, the hedged forecasted transactions),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amortization related to the swap buyouts, affect earnings. Interest (income)/expense related to payments under the active swap agreements totaled $1.9 million for the six month period ended June 30, 2020, and $(0.6) million for the six month period ended June 30, 2019. Additionally, non-cash interest income related to the amortization of swap buyouts totaled $0.4 million for the six month period ended June 30, 2020 and $0.2 million for the six month period ended June 30, 2019.</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755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500" w:type="dxa"/>
            <w:vAlign w:val="bottom"/>
            <w:gridSpan w:val="4"/>
          </w:tcPr>
          <w:p>
            <w:pPr>
              <w:jc w:val="right"/>
              <w:ind w:right="364"/>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3"/>
        </w:trPr>
        <w:tc>
          <w:tcPr>
            <w:tcW w:w="5120" w:type="dxa"/>
            <w:vAlign w:val="bottom"/>
          </w:tcPr>
          <w:p>
            <w:pPr>
              <w:ind w:left="20"/>
              <w:spacing w:after="0"/>
              <w:rPr>
                <w:sz w:val="20"/>
                <w:szCs w:val="20"/>
                <w:color w:val="auto"/>
              </w:rPr>
            </w:pPr>
            <w:r>
              <w:rPr>
                <w:rFonts w:ascii="Arial" w:cs="Arial" w:eastAsia="Arial" w:hAnsi="Arial"/>
                <w:sz w:val="16"/>
                <w:szCs w:val="16"/>
                <w:color w:val="auto"/>
              </w:rPr>
              <w:t>Foreign currency options gains/(losses)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3"/>
          </w:tcPr>
          <w:p>
            <w:pPr>
              <w:ind w:left="7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860" w:type="dxa"/>
            <w:vAlign w:val="bottom"/>
          </w:tcPr>
          <w:p>
            <w:pPr>
              <w:jc w:val="right"/>
              <w:ind w:right="65"/>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w:t>
            </w:r>
          </w:p>
        </w:tc>
      </w:tr>
      <w:tr>
        <w:trPr>
          <w:trHeight w:val="23"/>
        </w:trPr>
        <w:tc>
          <w:tcPr>
            <w:tcW w:w="5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right="9560" w:firstLine="8"/>
        <w:spacing w:after="0" w:line="388" w:lineRule="auto"/>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3,693 claims as of June 30, 2020.</w:t>
      </w:r>
    </w:p>
    <w:p>
      <w:pPr>
        <w:spacing w:after="0" w:line="11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06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80" w:type="dxa"/>
            <w:vAlign w:val="bottom"/>
          </w:tcPr>
          <w:p>
            <w:pPr>
              <w:jc w:val="center"/>
              <w:ind w:right="123"/>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940" w:type="dxa"/>
            <w:vAlign w:val="bottom"/>
          </w:tcPr>
          <w:p>
            <w:pPr>
              <w:spacing w:after="0"/>
              <w:rPr>
                <w:sz w:val="14"/>
                <w:szCs w:val="14"/>
                <w:color w:val="auto"/>
              </w:rPr>
            </w:pPr>
          </w:p>
        </w:tc>
        <w:tc>
          <w:tcPr>
            <w:tcW w:w="2400" w:type="dxa"/>
            <w:vAlign w:val="bottom"/>
          </w:tcPr>
          <w:p>
            <w:pPr>
              <w:jc w:val="center"/>
              <w:ind w:left="582"/>
              <w:spacing w:after="0"/>
              <w:rPr>
                <w:sz w:val="20"/>
                <w:szCs w:val="20"/>
                <w:color w:val="auto"/>
              </w:rPr>
            </w:pPr>
            <w:r>
              <w:rPr>
                <w:rFonts w:ascii="Arial" w:cs="Arial" w:eastAsia="Arial" w:hAnsi="Arial"/>
                <w:sz w:val="14"/>
                <w:szCs w:val="14"/>
                <w:b w:val="1"/>
                <w:bCs w:val="1"/>
                <w:color w:val="auto"/>
              </w:rPr>
              <w:t>Opening</w:t>
            </w:r>
          </w:p>
        </w:tc>
        <w:tc>
          <w:tcPr>
            <w:tcW w:w="1480" w:type="dxa"/>
            <w:vAlign w:val="bottom"/>
          </w:tcPr>
          <w:p>
            <w:pPr>
              <w:jc w:val="center"/>
              <w:ind w:right="123"/>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Closing</w:t>
            </w:r>
          </w:p>
        </w:tc>
        <w:tc>
          <w:tcPr>
            <w:tcW w:w="24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2940" w:type="dxa"/>
            <w:vAlign w:val="bottom"/>
          </w:tcPr>
          <w:p>
            <w:pPr>
              <w:spacing w:after="0"/>
              <w:rPr>
                <w:sz w:val="14"/>
                <w:szCs w:val="14"/>
                <w:color w:val="auto"/>
              </w:rPr>
            </w:pPr>
          </w:p>
        </w:tc>
        <w:tc>
          <w:tcPr>
            <w:tcW w:w="2400" w:type="dxa"/>
            <w:vAlign w:val="bottom"/>
          </w:tcPr>
          <w:p>
            <w:pPr>
              <w:jc w:val="center"/>
              <w:ind w:left="602"/>
              <w:spacing w:after="0"/>
              <w:rPr>
                <w:sz w:val="20"/>
                <w:szCs w:val="20"/>
                <w:color w:val="auto"/>
              </w:rPr>
            </w:pPr>
            <w:r>
              <w:rPr>
                <w:rFonts w:ascii="Arial" w:cs="Arial" w:eastAsia="Arial" w:hAnsi="Arial"/>
                <w:sz w:val="14"/>
                <w:szCs w:val="14"/>
                <w:b w:val="1"/>
                <w:bCs w:val="1"/>
                <w:color w:val="auto"/>
              </w:rPr>
              <w:t>Number of</w:t>
            </w: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Settle or</w:t>
            </w: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0" w:type="dxa"/>
            <w:vAlign w:val="bottom"/>
            <w:tcBorders>
              <w:bottom w:val="single" w:sz="8" w:color="auto"/>
            </w:tcBorders>
          </w:tcPr>
          <w:p>
            <w:pPr>
              <w:jc w:val="center"/>
              <w:ind w:left="602"/>
              <w:spacing w:after="0"/>
              <w:rPr>
                <w:sz w:val="20"/>
                <w:szCs w:val="20"/>
                <w:color w:val="auto"/>
              </w:rPr>
            </w:pPr>
            <w:r>
              <w:rPr>
                <w:rFonts w:ascii="Arial" w:cs="Arial" w:eastAsia="Arial" w:hAnsi="Arial"/>
                <w:sz w:val="14"/>
                <w:szCs w:val="14"/>
                <w:b w:val="1"/>
                <w:bCs w:val="1"/>
                <w:color w:val="auto"/>
              </w:rPr>
              <w:t>Claims</w:t>
            </w:r>
          </w:p>
        </w:tc>
        <w:tc>
          <w:tcPr>
            <w:tcW w:w="14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New Claims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Claims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Resolve</w:t>
            </w: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color w:val="auto"/>
              </w:rPr>
              <w:t>2015</w:t>
            </w:r>
          </w:p>
        </w:tc>
        <w:tc>
          <w:tcPr>
            <w:tcW w:w="2400" w:type="dxa"/>
            <w:vAlign w:val="bottom"/>
          </w:tcPr>
          <w:p>
            <w:pPr>
              <w:jc w:val="right"/>
              <w:ind w:right="182"/>
              <w:spacing w:after="0"/>
              <w:rPr>
                <w:sz w:val="20"/>
                <w:szCs w:val="20"/>
                <w:color w:val="auto"/>
              </w:rPr>
            </w:pPr>
            <w:r>
              <w:rPr>
                <w:rFonts w:ascii="Arial" w:cs="Arial" w:eastAsia="Arial" w:hAnsi="Arial"/>
                <w:sz w:val="16"/>
                <w:szCs w:val="16"/>
                <w:color w:val="auto"/>
              </w:rPr>
              <w:t>3,821</w:t>
            </w:r>
          </w:p>
        </w:tc>
        <w:tc>
          <w:tcPr>
            <w:tcW w:w="1480" w:type="dxa"/>
            <w:vAlign w:val="bottom"/>
          </w:tcPr>
          <w:p>
            <w:pPr>
              <w:jc w:val="right"/>
              <w:ind w:right="183"/>
              <w:spacing w:after="0"/>
              <w:rPr>
                <w:sz w:val="20"/>
                <w:szCs w:val="20"/>
                <w:color w:val="auto"/>
              </w:rPr>
            </w:pPr>
            <w:r>
              <w:rPr>
                <w:rFonts w:ascii="Arial" w:cs="Arial" w:eastAsia="Arial" w:hAnsi="Arial"/>
                <w:sz w:val="16"/>
                <w:szCs w:val="16"/>
                <w:color w:val="auto"/>
              </w:rPr>
              <w:t>116</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86</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164</w:t>
            </w:r>
          </w:p>
        </w:tc>
      </w:tr>
      <w:tr>
        <w:trPr>
          <w:trHeight w:val="243"/>
        </w:trPr>
        <w:tc>
          <w:tcPr>
            <w:tcW w:w="2940" w:type="dxa"/>
            <w:vAlign w:val="bottom"/>
          </w:tcPr>
          <w:p>
            <w:pPr>
              <w:ind w:left="20"/>
              <w:spacing w:after="0"/>
              <w:rPr>
                <w:sz w:val="20"/>
                <w:szCs w:val="20"/>
                <w:color w:val="auto"/>
              </w:rPr>
            </w:pPr>
            <w:r>
              <w:rPr>
                <w:rFonts w:ascii="Arial" w:cs="Arial" w:eastAsia="Arial" w:hAnsi="Arial"/>
                <w:sz w:val="16"/>
                <w:szCs w:val="16"/>
                <w:color w:val="auto"/>
              </w:rPr>
              <w:t>2016</w:t>
            </w:r>
          </w:p>
        </w:tc>
        <w:tc>
          <w:tcPr>
            <w:tcW w:w="2400" w:type="dxa"/>
            <w:vAlign w:val="bottom"/>
          </w:tcPr>
          <w:p>
            <w:pPr>
              <w:jc w:val="right"/>
              <w:ind w:right="182"/>
              <w:spacing w:after="0"/>
              <w:rPr>
                <w:sz w:val="20"/>
                <w:szCs w:val="20"/>
                <w:color w:val="auto"/>
              </w:rPr>
            </w:pPr>
            <w:r>
              <w:rPr>
                <w:rFonts w:ascii="Arial" w:cs="Arial" w:eastAsia="Arial" w:hAnsi="Arial"/>
                <w:sz w:val="16"/>
                <w:szCs w:val="16"/>
                <w:color w:val="auto"/>
              </w:rPr>
              <w:t>3,791</w:t>
            </w:r>
          </w:p>
        </w:tc>
        <w:tc>
          <w:tcPr>
            <w:tcW w:w="1480" w:type="dxa"/>
            <w:vAlign w:val="bottom"/>
          </w:tcPr>
          <w:p>
            <w:pPr>
              <w:jc w:val="right"/>
              <w:ind w:right="183"/>
              <w:spacing w:after="0"/>
              <w:rPr>
                <w:sz w:val="20"/>
                <w:szCs w:val="20"/>
                <w:color w:val="auto"/>
              </w:rPr>
            </w:pPr>
            <w:r>
              <w:rPr>
                <w:rFonts w:ascii="Arial" w:cs="Arial" w:eastAsia="Arial" w:hAnsi="Arial"/>
                <w:sz w:val="16"/>
                <w:szCs w:val="16"/>
                <w:color w:val="auto"/>
              </w:rPr>
              <w:t>148</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102</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3,745</w:t>
            </w:r>
          </w:p>
        </w:tc>
        <w:tc>
          <w:tcPr>
            <w:tcW w:w="240" w:type="dxa"/>
            <w:vAlign w:val="bottom"/>
          </w:tcPr>
          <w:p>
            <w:pPr>
              <w:spacing w:after="0"/>
              <w:rPr>
                <w:sz w:val="21"/>
                <w:szCs w:val="21"/>
                <w:color w:val="auto"/>
              </w:rPr>
            </w:pP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758</w:t>
            </w:r>
          </w:p>
        </w:tc>
      </w:tr>
      <w:tr>
        <w:trPr>
          <w:trHeight w:val="243"/>
        </w:trPr>
        <w:tc>
          <w:tcPr>
            <w:tcW w:w="2940" w:type="dxa"/>
            <w:vAlign w:val="bottom"/>
          </w:tcPr>
          <w:p>
            <w:pPr>
              <w:ind w:left="20"/>
              <w:spacing w:after="0"/>
              <w:rPr>
                <w:sz w:val="20"/>
                <w:szCs w:val="20"/>
                <w:color w:val="auto"/>
              </w:rPr>
            </w:pPr>
            <w:r>
              <w:rPr>
                <w:rFonts w:ascii="Arial" w:cs="Arial" w:eastAsia="Arial" w:hAnsi="Arial"/>
                <w:sz w:val="16"/>
                <w:szCs w:val="16"/>
                <w:color w:val="auto"/>
              </w:rPr>
              <w:t>2017</w:t>
            </w:r>
          </w:p>
        </w:tc>
        <w:tc>
          <w:tcPr>
            <w:tcW w:w="2400" w:type="dxa"/>
            <w:vAlign w:val="bottom"/>
          </w:tcPr>
          <w:p>
            <w:pPr>
              <w:jc w:val="right"/>
              <w:ind w:right="182"/>
              <w:spacing w:after="0"/>
              <w:rPr>
                <w:sz w:val="20"/>
                <w:szCs w:val="20"/>
                <w:color w:val="auto"/>
              </w:rPr>
            </w:pPr>
            <w:r>
              <w:rPr>
                <w:rFonts w:ascii="Arial" w:cs="Arial" w:eastAsia="Arial" w:hAnsi="Arial"/>
                <w:sz w:val="16"/>
                <w:szCs w:val="16"/>
                <w:color w:val="auto"/>
              </w:rPr>
              <w:t>3,745</w:t>
            </w:r>
          </w:p>
        </w:tc>
        <w:tc>
          <w:tcPr>
            <w:tcW w:w="1480" w:type="dxa"/>
            <w:vAlign w:val="bottom"/>
          </w:tcPr>
          <w:p>
            <w:pPr>
              <w:jc w:val="right"/>
              <w:ind w:right="183"/>
              <w:spacing w:after="0"/>
              <w:rPr>
                <w:sz w:val="20"/>
                <w:szCs w:val="20"/>
                <w:color w:val="auto"/>
              </w:rPr>
            </w:pPr>
            <w:r>
              <w:rPr>
                <w:rFonts w:ascii="Arial" w:cs="Arial" w:eastAsia="Arial" w:hAnsi="Arial"/>
                <w:sz w:val="16"/>
                <w:szCs w:val="16"/>
                <w:color w:val="auto"/>
              </w:rPr>
              <w:t>105</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90</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3,730</w:t>
            </w:r>
          </w:p>
        </w:tc>
        <w:tc>
          <w:tcPr>
            <w:tcW w:w="240" w:type="dxa"/>
            <w:vAlign w:val="bottom"/>
          </w:tcPr>
          <w:p>
            <w:pPr>
              <w:spacing w:after="0"/>
              <w:rPr>
                <w:sz w:val="21"/>
                <w:szCs w:val="21"/>
                <w:color w:val="auto"/>
              </w:rPr>
            </w:pP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55</w:t>
            </w:r>
          </w:p>
        </w:tc>
      </w:tr>
      <w:tr>
        <w:trPr>
          <w:trHeight w:val="243"/>
        </w:trPr>
        <w:tc>
          <w:tcPr>
            <w:tcW w:w="2940" w:type="dxa"/>
            <w:vAlign w:val="bottom"/>
          </w:tcPr>
          <w:p>
            <w:pPr>
              <w:ind w:left="20"/>
              <w:spacing w:after="0"/>
              <w:rPr>
                <w:sz w:val="20"/>
                <w:szCs w:val="20"/>
                <w:color w:val="auto"/>
              </w:rPr>
            </w:pPr>
            <w:r>
              <w:rPr>
                <w:rFonts w:ascii="Arial" w:cs="Arial" w:eastAsia="Arial" w:hAnsi="Arial"/>
                <w:sz w:val="16"/>
                <w:szCs w:val="16"/>
                <w:color w:val="auto"/>
              </w:rPr>
              <w:t>2018</w:t>
            </w:r>
          </w:p>
        </w:tc>
        <w:tc>
          <w:tcPr>
            <w:tcW w:w="2400" w:type="dxa"/>
            <w:vAlign w:val="bottom"/>
          </w:tcPr>
          <w:p>
            <w:pPr>
              <w:jc w:val="right"/>
              <w:ind w:right="182"/>
              <w:spacing w:after="0"/>
              <w:rPr>
                <w:sz w:val="20"/>
                <w:szCs w:val="20"/>
                <w:color w:val="auto"/>
              </w:rPr>
            </w:pPr>
            <w:r>
              <w:rPr>
                <w:rFonts w:ascii="Arial" w:cs="Arial" w:eastAsia="Arial" w:hAnsi="Arial"/>
                <w:sz w:val="16"/>
                <w:szCs w:val="16"/>
                <w:color w:val="auto"/>
              </w:rPr>
              <w:t>3,730</w:t>
            </w:r>
          </w:p>
        </w:tc>
        <w:tc>
          <w:tcPr>
            <w:tcW w:w="1480" w:type="dxa"/>
            <w:vAlign w:val="bottom"/>
          </w:tcPr>
          <w:p>
            <w:pPr>
              <w:jc w:val="right"/>
              <w:ind w:right="183"/>
              <w:spacing w:after="0"/>
              <w:rPr>
                <w:sz w:val="20"/>
                <w:szCs w:val="20"/>
                <w:color w:val="auto"/>
              </w:rPr>
            </w:pPr>
            <w:r>
              <w:rPr>
                <w:rFonts w:ascii="Arial" w:cs="Arial" w:eastAsia="Arial" w:hAnsi="Arial"/>
                <w:sz w:val="16"/>
                <w:szCs w:val="16"/>
                <w:color w:val="auto"/>
              </w:rPr>
              <w:t>152</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106</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3,684</w:t>
            </w:r>
          </w:p>
        </w:tc>
        <w:tc>
          <w:tcPr>
            <w:tcW w:w="240" w:type="dxa"/>
            <w:vAlign w:val="bottom"/>
          </w:tcPr>
          <w:p>
            <w:pPr>
              <w:spacing w:after="0"/>
              <w:rPr>
                <w:sz w:val="21"/>
                <w:szCs w:val="21"/>
                <w:color w:val="auto"/>
              </w:rPr>
            </w:pP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100</w:t>
            </w:r>
          </w:p>
        </w:tc>
      </w:tr>
      <w:tr>
        <w:trPr>
          <w:trHeight w:val="25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2019</w:t>
            </w:r>
          </w:p>
        </w:tc>
        <w:tc>
          <w:tcPr>
            <w:tcW w:w="24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3,684</w:t>
            </w: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51</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75</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3,708</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25</w:t>
            </w: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 (As of June 30)</w:t>
            </w:r>
          </w:p>
        </w:tc>
        <w:tc>
          <w:tcPr>
            <w:tcW w:w="24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3,708</w:t>
            </w: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38</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23</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47</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2020, we had resolved, by means of settlement or dismissal, 37,835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June 30, 2020,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tcPr>
          <w:p>
            <w:pPr>
              <w:spacing w:after="0"/>
              <w:rPr>
                <w:sz w:val="10"/>
                <w:szCs w:val="10"/>
                <w:color w:val="auto"/>
              </w:rPr>
            </w:pPr>
          </w:p>
        </w:tc>
        <w:tc>
          <w:tcPr>
            <w:tcW w:w="1460" w:type="dxa"/>
            <w:vAlign w:val="bottom"/>
            <w:gridSpan w:val="3"/>
          </w:tcPr>
          <w:p>
            <w:pPr>
              <w:jc w:val="right"/>
              <w:ind w:right="526"/>
              <w:spacing w:after="0"/>
              <w:rPr>
                <w:sz w:val="20"/>
                <w:szCs w:val="20"/>
                <w:color w:val="auto"/>
              </w:rPr>
            </w:pPr>
            <w:r>
              <w:rPr>
                <w:rFonts w:ascii="Arial" w:cs="Arial" w:eastAsia="Arial" w:hAnsi="Arial"/>
                <w:sz w:val="11"/>
                <w:szCs w:val="11"/>
                <w:b w:val="1"/>
                <w:bCs w:val="1"/>
                <w:color w:val="auto"/>
              </w:rPr>
              <w:t>Class A</w:t>
            </w:r>
          </w:p>
        </w:tc>
        <w:tc>
          <w:tcPr>
            <w:tcW w:w="118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Accumulated items of</w:t>
            </w:r>
          </w:p>
        </w:tc>
        <w:tc>
          <w:tcPr>
            <w:tcW w:w="1300" w:type="dxa"/>
            <w:vAlign w:val="bottom"/>
            <w:gridSpan w:val="2"/>
          </w:tcPr>
          <w:p>
            <w:pPr>
              <w:jc w:val="right"/>
              <w:ind w:right="386"/>
              <w:spacing w:after="0"/>
              <w:rPr>
                <w:sz w:val="20"/>
                <w:szCs w:val="20"/>
                <w:color w:val="auto"/>
              </w:rPr>
            </w:pPr>
            <w:r>
              <w:rPr>
                <w:rFonts w:ascii="Arial" w:cs="Arial" w:eastAsia="Arial" w:hAnsi="Arial"/>
                <w:sz w:val="11"/>
                <w:szCs w:val="11"/>
                <w:b w:val="1"/>
                <w:bCs w:val="1"/>
                <w:color w:val="auto"/>
              </w:rPr>
              <w:t>Class A</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1460" w:type="dxa"/>
            <w:vAlign w:val="bottom"/>
            <w:gridSpan w:val="3"/>
            <w:vMerge w:val="restart"/>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1180" w:type="dxa"/>
            <w:vAlign w:val="bottom"/>
            <w:gridSpan w:val="3"/>
            <w:vMerge w:val="restart"/>
          </w:tcPr>
          <w:p>
            <w:pPr>
              <w:jc w:val="right"/>
              <w:ind w:right="12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00" w:type="dxa"/>
            <w:vAlign w:val="bottom"/>
            <w:gridSpan w:val="2"/>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ind w:left="20"/>
              <w:spacing w:after="0" w:line="90" w:lineRule="exact"/>
              <w:rPr>
                <w:sz w:val="20"/>
                <w:szCs w:val="20"/>
                <w:color w:val="auto"/>
              </w:rPr>
            </w:pPr>
            <w:r>
              <w:rPr>
                <w:rFonts w:ascii="Arial" w:cs="Arial" w:eastAsia="Arial" w:hAnsi="Arial"/>
                <w:sz w:val="10"/>
                <w:szCs w:val="10"/>
                <w:b w:val="1"/>
                <w:bCs w:val="1"/>
                <w:color w:val="auto"/>
              </w:rPr>
              <w:t>Additional paid-</w:t>
            </w: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80"/>
              <w:spacing w:after="0" w:line="90" w:lineRule="exact"/>
              <w:rPr>
                <w:sz w:val="20"/>
                <w:szCs w:val="20"/>
                <w:color w:val="auto"/>
              </w:rPr>
            </w:pPr>
            <w:r>
              <w:rPr>
                <w:rFonts w:ascii="Arial" w:cs="Arial" w:eastAsia="Arial" w:hAnsi="Arial"/>
                <w:sz w:val="10"/>
                <w:szCs w:val="10"/>
                <w:b w:val="1"/>
                <w:bCs w:val="1"/>
                <w:color w:val="auto"/>
              </w:rPr>
              <w:t>other</w:t>
            </w:r>
          </w:p>
        </w:tc>
        <w:tc>
          <w:tcPr>
            <w:tcW w:w="7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66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capital</w:t>
            </w:r>
          </w:p>
        </w:tc>
        <w:tc>
          <w:tcPr>
            <w:tcW w:w="2260" w:type="dxa"/>
            <w:vAlign w:val="bottom"/>
            <w:gridSpan w:val="4"/>
          </w:tcPr>
          <w:p>
            <w:pPr>
              <w:ind w:left="20"/>
              <w:spacing w:after="0"/>
              <w:rPr>
                <w:sz w:val="20"/>
                <w:szCs w:val="20"/>
                <w:color w:val="auto"/>
              </w:rPr>
            </w:pPr>
            <w:r>
              <w:rPr>
                <w:rFonts w:ascii="Arial" w:cs="Arial" w:eastAsia="Arial" w:hAnsi="Arial"/>
                <w:sz w:val="11"/>
                <w:szCs w:val="11"/>
                <w:b w:val="1"/>
                <w:bCs w:val="1"/>
                <w:color w:val="auto"/>
              </w:rPr>
              <w:t>Retained earnings comprehensive income</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Noncontrolling InterestTotal Equity</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December 31, 2019</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39,099</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39</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1,618</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432,518</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b w:val="1"/>
                <w:bCs w:val="1"/>
                <w:color w:val="auto"/>
              </w:rPr>
              <w:t>698,496</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(175,981)</w:t>
            </w: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auto"/>
              </w:rPr>
              <w:t>8,409</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(256,391)</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4,006</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702,689</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auto"/>
              </w:rPr>
              <w:t>Adoption of accounting standards (a)</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(1,443)</w:t>
            </w:r>
          </w:p>
        </w:tc>
        <w:tc>
          <w:tcPr>
            <w:tcW w:w="58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9,109</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(1,515)</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7,594</w:t>
            </w:r>
          </w:p>
        </w:tc>
        <w:tc>
          <w:tcPr>
            <w:tcW w:w="0" w:type="dxa"/>
            <w:vAlign w:val="bottom"/>
          </w:tcPr>
          <w:p>
            <w:pPr>
              <w:spacing w:after="0"/>
              <w:rPr>
                <w:sz w:val="1"/>
                <w:szCs w:val="1"/>
                <w:color w:val="auto"/>
              </w:rPr>
            </w:pPr>
          </w:p>
        </w:tc>
      </w:tr>
      <w:tr>
        <w:trPr>
          <w:trHeight w:val="167"/>
        </w:trPr>
        <w:tc>
          <w:tcPr>
            <w:tcW w:w="2020" w:type="dxa"/>
            <w:vAlign w:val="bottom"/>
          </w:tcPr>
          <w:p>
            <w:pPr>
              <w:ind w:left="20"/>
              <w:spacing w:after="0"/>
              <w:rPr>
                <w:sz w:val="20"/>
                <w:szCs w:val="20"/>
                <w:color w:val="auto"/>
              </w:rPr>
            </w:pPr>
            <w:r>
              <w:rPr>
                <w:rFonts w:ascii="Arial" w:cs="Arial" w:eastAsia="Arial" w:hAnsi="Arial"/>
                <w:sz w:val="11"/>
                <w:szCs w:val="11"/>
                <w:color w:val="auto"/>
              </w:rPr>
              <w:t>Compensation and benefits paid or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2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(682)</w:t>
            </w:r>
          </w:p>
        </w:tc>
        <w:tc>
          <w:tcPr>
            <w:tcW w:w="2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(682)</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1"/>
                <w:szCs w:val="11"/>
                <w:color w:val="auto"/>
                <w:w w:val="99"/>
              </w:rPr>
              <w:t>Class A Common Stock, $0.19 per share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(5,834)</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(5,834)</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w w:val="99"/>
              </w:rPr>
              <w:t>Class B Common Stock, $0.19 per share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(307)</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(25,747)</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(25,638)</w:t>
            </w:r>
          </w:p>
        </w:tc>
        <w:tc>
          <w:tcPr>
            <w:tcW w:w="0" w:type="dxa"/>
            <w:vAlign w:val="bottom"/>
          </w:tcPr>
          <w:p>
            <w:pPr>
              <w:spacing w:after="0"/>
              <w:rPr>
                <w:sz w:val="1"/>
                <w:szCs w:val="1"/>
                <w:color w:val="auto"/>
              </w:rPr>
            </w:pPr>
          </w:p>
        </w:tc>
      </w:tr>
      <w:tr>
        <w:trPr>
          <w:trHeight w:val="167"/>
        </w:trPr>
        <w:tc>
          <w:tcPr>
            <w:tcW w:w="202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890</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890</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(7,708)</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(7,708)</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March 31, 2020</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39,112</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39</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1,618</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431,836</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b w:val="1"/>
                <w:bCs w:val="1"/>
                <w:color w:val="auto"/>
              </w:rPr>
              <w:t>700,021</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(208,546)</w:t>
            </w: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auto"/>
              </w:rPr>
              <w:t>8,409</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(256,391)</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2,600</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669,561</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32,354</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95</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32,449</w:t>
            </w:r>
          </w:p>
        </w:tc>
        <w:tc>
          <w:tcPr>
            <w:tcW w:w="0" w:type="dxa"/>
            <w:vAlign w:val="bottom"/>
          </w:tcPr>
          <w:p>
            <w:pPr>
              <w:spacing w:after="0"/>
              <w:rPr>
                <w:sz w:val="1"/>
                <w:szCs w:val="1"/>
                <w:color w:val="auto"/>
              </w:rPr>
            </w:pPr>
          </w:p>
        </w:tc>
      </w:tr>
      <w:tr>
        <w:trPr>
          <w:trHeight w:val="167"/>
        </w:trPr>
        <w:tc>
          <w:tcPr>
            <w:tcW w:w="2020" w:type="dxa"/>
            <w:vAlign w:val="bottom"/>
          </w:tcPr>
          <w:p>
            <w:pPr>
              <w:ind w:left="20"/>
              <w:spacing w:after="0"/>
              <w:rPr>
                <w:sz w:val="20"/>
                <w:szCs w:val="20"/>
                <w:color w:val="auto"/>
              </w:rPr>
            </w:pPr>
            <w:r>
              <w:rPr>
                <w:rFonts w:ascii="Arial" w:cs="Arial" w:eastAsia="Arial" w:hAnsi="Arial"/>
                <w:sz w:val="11"/>
                <w:szCs w:val="11"/>
                <w:color w:val="auto"/>
              </w:rPr>
              <w:t>Compensation and benefits paid or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2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466</w:t>
            </w:r>
          </w:p>
        </w:tc>
        <w:tc>
          <w:tcPr>
            <w:tcW w:w="2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317</w:t>
            </w:r>
          </w:p>
        </w:tc>
        <w:tc>
          <w:tcPr>
            <w:tcW w:w="4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783</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416</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416</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w w:val="99"/>
              </w:rPr>
              <w:t>Class A Common Stock, $0.19 per share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(5,835)</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(5,835)</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w w:val="99"/>
              </w:rPr>
              <w:t>Class B Common Stock, $0.19 per share</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(307)</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8,964</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9,116</w:t>
            </w:r>
          </w:p>
        </w:tc>
        <w:tc>
          <w:tcPr>
            <w:tcW w:w="0" w:type="dxa"/>
            <w:vAlign w:val="bottom"/>
          </w:tcPr>
          <w:p>
            <w:pPr>
              <w:spacing w:after="0"/>
              <w:rPr>
                <w:sz w:val="1"/>
                <w:szCs w:val="1"/>
                <w:color w:val="auto"/>
              </w:rPr>
            </w:pPr>
          </w:p>
        </w:tc>
      </w:tr>
      <w:tr>
        <w:trPr>
          <w:trHeight w:val="167"/>
        </w:trPr>
        <w:tc>
          <w:tcPr>
            <w:tcW w:w="202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142</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(187)</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Three Months Ended</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June 30, 2020</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39,113</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39</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1,618</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432,738</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b w:val="1"/>
                <w:bCs w:val="1"/>
                <w:color w:val="auto"/>
              </w:rPr>
              <w:t>726,233</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(199,627)</w:t>
            </w: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auto"/>
              </w:rPr>
              <w:t>8,394</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(256,074)</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2,847</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706,158</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220" w:type="dxa"/>
            <w:vAlign w:val="bottom"/>
            <w:gridSpan w:val="3"/>
          </w:tcPr>
          <w:p>
            <w:pPr>
              <w:jc w:val="right"/>
              <w:ind w:right="366"/>
              <w:spacing w:after="0"/>
              <w:rPr>
                <w:sz w:val="20"/>
                <w:szCs w:val="20"/>
                <w:color w:val="auto"/>
              </w:rPr>
            </w:pPr>
            <w:r>
              <w:rPr>
                <w:rFonts w:ascii="Arial" w:cs="Arial" w:eastAsia="Arial" w:hAnsi="Arial"/>
                <w:sz w:val="11"/>
                <w:szCs w:val="11"/>
                <w:b w:val="1"/>
                <w:bCs w:val="1"/>
                <w:color w:val="auto"/>
              </w:rPr>
              <w:t>Class A</w:t>
            </w:r>
          </w:p>
        </w:tc>
        <w:tc>
          <w:tcPr>
            <w:tcW w:w="11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B</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Accumulated items of</w:t>
            </w:r>
          </w:p>
        </w:tc>
        <w:tc>
          <w:tcPr>
            <w:tcW w:w="1340" w:type="dxa"/>
            <w:vAlign w:val="bottom"/>
            <w:gridSpan w:val="2"/>
          </w:tcPr>
          <w:p>
            <w:pPr>
              <w:jc w:val="right"/>
              <w:ind w:right="406"/>
              <w:spacing w:after="0"/>
              <w:rPr>
                <w:sz w:val="20"/>
                <w:szCs w:val="20"/>
                <w:color w:val="auto"/>
              </w:rPr>
            </w:pPr>
            <w:r>
              <w:rPr>
                <w:rFonts w:ascii="Arial" w:cs="Arial" w:eastAsia="Arial" w:hAnsi="Arial"/>
                <w:sz w:val="11"/>
                <w:szCs w:val="11"/>
                <w:b w:val="1"/>
                <w:bCs w:val="1"/>
                <w:color w:val="auto"/>
              </w:rPr>
              <w:t>Class A</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60" w:type="dxa"/>
            <w:vAlign w:val="bottom"/>
          </w:tcPr>
          <w:p>
            <w:pPr>
              <w:spacing w:after="0"/>
              <w:rPr>
                <w:sz w:val="5"/>
                <w:szCs w:val="5"/>
                <w:color w:val="auto"/>
              </w:rPr>
            </w:pPr>
          </w:p>
        </w:tc>
        <w:tc>
          <w:tcPr>
            <w:tcW w:w="122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rPr>
              <w:t>Common Stock</w:t>
            </w: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40" w:type="dxa"/>
            <w:vAlign w:val="bottom"/>
            <w:gridSpan w:val="2"/>
            <w:vMerge w:val="restart"/>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000" w:type="dxa"/>
            <w:vAlign w:val="bottom"/>
            <w:gridSpan w:val="2"/>
            <w:vMerge w:val="restart"/>
          </w:tcPr>
          <w:p>
            <w:pPr>
              <w:ind w:left="20"/>
              <w:spacing w:after="0" w:line="90" w:lineRule="exact"/>
              <w:rPr>
                <w:sz w:val="20"/>
                <w:szCs w:val="20"/>
                <w:color w:val="auto"/>
              </w:rPr>
            </w:pPr>
            <w:r>
              <w:rPr>
                <w:rFonts w:ascii="Arial" w:cs="Arial" w:eastAsia="Arial" w:hAnsi="Arial"/>
                <w:sz w:val="10"/>
                <w:szCs w:val="10"/>
                <w:b w:val="1"/>
                <w:bCs w:val="1"/>
                <w:color w:val="auto"/>
              </w:rPr>
              <w:t>Additional paid-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80"/>
              <w:spacing w:after="0" w:line="90" w:lineRule="exact"/>
              <w:rPr>
                <w:sz w:val="20"/>
                <w:szCs w:val="20"/>
                <w:color w:val="auto"/>
              </w:rPr>
            </w:pPr>
            <w:r>
              <w:rPr>
                <w:rFonts w:ascii="Arial" w:cs="Arial" w:eastAsia="Arial" w:hAnsi="Arial"/>
                <w:sz w:val="10"/>
                <w:szCs w:val="10"/>
                <w:b w:val="1"/>
                <w:bCs w:val="1"/>
                <w:color w:val="auto"/>
              </w:rPr>
              <w:t>other</w:t>
            </w:r>
          </w:p>
        </w:tc>
        <w:tc>
          <w:tcPr>
            <w:tcW w:w="7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w w:val="96"/>
              </w:rPr>
              <w:t>in capital</w:t>
            </w:r>
          </w:p>
        </w:tc>
        <w:tc>
          <w:tcPr>
            <w:tcW w:w="500" w:type="dxa"/>
            <w:vAlign w:val="bottom"/>
          </w:tcPr>
          <w:p>
            <w:pPr>
              <w:spacing w:after="0"/>
              <w:rPr>
                <w:sz w:val="12"/>
                <w:szCs w:val="12"/>
                <w:color w:val="auto"/>
              </w:rPr>
            </w:pPr>
          </w:p>
        </w:tc>
        <w:tc>
          <w:tcPr>
            <w:tcW w:w="2260" w:type="dxa"/>
            <w:vAlign w:val="bottom"/>
            <w:gridSpan w:val="4"/>
          </w:tcPr>
          <w:p>
            <w:pPr>
              <w:ind w:left="60"/>
              <w:spacing w:after="0"/>
              <w:rPr>
                <w:sz w:val="20"/>
                <w:szCs w:val="20"/>
                <w:color w:val="auto"/>
              </w:rPr>
            </w:pPr>
            <w:r>
              <w:rPr>
                <w:rFonts w:ascii="Arial" w:cs="Arial" w:eastAsia="Arial" w:hAnsi="Arial"/>
                <w:sz w:val="11"/>
                <w:szCs w:val="11"/>
                <w:b w:val="1"/>
                <w:bCs w:val="1"/>
                <w:color w:val="auto"/>
                <w:w w:val="98"/>
              </w:rPr>
              <w:t>Retained earnings comprehensive income</w:t>
            </w: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Noncontrolling InterestTotal Equity</w:t>
            </w: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December 31, 2018</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37,450</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37</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3,234</w:t>
            </w:r>
          </w:p>
        </w:tc>
        <w:tc>
          <w:tcPr>
            <w:tcW w:w="12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26"/>
              <w:spacing w:after="0"/>
              <w:rPr>
                <w:sz w:val="20"/>
                <w:szCs w:val="20"/>
                <w:color w:val="auto"/>
              </w:rPr>
            </w:pPr>
            <w:r>
              <w:rPr>
                <w:rFonts w:ascii="Arial" w:cs="Arial" w:eastAsia="Arial" w:hAnsi="Arial"/>
                <w:sz w:val="11"/>
                <w:szCs w:val="11"/>
                <w:b w:val="1"/>
                <w:bCs w:val="1"/>
                <w:color w:val="auto"/>
              </w:rPr>
              <w:t>430,555</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b w:val="1"/>
                <w:bCs w:val="1"/>
                <w:color w:val="auto"/>
              </w:rPr>
              <w:t>589,645</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(158,388)</w:t>
            </w: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rPr>
              <w:t>8,419</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(256,603)</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rPr>
              <w:t>3,031</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608,280</w:t>
            </w: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260" w:type="dxa"/>
            <w:vAlign w:val="bottom"/>
          </w:tcPr>
          <w:p>
            <w:pPr>
              <w:ind w:left="20"/>
              <w:spacing w:after="0"/>
              <w:rPr>
                <w:sz w:val="20"/>
                <w:szCs w:val="20"/>
                <w:color w:val="auto"/>
              </w:rPr>
            </w:pPr>
            <w:r>
              <w:rPr>
                <w:rFonts w:ascii="Arial" w:cs="Arial" w:eastAsia="Arial" w:hAnsi="Arial"/>
                <w:sz w:val="11"/>
                <w:szCs w:val="11"/>
                <w:color w:val="auto"/>
              </w:rPr>
              <w:t>Adoption of accounting standards (b)</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54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29,190</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218</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29,408</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1"/>
                <w:szCs w:val="11"/>
                <w:color w:val="auto"/>
                <w:w w:val="99"/>
              </w:rPr>
              <w:t>Compensation and benefits paid or payable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shares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(547)</w:t>
            </w:r>
          </w:p>
        </w:tc>
        <w:tc>
          <w:tcPr>
            <w:tcW w:w="3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(547)</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44</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Class A Common Stock, $0.18 per share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(5,231)</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(5,231)</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Class B Common Stock, $0.18 per share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(582)</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(582)</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(654)</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(662)</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(1,487)</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(1,487)</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(2,851)</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(2,851)</w:t>
            </w: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March 31, 2019</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37,478</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37</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3,234</w:t>
            </w:r>
          </w:p>
        </w:tc>
        <w:tc>
          <w:tcPr>
            <w:tcW w:w="12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26"/>
              <w:spacing w:after="0"/>
              <w:rPr>
                <w:sz w:val="20"/>
                <w:szCs w:val="20"/>
                <w:color w:val="auto"/>
              </w:rPr>
            </w:pPr>
            <w:r>
              <w:rPr>
                <w:rFonts w:ascii="Arial" w:cs="Arial" w:eastAsia="Arial" w:hAnsi="Arial"/>
                <w:sz w:val="11"/>
                <w:szCs w:val="11"/>
                <w:b w:val="1"/>
                <w:bCs w:val="1"/>
                <w:color w:val="auto"/>
              </w:rPr>
              <w:t>430,052</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b w:val="1"/>
                <w:bCs w:val="1"/>
                <w:color w:val="auto"/>
              </w:rPr>
              <w:t>613,057</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(163,380)</w:t>
            </w: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rPr>
              <w:t>8,419</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(256,603)</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rPr>
              <w:t>3,241</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626,407</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34,054</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205</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34,259</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1"/>
                <w:szCs w:val="11"/>
                <w:color w:val="auto"/>
                <w:w w:val="99"/>
              </w:rPr>
              <w:t>Compensation and benefits paid or payable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shares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958</w:t>
            </w:r>
          </w:p>
        </w:tc>
        <w:tc>
          <w:tcPr>
            <w:tcW w:w="3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212</w:t>
            </w:r>
          </w:p>
        </w:tc>
        <w:tc>
          <w:tcPr>
            <w:tcW w:w="4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1,170</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28</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Class A Common Stock, $0.18 per share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(5,523)</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(5,523)</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Class B Common Stock, $0.18 per share</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(291)</w:t>
            </w:r>
          </w:p>
        </w:tc>
        <w:tc>
          <w:tcPr>
            <w:tcW w:w="54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1"/>
                <w:szCs w:val="11"/>
                <w:color w:val="auto"/>
              </w:rPr>
              <w:t>Conversion of Class B shares to Class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shares, rounding</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1,616</w:t>
            </w: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(1,616)</w:t>
            </w:r>
          </w:p>
        </w:tc>
        <w:tc>
          <w:tcPr>
            <w:tcW w:w="1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5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(4,695)</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(4,695)</w:t>
            </w: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June 30, 2019</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39,096</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39</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1,618</w:t>
            </w:r>
          </w:p>
        </w:tc>
        <w:tc>
          <w:tcPr>
            <w:tcW w:w="12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26"/>
              <w:spacing w:after="0"/>
              <w:rPr>
                <w:sz w:val="20"/>
                <w:szCs w:val="20"/>
                <w:color w:val="auto"/>
              </w:rPr>
            </w:pPr>
            <w:r>
              <w:rPr>
                <w:rFonts w:ascii="Arial" w:cs="Arial" w:eastAsia="Arial" w:hAnsi="Arial"/>
                <w:sz w:val="11"/>
                <w:szCs w:val="11"/>
                <w:b w:val="1"/>
                <w:bCs w:val="1"/>
                <w:color w:val="auto"/>
              </w:rPr>
              <w:t>431,037</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b w:val="1"/>
                <w:bCs w:val="1"/>
                <w:color w:val="auto"/>
              </w:rPr>
              <w:t>641,297</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rPr>
              <w:t>(168,116)</w:t>
            </w: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rPr>
              <w:t>8,409</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rPr>
              <w:t>$ (256,391)</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rPr>
              <w:t>3,448</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651,316</w:t>
            </w: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20" w:hanging="332"/>
        <w:spacing w:after="0" w:line="250"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described in Note 1, the Company adopted the provisions of ASC 326, Current Expected Credit Losses (CECL) effective January 1, 2020, which resulted in a decrease to Retained earnings of $1.4 million.</w:t>
      </w:r>
    </w:p>
    <w:p>
      <w:pPr>
        <w:ind w:left="340" w:right="20" w:hanging="332"/>
        <w:spacing w:after="0" w:line="261"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which resulted in an increase to Retained earnings of less than $0.1 million.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Recent Accounting Pronouncements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plan to adopt the new standard effective January 1, 2021. We do not expect the adoption of this update to significantly impact our financial statements.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an accounting update was issued which removes certain exceptions for recognizing deferred taxes for investments and performing intra-period tax allocations. The update also adds guidance to reduce complexity in certain areas, including recognizing deferred taxes for tax goodwill and allocating taxes to members of a consolidated group. We plan to adopt the new standard as of January 1, 2021 and we are assessing the potential impact on our financial statements.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2020, an accounting update was issued which provides optional guidance for a limited time to ease the potential accounting burden associated with transitioning away from reference rates such as LIBOR. The expedients and exceptions provided by this update will not be available after December 31, 2022, other than for certain hedging relationships entered into prior. We are currently assessing the potential impact on our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90" w:lineRule="exact"/>
        <w:rPr>
          <w:sz w:val="20"/>
          <w:szCs w:val="20"/>
          <w:color w:val="auto"/>
        </w:rPr>
      </w:pPr>
    </w:p>
    <w:p>
      <w:pPr>
        <w:ind w:left="98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89"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 and continuation of coronavirus effects for an extended period;</w:t>
      </w:r>
    </w:p>
    <w:p>
      <w:pPr>
        <w:spacing w:after="0" w:line="8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extended weakness in commercial aerospace activity, further delays in the Boeing 737 MAX return to service, or unanticipated reductions in demand, delays, technical difficulties, or delays/cancellations in other aerospace programs;</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has stabilized in recent years,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AEC segment provides long-term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22 percent of the Company’s consolidated Net sales in 2019.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2019, approximately 25 percent of AEC sales were related to U.S. government contracts or programs.</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number of countries, including the United States, have issued orders grounding Boeing 737 MAX aircraft. If these groundings cause a further decrease in demand in production for this aircraft, it could have an adverse impact on demand for LEAP engines, which, in turn, could have an adverse impact on demand for our LEAP engine parts. The Company is continuing to monitor developments with our customer. Considerable uncertainty exists with respect to the return-to-service of the 737-MAX and the subsequent ramp-up in our production of LEAP-1B components, which may lead to additional impacts to our revenues from LEAP-1B components in 2020 and future periods. The nature of our cost-plus fee arrangement, however, should somewhat mitigate the impact of such factors on gross margin rate in such future periods. In April 2020, the Company announced the temporary closure of all three of its LEAP production facilities, resulting from depressed demand, due to the ongoing Boeing 737 MAX situation and a pause in production of the Airbus A320neo family. The resumption of operations at these facilities will be undertaken in coordination with our customer and in compliance with all local, state/provincial, and national guidelines or directives. As a result, the year-over-year comparisons for LEAP revenue in the third quarter are expected to be very unfavorable. While management expects to see some recovery in the later part of the year, management expects that full-year LEAP program revenue will be less than half of that generated in 2019.</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Borders>
              <w:bottom w:val="single" w:sz="8" w:color="auto"/>
            </w:tcBorders>
          </w:tcPr>
          <w:p>
            <w:pPr>
              <w:spacing w:after="0"/>
              <w:rPr>
                <w:sz w:val="17"/>
                <w:szCs w:val="17"/>
                <w:color w:val="auto"/>
              </w:rPr>
            </w:pPr>
          </w:p>
        </w:tc>
      </w:tr>
      <w:tr>
        <w:trPr>
          <w:trHeight w:val="20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153,433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155,016</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3"/>
              <w:spacing w:after="0"/>
              <w:rPr>
                <w:sz w:val="20"/>
                <w:szCs w:val="20"/>
                <w:color w:val="auto"/>
              </w:rPr>
            </w:pPr>
            <w:r>
              <w:rPr>
                <w:rFonts w:ascii="Arial" w:cs="Arial" w:eastAsia="Arial" w:hAnsi="Arial"/>
                <w:sz w:val="16"/>
                <w:szCs w:val="16"/>
                <w:b w:val="1"/>
                <w:bCs w:val="1"/>
                <w:color w:val="auto"/>
              </w:rPr>
              <w:t>290,035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299,349</w:t>
            </w: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72,557</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118,933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171,719</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225,972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3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225,990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273,949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461,754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525,321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2020 Net sales, excluding the impact of currency translation effects, to 2019 Net sales: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Q2 2020 sales on</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Decrease due to</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same basis as Q2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 Change compared</w:t>
            </w:r>
          </w:p>
        </w:tc>
      </w:tr>
      <w:tr>
        <w:trPr>
          <w:trHeight w:val="162"/>
        </w:trPr>
        <w:tc>
          <w:tcPr>
            <w:tcW w:w="3060" w:type="dxa"/>
            <w:vAlign w:val="bottom"/>
          </w:tcPr>
          <w:p>
            <w:pPr>
              <w:spacing w:after="0"/>
              <w:rPr>
                <w:sz w:val="14"/>
                <w:szCs w:val="14"/>
                <w:color w:val="auto"/>
              </w:rPr>
            </w:pPr>
          </w:p>
        </w:tc>
        <w:tc>
          <w:tcPr>
            <w:tcW w:w="2020" w:type="dxa"/>
            <w:vAlign w:val="bottom"/>
            <w:gridSpan w:val="2"/>
          </w:tcPr>
          <w:p>
            <w:pPr>
              <w:ind w:left="620"/>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changes in currency</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2019 currency</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sales as</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to Q2 2019, excluding</w:t>
            </w:r>
          </w:p>
        </w:tc>
      </w:tr>
      <w:tr>
        <w:trPr>
          <w:trHeight w:val="19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reported, Q2 2020</w:t>
            </w: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translation rates</w:t>
            </w: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translation rates</w:t>
            </w: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reported, Q2 2019</w:t>
            </w: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currency rate effects</w:t>
            </w:r>
          </w:p>
        </w:tc>
      </w:tr>
      <w:tr>
        <w:trPr>
          <w:trHeight w:val="223"/>
        </w:trPr>
        <w:tc>
          <w:tcPr>
            <w:tcW w:w="30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02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153,433</w:t>
            </w:r>
          </w:p>
        </w:tc>
        <w:tc>
          <w:tcPr>
            <w:tcW w:w="60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1,559</w:t>
            </w:r>
          </w:p>
        </w:tc>
        <w:tc>
          <w:tcPr>
            <w:tcW w:w="620" w:type="dxa"/>
            <w:vAlign w:val="bottom"/>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154,992</w:t>
            </w:r>
          </w:p>
        </w:tc>
        <w:tc>
          <w:tcPr>
            <w:tcW w:w="50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155,016</w:t>
            </w:r>
          </w:p>
        </w:tc>
        <w:tc>
          <w:tcPr>
            <w:tcW w:w="1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0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72,557</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72,583</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118,933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23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225,990</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1,585</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227,575</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273,949</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378"/>
        </w:trPr>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YTD 2020 sales on</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Decrease due to</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same basis as 2019</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 Change compared</w:t>
            </w:r>
          </w:p>
        </w:tc>
      </w:tr>
      <w:tr>
        <w:trPr>
          <w:trHeight w:val="162"/>
        </w:trPr>
        <w:tc>
          <w:tcPr>
            <w:tcW w:w="3060" w:type="dxa"/>
            <w:vAlign w:val="bottom"/>
          </w:tcPr>
          <w:p>
            <w:pPr>
              <w:spacing w:after="0"/>
              <w:rPr>
                <w:sz w:val="14"/>
                <w:szCs w:val="14"/>
                <w:color w:val="auto"/>
              </w:rPr>
            </w:pPr>
          </w:p>
        </w:tc>
        <w:tc>
          <w:tcPr>
            <w:tcW w:w="2020" w:type="dxa"/>
            <w:vAlign w:val="bottom"/>
            <w:gridSpan w:val="2"/>
          </w:tcPr>
          <w:p>
            <w:pPr>
              <w:ind w:left="620"/>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changes in currency</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currency translation</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sales as</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to 2019, excluding</w:t>
            </w:r>
          </w:p>
        </w:tc>
      </w:tr>
      <w:tr>
        <w:trPr>
          <w:trHeight w:val="19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reported, YTD 2020</w:t>
            </w: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translation rates</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rates</w:t>
            </w:r>
          </w:p>
        </w:tc>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reported, YTD 2019</w:t>
            </w: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currency rate effects</w:t>
            </w:r>
          </w:p>
        </w:tc>
      </w:tr>
      <w:tr>
        <w:trPr>
          <w:trHeight w:val="223"/>
        </w:trPr>
        <w:tc>
          <w:tcPr>
            <w:tcW w:w="30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02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290,035</w:t>
            </w:r>
          </w:p>
        </w:tc>
        <w:tc>
          <w:tcPr>
            <w:tcW w:w="60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3,124</w:t>
            </w:r>
          </w:p>
        </w:tc>
        <w:tc>
          <w:tcPr>
            <w:tcW w:w="620" w:type="dxa"/>
            <w:vAlign w:val="bottom"/>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293,159</w:t>
            </w:r>
          </w:p>
        </w:tc>
        <w:tc>
          <w:tcPr>
            <w:tcW w:w="50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299,349</w:t>
            </w:r>
          </w:p>
        </w:tc>
        <w:tc>
          <w:tcPr>
            <w:tcW w:w="16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0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171,719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172,205</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225,972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3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461,754</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3,610</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465,364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$1.6 million during the second quarter of 2020, as compared to 2019, principally due to the weaker euro and Chinese renminbi in 2020.</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decreased 16.9% compared to the same period in 2019.</w:t>
      </w:r>
    </w:p>
    <w:p>
      <w:pPr>
        <w:spacing w:after="0" w:line="22" w:lineRule="exact"/>
        <w:rPr>
          <w:rFonts w:ascii="Arial" w:cs="Arial" w:eastAsia="Arial" w:hAnsi="Arial"/>
          <w:sz w:val="18"/>
          <w:szCs w:val="18"/>
          <w:color w:val="auto"/>
        </w:rPr>
      </w:pPr>
    </w:p>
    <w:p>
      <w:pPr>
        <w:ind w:left="1300" w:right="60" w:hanging="320"/>
        <w:spacing w:after="0" w:line="230" w:lineRule="auto"/>
        <w:tabs>
          <w:tab w:leader="none" w:pos="1288" w:val="left"/>
        </w:tabs>
        <w:numPr>
          <w:ilvl w:val="1"/>
          <w:numId w:val="10"/>
        </w:numPr>
        <w:rPr>
          <w:rFonts w:ascii="Arial" w:cs="Arial" w:eastAsia="Arial" w:hAnsi="Arial"/>
          <w:sz w:val="20"/>
          <w:szCs w:val="20"/>
          <w:color w:val="auto"/>
        </w:rPr>
      </w:pPr>
      <w:r>
        <w:rPr>
          <w:rFonts w:ascii="Arial" w:cs="Arial" w:eastAsia="Arial" w:hAnsi="Arial"/>
          <w:sz w:val="18"/>
          <w:szCs w:val="18"/>
          <w:color w:val="auto"/>
        </w:rPr>
        <w:t>Net sales in MC were flat compared to the second quarter of 2019, as growth in sales for tissue, pulp, and packaging grades were almost completely offset by declines in publications grades and in engineered fabrics.</w:t>
      </w:r>
    </w:p>
    <w:p>
      <w:pPr>
        <w:spacing w:after="0" w:line="94" w:lineRule="exact"/>
        <w:rPr>
          <w:rFonts w:ascii="Arial" w:cs="Arial" w:eastAsia="Arial" w:hAnsi="Arial"/>
          <w:sz w:val="20"/>
          <w:szCs w:val="20"/>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AEC decreased 39% primarily driven by decline in LEAP program sales.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$3.6 million during the first six months of 2020, as compared to 2019, principally due to the weaker euro and Chinese renminbi in 2020.</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decreased 11.4% compared to the same period in 2019.</w:t>
      </w:r>
    </w:p>
    <w:p>
      <w:pPr>
        <w:spacing w:after="0" w:line="22" w:lineRule="exact"/>
        <w:rPr>
          <w:rFonts w:ascii="Arial" w:cs="Arial" w:eastAsia="Arial" w:hAnsi="Arial"/>
          <w:sz w:val="18"/>
          <w:szCs w:val="18"/>
          <w:color w:val="auto"/>
        </w:rPr>
      </w:pPr>
    </w:p>
    <w:p>
      <w:pPr>
        <w:ind w:left="1300" w:right="360" w:hanging="320"/>
        <w:spacing w:after="0" w:line="230" w:lineRule="auto"/>
        <w:tabs>
          <w:tab w:leader="none" w:pos="1288" w:val="left"/>
        </w:tabs>
        <w:numPr>
          <w:ilvl w:val="1"/>
          <w:numId w:val="11"/>
        </w:numPr>
        <w:rPr>
          <w:rFonts w:ascii="Arial" w:cs="Arial" w:eastAsia="Arial" w:hAnsi="Arial"/>
          <w:sz w:val="20"/>
          <w:szCs w:val="20"/>
          <w:color w:val="auto"/>
        </w:rPr>
      </w:pPr>
      <w:r>
        <w:rPr>
          <w:rFonts w:ascii="Arial" w:cs="Arial" w:eastAsia="Arial" w:hAnsi="Arial"/>
          <w:sz w:val="18"/>
          <w:szCs w:val="18"/>
          <w:color w:val="auto"/>
        </w:rPr>
        <w:t>Net sales in MC decreased 2.1% compared to the first six months of 2019. A decline in sales for the publication and pulp grades sales was partially offset by an increase in packaging grades.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 AEC decreased 23.8% primarily driven by decline in LEAP program sales.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23"/>
        </w:trPr>
        <w:tc>
          <w:tcPr>
            <w:tcW w:w="52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42"/>
              <w:spacing w:after="0"/>
              <w:rPr>
                <w:sz w:val="20"/>
                <w:szCs w:val="20"/>
                <w:color w:val="auto"/>
              </w:rPr>
            </w:pPr>
            <w:r>
              <w:rPr>
                <w:rFonts w:ascii="Arial" w:cs="Arial" w:eastAsia="Arial" w:hAnsi="Arial"/>
                <w:sz w:val="16"/>
                <w:szCs w:val="16"/>
                <w:b w:val="1"/>
                <w:bCs w:val="1"/>
                <w:color w:val="auto"/>
              </w:rPr>
              <w:t>83,612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80,287</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156,264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154,815</w:t>
            </w:r>
          </w:p>
        </w:tc>
      </w:tr>
      <w:tr>
        <w:trPr>
          <w:trHeight w:val="25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19,368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24,895</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36,188</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42,138</w:t>
            </w: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102,980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105,182</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192,452</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196,953</w:t>
            </w:r>
          </w:p>
        </w:tc>
      </w:tr>
      <w:tr>
        <w:trPr>
          <w:trHeight w:val="23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38.4 %</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41.7 %</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37.5 %</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right="20" w:firstLine="324"/>
        <w:spacing w:after="0" w:line="248" w:lineRule="auto"/>
        <w:rPr>
          <w:sz w:val="20"/>
          <w:szCs w:val="20"/>
          <w:color w:val="auto"/>
        </w:rPr>
      </w:pPr>
      <w:r>
        <w:rPr>
          <w:rFonts w:ascii="Arial" w:cs="Arial" w:eastAsia="Arial" w:hAnsi="Arial"/>
          <w:sz w:val="18"/>
          <w:szCs w:val="18"/>
          <w:color w:val="auto"/>
        </w:rPr>
        <w:t>The decrease in 2020 Gross profit, as compared to the same period in 2019, was principally due to the effect of lower Net sales in AEC, partially offset by an increase in gross profit as a percentage of sales. Gross profit as a percentage of sales:</w:t>
      </w:r>
    </w:p>
    <w:p>
      <w:pPr>
        <w:spacing w:after="0" w:line="18" w:lineRule="exact"/>
        <w:rPr>
          <w:sz w:val="20"/>
          <w:szCs w:val="20"/>
          <w:color w:val="auto"/>
        </w:rPr>
      </w:pPr>
    </w:p>
    <w:p>
      <w:pPr>
        <w:ind w:left="980" w:right="80" w:hanging="324"/>
        <w:spacing w:after="0" w:line="229"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18"/>
          <w:szCs w:val="18"/>
          <w:color w:val="auto"/>
        </w:rPr>
        <w:t>Increased from 51.8% in 2019 to 54.5% in 2020 in Machine Clothing, principally due to favorable foreign currency movements (a weaker Brazilian real and Mexican peso), efficiency gains, and reduced depreciation expense.</w:t>
      </w:r>
    </w:p>
    <w:p>
      <w:pPr>
        <w:spacing w:after="0" w:line="1" w:lineRule="exact"/>
        <w:rPr>
          <w:rFonts w:ascii="Arial" w:cs="Arial" w:eastAsia="Arial" w:hAnsi="Arial"/>
          <w:sz w:val="20"/>
          <w:szCs w:val="20"/>
          <w:color w:val="auto"/>
        </w:rPr>
      </w:pPr>
    </w:p>
    <w:p>
      <w:pPr>
        <w:ind w:left="980" w:right="460" w:hanging="324"/>
        <w:spacing w:after="0" w:line="231"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18"/>
          <w:szCs w:val="18"/>
          <w:color w:val="auto"/>
        </w:rPr>
        <w:t>Increased from 20.9% in 2019 to 26.7% in 2020 in AEC, driven by a favorable shift in the mix of program revenue and an increase in favorable adjustments to the estimated profitability of long-term contracts, which increased second quarter 2020 Gross profit over $7 million, compared to $5 million in the second quarter of 2019.</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The decrease in 2020 Gross profit, as compared to the same period in 2019, was principally due to the effect of lower Net sales in AEC, partially offset by an increase in gross profit as a percentage of sales. Gross profit as a percentage of sales:</w:t>
      </w:r>
    </w:p>
    <w:p>
      <w:pPr>
        <w:spacing w:after="0" w:line="1" w:lineRule="exact"/>
        <w:rPr>
          <w:sz w:val="20"/>
          <w:szCs w:val="20"/>
          <w:color w:val="auto"/>
        </w:rPr>
      </w:pPr>
    </w:p>
    <w:p>
      <w:pPr>
        <w:ind w:left="980" w:right="240" w:hanging="324"/>
        <w:spacing w:after="0" w:line="246"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from 51.7% in 2019 to 53.9% in 2020 in Machine Clothing, principally due to lower depreciation expense. The gross profit margin in 2020 was also favorably impacted by a weaker Brazilian real and Mexican peso.</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from 18.6% in 2019 to 21.1% in 2020 in AEC, principally due to a favorable shift in the mix of program revenue.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23"/>
        </w:trPr>
        <w:tc>
          <w:tcPr>
            <w:tcW w:w="52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42"/>
              <w:spacing w:after="0"/>
              <w:rPr>
                <w:sz w:val="20"/>
                <w:szCs w:val="20"/>
                <w:color w:val="auto"/>
              </w:rPr>
            </w:pPr>
            <w:r>
              <w:rPr>
                <w:rFonts w:ascii="Arial" w:cs="Arial" w:eastAsia="Arial" w:hAnsi="Arial"/>
                <w:sz w:val="16"/>
                <w:szCs w:val="16"/>
                <w:b w:val="1"/>
                <w:bCs w:val="1"/>
                <w:color w:val="auto"/>
              </w:rPr>
              <w:t>26,682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29,814</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51,517</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59,700</w:t>
            </w:r>
          </w:p>
        </w:tc>
      </w:tr>
      <w:tr>
        <w:trPr>
          <w:trHeight w:val="243"/>
        </w:trPr>
        <w:tc>
          <w:tcPr>
            <w:tcW w:w="52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21"/>
                <w:szCs w:val="21"/>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b w:val="1"/>
                <w:bCs w:val="1"/>
                <w:color w:val="auto"/>
              </w:rPr>
              <w:t>8,821</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7,195</w:t>
            </w:r>
          </w:p>
        </w:tc>
        <w:tc>
          <w:tcPr>
            <w:tcW w:w="380" w:type="dxa"/>
            <w:vAlign w:val="bottom"/>
          </w:tcPr>
          <w:p>
            <w:pPr>
              <w:spacing w:after="0"/>
              <w:rPr>
                <w:sz w:val="21"/>
                <w:szCs w:val="21"/>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18,018</w:t>
            </w:r>
          </w:p>
        </w:tc>
        <w:tc>
          <w:tcPr>
            <w:tcW w:w="380" w:type="dxa"/>
            <w:vAlign w:val="bottom"/>
          </w:tcPr>
          <w:p>
            <w:pPr>
              <w:spacing w:after="0"/>
              <w:rPr>
                <w:sz w:val="21"/>
                <w:szCs w:val="21"/>
                <w:color w:val="auto"/>
              </w:rPr>
            </w:pP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14,832</w:t>
            </w:r>
          </w:p>
        </w:tc>
      </w:tr>
      <w:tr>
        <w:trPr>
          <w:trHeight w:val="25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11,913</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13,049</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27,117</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26,720</w:t>
            </w:r>
          </w:p>
        </w:tc>
      </w:tr>
      <w:tr>
        <w:trPr>
          <w:trHeight w:val="23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47,416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50,058</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96,652</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101,252</w:t>
            </w: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18.3 %</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20.9 %</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overall decrease in STG&amp;R expenses in the second quarter of 2020, compared to the same period in 2019, was principally due to the net effect of the following individually significant items:</w:t>
      </w:r>
    </w:p>
    <w:p>
      <w:pPr>
        <w:spacing w:after="0" w:line="346" w:lineRule="exact"/>
        <w:rPr>
          <w:sz w:val="20"/>
          <w:szCs w:val="20"/>
          <w:color w:val="auto"/>
        </w:rPr>
      </w:pPr>
    </w:p>
    <w:p>
      <w:pPr>
        <w:ind w:left="980" w:right="560" w:hanging="324"/>
        <w:spacing w:after="0" w:line="231" w:lineRule="auto"/>
        <w:tabs>
          <w:tab w:leader="none" w:pos="968" w:val="left"/>
        </w:tabs>
        <w:numPr>
          <w:ilvl w:val="0"/>
          <w:numId w:val="15"/>
        </w:numPr>
        <w:rPr>
          <w:rFonts w:ascii="Arial" w:cs="Arial" w:eastAsia="Arial" w:hAnsi="Arial"/>
          <w:sz w:val="20"/>
          <w:szCs w:val="20"/>
          <w:color w:val="auto"/>
        </w:rPr>
      </w:pPr>
      <w:r>
        <w:rPr>
          <w:rFonts w:ascii="Arial" w:cs="Arial" w:eastAsia="Arial" w:hAnsi="Arial"/>
          <w:sz w:val="18"/>
          <w:szCs w:val="18"/>
          <w:color w:val="auto"/>
        </w:rPr>
        <w:t>In MC, revaluation of nonfunctional currency assets and liabilities resulted in second-quarter losses of $1.1 million in 2020, compared to losses of $0.3 million in 2019. Travel expenses were significantly lower in 2020, as a result of the COVID-19 pandemic.</w:t>
      </w:r>
    </w:p>
    <w:p>
      <w:pPr>
        <w:spacing w:after="0" w:line="95" w:lineRule="exact"/>
        <w:rPr>
          <w:rFonts w:ascii="Arial" w:cs="Arial" w:eastAsia="Arial" w:hAnsi="Arial"/>
          <w:sz w:val="20"/>
          <w:szCs w:val="20"/>
          <w:color w:val="auto"/>
        </w:rPr>
      </w:pPr>
    </w:p>
    <w:p>
      <w:pPr>
        <w:ind w:left="980" w:right="20" w:hanging="324"/>
        <w:spacing w:after="0" w:line="261"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AEC, STG&amp;R expenses increased $1.6 million, principally due STG&amp;R costs of CirComp, which the Company acquired in November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overall decrease in STG&amp;R expenses in the first six months of 2020, compared to the same period in 2019, was principally due to the net effect of the following individually significant items:</w:t>
      </w:r>
    </w:p>
    <w:p>
      <w:pPr>
        <w:spacing w:after="0" w:line="225" w:lineRule="exact"/>
        <w:rPr>
          <w:sz w:val="20"/>
          <w:szCs w:val="20"/>
          <w:color w:val="auto"/>
        </w:rPr>
      </w:pPr>
    </w:p>
    <w:p>
      <w:pPr>
        <w:ind w:left="660" w:right="120" w:hanging="328"/>
        <w:spacing w:after="0" w:line="23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a gain of $2.6 million in the first six months of 2020, compared to a loss of $0.3 million in 2019. Travel expenses were significantly lower in 2020, as a result of the COVID-19 pandemic. The factors above were partially offset by a charge of $1.0 million in the first quarter of 2020 for additional estimated credit losses recognized in accordance with ASC 326.</w:t>
      </w:r>
    </w:p>
    <w:p>
      <w:pPr>
        <w:spacing w:after="0" w:line="231"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AEC, STG&amp;R expenses increased due to expenses at CirComp, which the Company acquired in November 2019, and a charge of $0.5 million in the first quarter of 2020 for additional estimated credit losses recognized in accordance with ASC 326.</w:t>
      </w:r>
    </w:p>
    <w:p>
      <w:pPr>
        <w:spacing w:after="0" w:line="223"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STG&amp;R expenses increased principally due to former CEO termination costs, partially offset by lower professional fees and travel expenses.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$3.5 million in the first six months of 2020, and $1.4 million for the same period in 2019.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388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935</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1,030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1,336</w:t>
            </w: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2,248</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2,248</w:t>
            </w:r>
          </w:p>
        </w:tc>
        <w:tc>
          <w:tcPr>
            <w:tcW w:w="44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51</w:t>
            </w:r>
          </w:p>
        </w:tc>
      </w:tr>
      <w:tr>
        <w:trPr>
          <w:trHeight w:val="25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r>
      <w:tr>
        <w:trPr>
          <w:trHeight w:val="23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2,837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899</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3,479</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1,383</w:t>
            </w:r>
          </w:p>
        </w:tc>
      </w:tr>
    </w:tbl>
    <w:p>
      <w:pPr>
        <w:spacing w:after="0" w:line="350" w:lineRule="exact"/>
        <w:rPr>
          <w:sz w:val="20"/>
          <w:szCs w:val="20"/>
          <w:color w:val="auto"/>
        </w:rPr>
      </w:pPr>
    </w:p>
    <w:p>
      <w:pPr>
        <w:ind w:right="180" w:firstLine="324"/>
        <w:spacing w:after="0"/>
        <w:rPr>
          <w:sz w:val="20"/>
          <w:szCs w:val="20"/>
          <w:color w:val="auto"/>
        </w:rPr>
      </w:pPr>
      <w:r>
        <w:rPr>
          <w:rFonts w:ascii="Arial" w:cs="Arial" w:eastAsia="Arial" w:hAnsi="Arial"/>
          <w:sz w:val="18"/>
          <w:szCs w:val="18"/>
          <w:color w:val="auto"/>
        </w:rPr>
        <w:t>In the second quarter of 2020, AEC reduced its workforce at various locations, principally in the United States, leading to restructuring charges of $ 2.2 million. As a result of these actions, annual cost savings associated with this action will principally lower Cost of goods sold and Selling, general, and administrative expenses in 2020.</w:t>
      </w:r>
    </w:p>
    <w:p>
      <w:pPr>
        <w:spacing w:after="0" w:line="230"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Machine Clothing restructuring charges include expenses for the first six months of 2020 and 2019 principally related to discontinued operations at its production facility in Sélestat, France announced in 2017. The restructuring program was driven by the Company’s need to balance manufacturing capacity with demand. Since 2017, we have recorded $13.1 million of restructuring charges related to this action. Annual cost savings associated with this action has resulted in lower cost of goods sold.</w:t>
      </w:r>
    </w:p>
    <w:p>
      <w:pPr>
        <w:spacing w:after="0" w:line="232" w:lineRule="exact"/>
        <w:rPr>
          <w:sz w:val="20"/>
          <w:szCs w:val="20"/>
          <w:color w:val="auto"/>
        </w:rPr>
      </w:pPr>
    </w:p>
    <w:p>
      <w:pPr>
        <w:ind w:right="100" w:firstLine="324"/>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56,543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61"/>
              <w:spacing w:after="0"/>
              <w:rPr>
                <w:sz w:val="20"/>
                <w:szCs w:val="20"/>
                <w:color w:val="auto"/>
              </w:rPr>
            </w:pPr>
            <w:r>
              <w:rPr>
                <w:rFonts w:ascii="Arial" w:cs="Arial" w:eastAsia="Arial" w:hAnsi="Arial"/>
                <w:sz w:val="16"/>
                <w:szCs w:val="16"/>
                <w:color w:val="auto"/>
                <w:w w:val="98"/>
              </w:rPr>
              <w:t>49,538</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b w:val="1"/>
                <w:bCs w:val="1"/>
                <w:color w:val="auto"/>
              </w:rPr>
              <w:t>103,718</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center"/>
              <w:ind w:left="361"/>
              <w:spacing w:after="0"/>
              <w:rPr>
                <w:sz w:val="20"/>
                <w:szCs w:val="20"/>
                <w:color w:val="auto"/>
              </w:rPr>
            </w:pPr>
            <w:r>
              <w:rPr>
                <w:rFonts w:ascii="Arial" w:cs="Arial" w:eastAsia="Arial" w:hAnsi="Arial"/>
                <w:sz w:val="16"/>
                <w:szCs w:val="16"/>
                <w:color w:val="auto"/>
                <w:w w:val="98"/>
              </w:rPr>
              <w:t>93,781</w:t>
            </w: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8,299</w:t>
            </w:r>
          </w:p>
        </w:tc>
        <w:tc>
          <w:tcPr>
            <w:tcW w:w="340" w:type="dxa"/>
            <w:vAlign w:val="bottom"/>
          </w:tcPr>
          <w:p>
            <w:pPr>
              <w:spacing w:after="0"/>
              <w:rPr>
                <w:sz w:val="21"/>
                <w:szCs w:val="21"/>
                <w:color w:val="auto"/>
              </w:rPr>
            </w:pPr>
          </w:p>
        </w:tc>
        <w:tc>
          <w:tcPr>
            <w:tcW w:w="960" w:type="dxa"/>
            <w:vAlign w:val="bottom"/>
          </w:tcPr>
          <w:p>
            <w:pPr>
              <w:jc w:val="center"/>
              <w:ind w:left="161"/>
              <w:spacing w:after="0"/>
              <w:rPr>
                <w:sz w:val="20"/>
                <w:szCs w:val="20"/>
                <w:color w:val="auto"/>
              </w:rPr>
            </w:pPr>
            <w:r>
              <w:rPr>
                <w:rFonts w:ascii="Arial" w:cs="Arial" w:eastAsia="Arial" w:hAnsi="Arial"/>
                <w:sz w:val="16"/>
                <w:szCs w:val="16"/>
                <w:color w:val="auto"/>
                <w:w w:val="98"/>
              </w:rPr>
              <w:t>17,732</w:t>
            </w:r>
          </w:p>
        </w:tc>
        <w:tc>
          <w:tcPr>
            <w:tcW w:w="42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b w:val="1"/>
                <w:bCs w:val="1"/>
                <w:color w:val="auto"/>
              </w:rPr>
              <w:t>15,922</w:t>
            </w:r>
          </w:p>
        </w:tc>
        <w:tc>
          <w:tcPr>
            <w:tcW w:w="420" w:type="dxa"/>
            <w:vAlign w:val="bottom"/>
          </w:tcPr>
          <w:p>
            <w:pPr>
              <w:spacing w:after="0"/>
              <w:rPr>
                <w:sz w:val="21"/>
                <w:szCs w:val="21"/>
                <w:color w:val="auto"/>
              </w:rPr>
            </w:pPr>
          </w:p>
        </w:tc>
        <w:tc>
          <w:tcPr>
            <w:tcW w:w="1240" w:type="dxa"/>
            <w:vAlign w:val="bottom"/>
          </w:tcPr>
          <w:p>
            <w:pPr>
              <w:jc w:val="center"/>
              <w:ind w:left="361"/>
              <w:spacing w:after="0"/>
              <w:rPr>
                <w:sz w:val="20"/>
                <w:szCs w:val="20"/>
                <w:color w:val="auto"/>
              </w:rPr>
            </w:pPr>
            <w:r>
              <w:rPr>
                <w:rFonts w:ascii="Arial" w:cs="Arial" w:eastAsia="Arial" w:hAnsi="Arial"/>
                <w:sz w:val="16"/>
                <w:szCs w:val="16"/>
                <w:color w:val="auto"/>
                <w:w w:val="98"/>
              </w:rPr>
              <w:t>27,254</w:t>
            </w:r>
          </w:p>
        </w:tc>
      </w:tr>
      <w:tr>
        <w:trPr>
          <w:trHeight w:val="25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(12,115)</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color w:val="auto"/>
              </w:rPr>
              <w:t>(13,045)</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(27,319)</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341"/>
              <w:spacing w:after="0"/>
              <w:rPr>
                <w:sz w:val="20"/>
                <w:szCs w:val="20"/>
                <w:color w:val="auto"/>
              </w:rPr>
            </w:pPr>
            <w:r>
              <w:rPr>
                <w:rFonts w:ascii="Arial" w:cs="Arial" w:eastAsia="Arial" w:hAnsi="Arial"/>
                <w:sz w:val="16"/>
                <w:szCs w:val="16"/>
                <w:color w:val="auto"/>
              </w:rPr>
              <w:t>(26,717)</w:t>
            </w:r>
          </w:p>
        </w:tc>
      </w:tr>
      <w:tr>
        <w:trPr>
          <w:trHeight w:val="23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52,727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w w:val="98"/>
              </w:rPr>
              <w:t>54,225</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92,321</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98"/>
              </w:rPr>
              <w:t>94,318</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3,823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4,631</w:t>
            </w:r>
          </w:p>
        </w:tc>
        <w:tc>
          <w:tcPr>
            <w:tcW w:w="4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b w:val="1"/>
                <w:bCs w:val="1"/>
                <w:color w:val="auto"/>
              </w:rPr>
              <w:t>7,800</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9,048</w:t>
            </w: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20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1,091</w:t>
            </w:r>
          </w:p>
        </w:tc>
        <w:tc>
          <w:tcPr>
            <w:tcW w:w="36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930</w:t>
            </w:r>
          </w:p>
        </w:tc>
        <w:tc>
          <w:tcPr>
            <w:tcW w:w="44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b w:val="1"/>
                <w:bCs w:val="1"/>
                <w:color w:val="auto"/>
              </w:rPr>
              <w:t>16,660</w:t>
            </w:r>
          </w:p>
        </w:tc>
        <w:tc>
          <w:tcPr>
            <w:tcW w:w="42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(278)</w:t>
            </w: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15,364</w:t>
            </w:r>
          </w:p>
        </w:tc>
        <w:tc>
          <w:tcPr>
            <w:tcW w:w="36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14,405</w:t>
            </w:r>
          </w:p>
        </w:tc>
        <w:tc>
          <w:tcPr>
            <w:tcW w:w="44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b w:val="1"/>
                <w:bCs w:val="1"/>
                <w:color w:val="auto"/>
              </w:rPr>
              <w:t>27,818</w:t>
            </w:r>
          </w:p>
        </w:tc>
        <w:tc>
          <w:tcPr>
            <w:tcW w:w="42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21,881</w:t>
            </w:r>
          </w:p>
        </w:tc>
      </w:tr>
      <w:tr>
        <w:trPr>
          <w:trHeight w:val="25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95</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205</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(1,420)</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423</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Year-to-date 2020 Interest expense, net, was lower as compared to 2019 due to lower average debt and lower interest rates. See the Capital Resources section for further discussion of borrowings and interest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Other (income)/expense, net included the following individually significant items:</w:t>
      </w:r>
    </w:p>
    <w:p>
      <w:pPr>
        <w:spacing w:after="0" w:line="374" w:lineRule="exact"/>
        <w:rPr>
          <w:sz w:val="20"/>
          <w:szCs w:val="20"/>
          <w:color w:val="auto"/>
        </w:rPr>
      </w:pPr>
    </w:p>
    <w:p>
      <w:pPr>
        <w:jc w:val="both"/>
        <w:ind w:left="980" w:right="580" w:hanging="324"/>
        <w:spacing w:after="0" w:line="231" w:lineRule="auto"/>
        <w:tabs>
          <w:tab w:leader="none" w:pos="968"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revaluation of nonfunctional currency cash and intercompany balances resulted in a loss of $0.3 million in the second quarter of 2019 and a negligible effect in the same period of 2020. In the second quarter of 2020, we recorded a charge of $0.4 million related to a pension settlement/curtailment, while no similar item occurred in the same period of 2019.</w:t>
      </w:r>
    </w:p>
    <w:p>
      <w:pPr>
        <w:spacing w:after="0" w:line="244" w:lineRule="exact"/>
        <w:rPr>
          <w:rFonts w:ascii="Arial" w:cs="Arial" w:eastAsia="Arial" w:hAnsi="Arial"/>
          <w:sz w:val="20"/>
          <w:szCs w:val="20"/>
          <w:color w:val="auto"/>
        </w:rPr>
      </w:pPr>
    </w:p>
    <w:p>
      <w:pPr>
        <w:ind w:left="980" w:right="60" w:hanging="324"/>
        <w:spacing w:after="0" w:line="226" w:lineRule="auto"/>
        <w:tabs>
          <w:tab w:leader="none" w:pos="968" w:val="left"/>
        </w:tabs>
        <w:numPr>
          <w:ilvl w:val="0"/>
          <w:numId w:val="17"/>
        </w:numPr>
        <w:rPr>
          <w:rFonts w:ascii="Arial" w:cs="Arial" w:eastAsia="Arial" w:hAnsi="Arial"/>
          <w:sz w:val="20"/>
          <w:szCs w:val="20"/>
          <w:color w:val="auto"/>
          <w:highlight w:val="yellow"/>
        </w:rPr>
      </w:pPr>
      <w:r>
        <w:rPr>
          <w:rFonts w:ascii="Arial" w:cs="Arial" w:eastAsia="Arial" w:hAnsi="Arial"/>
          <w:sz w:val="18"/>
          <w:szCs w:val="18"/>
          <w:color w:val="auto"/>
        </w:rPr>
        <w:t>For the first six months of 2020, revaluation of nonfunctional currency cash and intercompany balances resulted in a loss of $14.9 million, compared to a net gain of $1.7 million in 2019. The loss in 2020 principally resulted from an intercompany demand loan payable by a Mexican subsidiary, combined with the effects of a much weaker peso in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3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261" w:lineRule="exact"/>
        <w:rPr>
          <w:sz w:val="20"/>
          <w:szCs w:val="20"/>
          <w:color w:val="auto"/>
        </w:rPr>
      </w:pPr>
    </w:p>
    <w:p>
      <w:pPr>
        <w:jc w:val="both"/>
        <w:ind w:right="80" w:firstLine="324"/>
        <w:spacing w:after="0"/>
        <w:rPr>
          <w:sz w:val="20"/>
          <w:szCs w:val="20"/>
          <w:color w:val="auto"/>
        </w:rPr>
      </w:pPr>
      <w:r>
        <w:rPr>
          <w:rFonts w:ascii="Arial" w:cs="Arial" w:eastAsia="Arial" w:hAnsi="Arial"/>
          <w:sz w:val="18"/>
          <w:szCs w:val="18"/>
          <w:color w:val="auto"/>
        </w:rPr>
        <w:t>The Company’s effective tax rates for the second quarter of 2020 and 2019 were 32.1% and 29.6%, respectively, and for the first half of 2020 and 2019, were 41.0% and 25.6%, respectively. The tax rate is affected by recurring items, such as the income tax rate in the U.S. and in non-U.S. jurisdictions and the mix of income earned in those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jurisdictions. The tax rate is also affected by U.S. tax costs on foreign earnings, and by discrete items that may occur in any given year but are not consistent from year to year.</w:t>
      </w:r>
    </w:p>
    <w:p>
      <w:pPr>
        <w:spacing w:after="0" w:line="224"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second quarter of 2020 and 2019 included the following (percentages reflect the effect of each item as a percentage of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160020</wp:posOffset>
            </wp:positionV>
            <wp:extent cx="4603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279" w:lineRule="exact"/>
        <w:rPr>
          <w:sz w:val="20"/>
          <w:szCs w:val="20"/>
          <w:color w:val="auto"/>
        </w:rPr>
      </w:pPr>
    </w:p>
    <w:p>
      <w:pPr>
        <w:jc w:val="center"/>
        <w:ind w:left="23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wp:posOffset>
            </wp:positionV>
            <wp:extent cx="18427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49" w:lineRule="exact"/>
        <w:rPr>
          <w:sz w:val="20"/>
          <w:szCs w:val="20"/>
          <w:color w:val="auto"/>
        </w:rPr>
      </w:pPr>
    </w:p>
    <w:p>
      <w:pPr>
        <w:ind w:left="3400"/>
        <w:spacing w:after="0"/>
        <w:tabs>
          <w:tab w:leader="none" w:pos="5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2134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49"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50" w:lineRule="exact"/>
        <w:rPr>
          <w:sz w:val="20"/>
          <w:szCs w:val="20"/>
          <w:color w:val="auto"/>
        </w:rPr>
      </w:pPr>
    </w:p>
    <w:p>
      <w:pPr>
        <w:sectPr>
          <w:pgSz w:w="11900" w:h="16838" w:orient="portrait"/>
          <w:cols w:equalWidth="0" w:num="2">
            <w:col w:w="6700" w:space="720"/>
            <w:col w:w="3820"/>
          </w:cols>
          <w:pgMar w:left="320" w:top="12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Tax</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0" w:type="dxa"/>
            <w:vAlign w:val="bottom"/>
            <w:vMerge w:val="restart"/>
          </w:tcPr>
          <w:p>
            <w:pPr>
              <w:jc w:val="right"/>
              <w:ind w:right="53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Tax Amount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Tax Amount</w:t>
            </w:r>
          </w:p>
        </w:tc>
        <w:tc>
          <w:tcPr>
            <w:tcW w:w="10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Tax Amount</w:t>
            </w: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6"/>
                <w:szCs w:val="16"/>
                <w:color w:val="auto"/>
              </w:rPr>
              <w:t>Continuing Operations (excluding discrete</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16,262</w:t>
            </w: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 xml:space="preserve">34.0 % </w:t>
            </w: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 xml:space="preserve">28.4 % </w:t>
            </w:r>
            <w:r>
              <w:rPr>
                <w:rFonts w:ascii="Arial" w:cs="Arial" w:eastAsia="Arial" w:hAnsi="Arial"/>
                <w:sz w:val="16"/>
                <w:szCs w:val="16"/>
                <w:b w:val="1"/>
                <w:bCs w:val="1"/>
                <w:color w:val="auto"/>
              </w:rPr>
              <w:t>$</w:t>
            </w: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23,081</w:t>
            </w:r>
          </w:p>
        </w:tc>
        <w:tc>
          <w:tcPr>
            <w:tcW w:w="100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 xml:space="preserve">34.0 % </w:t>
            </w: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Arial" w:cs="Arial" w:eastAsia="Arial" w:hAnsi="Arial"/>
                <w:sz w:val="16"/>
                <w:szCs w:val="16"/>
                <w:color w:val="auto"/>
              </w:rPr>
              <w:t>items)</w:t>
            </w: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13,821</w:t>
            </w:r>
          </w:p>
        </w:tc>
        <w:tc>
          <w:tcPr>
            <w:tcW w:w="9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24,286</w:t>
            </w:r>
          </w:p>
        </w:tc>
        <w:tc>
          <w:tcPr>
            <w:tcW w:w="720" w:type="dxa"/>
            <w:vAlign w:val="bottom"/>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392"/>
        </w:trPr>
        <w:tc>
          <w:tcPr>
            <w:tcW w:w="3060" w:type="dxa"/>
            <w:vAlign w:val="bottom"/>
          </w:tcPr>
          <w:p>
            <w:pPr>
              <w:ind w:left="20"/>
              <w:spacing w:after="0"/>
              <w:rPr>
                <w:sz w:val="20"/>
                <w:szCs w:val="20"/>
                <w:color w:val="auto"/>
              </w:rPr>
            </w:pPr>
            <w:r>
              <w:rPr>
                <w:rFonts w:ascii="Arial" w:cs="Arial" w:eastAsia="Arial" w:hAnsi="Arial"/>
                <w:sz w:val="16"/>
                <w:szCs w:val="16"/>
                <w:color w:val="auto"/>
              </w:rPr>
              <w:t>Audit settlements</w:t>
            </w:r>
          </w:p>
        </w:tc>
        <w:tc>
          <w:tcPr>
            <w:tcW w:w="24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(1,492)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80" w:type="dxa"/>
            <w:vAlign w:val="bottom"/>
          </w:tcPr>
          <w:p>
            <w:pPr>
              <w:spacing w:after="0"/>
              <w:rPr>
                <w:sz w:val="24"/>
                <w:szCs w:val="24"/>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(1,492)</w:t>
            </w:r>
          </w:p>
        </w:tc>
        <w:tc>
          <w:tcPr>
            <w:tcW w:w="1000" w:type="dxa"/>
            <w:vAlign w:val="bottom"/>
          </w:tcPr>
          <w:p>
            <w:pPr>
              <w:jc w:val="right"/>
              <w:ind w:right="138"/>
              <w:spacing w:after="0"/>
              <w:rPr>
                <w:sz w:val="20"/>
                <w:szCs w:val="20"/>
                <w:color w:val="auto"/>
              </w:rPr>
            </w:pPr>
            <w:r>
              <w:rPr>
                <w:rFonts w:ascii="Arial" w:cs="Arial" w:eastAsia="Arial" w:hAnsi="Arial"/>
                <w:sz w:val="16"/>
                <w:szCs w:val="16"/>
                <w:b w:val="1"/>
                <w:bCs w:val="1"/>
                <w:color w:val="auto"/>
              </w:rPr>
              <w:t>(2.2)%</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6"/>
                <w:szCs w:val="16"/>
                <w:color w:val="auto"/>
              </w:rPr>
              <w:t>Changes in uncertain tax positions</w:t>
            </w:r>
          </w:p>
        </w:tc>
        <w:tc>
          <w:tcPr>
            <w:tcW w:w="240" w:type="dxa"/>
            <w:vAlign w:val="bottom"/>
          </w:tcPr>
          <w:p>
            <w:pPr>
              <w:spacing w:after="0"/>
              <w:rPr>
                <w:sz w:val="21"/>
                <w:szCs w:val="21"/>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80" w:type="dxa"/>
            <w:vAlign w:val="bottom"/>
          </w:tcPr>
          <w:p>
            <w:pPr>
              <w:spacing w:after="0"/>
              <w:rPr>
                <w:sz w:val="21"/>
                <w:szCs w:val="21"/>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(241)</w:t>
            </w:r>
          </w:p>
        </w:tc>
        <w:tc>
          <w:tcPr>
            <w:tcW w:w="1000" w:type="dxa"/>
            <w:vAlign w:val="bottom"/>
          </w:tcPr>
          <w:p>
            <w:pPr>
              <w:jc w:val="right"/>
              <w:ind w:right="138"/>
              <w:spacing w:after="0"/>
              <w:rPr>
                <w:sz w:val="20"/>
                <w:szCs w:val="20"/>
                <w:color w:val="auto"/>
              </w:rPr>
            </w:pPr>
            <w:r>
              <w:rPr>
                <w:rFonts w:ascii="Arial" w:cs="Arial" w:eastAsia="Arial" w:hAnsi="Arial"/>
                <w:sz w:val="16"/>
                <w:szCs w:val="16"/>
                <w:b w:val="1"/>
                <w:bCs w:val="1"/>
                <w:color w:val="auto"/>
              </w:rPr>
              <w:t>(0.4)%</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(2,227)</w:t>
            </w: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6"/>
                <w:szCs w:val="16"/>
                <w:color w:val="auto"/>
              </w:rPr>
              <w:t>Out-of-period adjustments to deferred tax</w:t>
            </w:r>
          </w:p>
        </w:tc>
        <w:tc>
          <w:tcPr>
            <w:tcW w:w="240" w:type="dxa"/>
            <w:vAlign w:val="bottom"/>
          </w:tcPr>
          <w:p>
            <w:pPr>
              <w:spacing w:after="0"/>
              <w:rPr>
                <w:sz w:val="20"/>
                <w:szCs w:val="20"/>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1,830</w:t>
            </w:r>
          </w:p>
        </w:tc>
        <w:tc>
          <w:tcPr>
            <w:tcW w:w="100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rPr>
              <w:t>2.7 %</w:t>
            </w: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6"/>
                <w:szCs w:val="16"/>
                <w:color w:val="auto"/>
              </w:rPr>
              <w:t>Impact of Mexico foreign currency</w:t>
            </w:r>
          </w:p>
        </w:tc>
        <w:tc>
          <w:tcPr>
            <w:tcW w:w="240" w:type="dxa"/>
            <w:vAlign w:val="bottom"/>
          </w:tcPr>
          <w:p>
            <w:pPr>
              <w:spacing w:after="0"/>
              <w:rPr>
                <w:sz w:val="20"/>
                <w:szCs w:val="20"/>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(13)</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3,656</w:t>
            </w:r>
          </w:p>
        </w:tc>
        <w:tc>
          <w:tcPr>
            <w:tcW w:w="100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rPr>
              <w:t>5.4 %</w:t>
            </w: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Arial" w:cs="Arial" w:eastAsia="Arial" w:hAnsi="Arial"/>
                <w:sz w:val="16"/>
                <w:szCs w:val="16"/>
                <w:color w:val="auto"/>
              </w:rPr>
              <w:t>revaluation losses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6"/>
                <w:szCs w:val="16"/>
                <w:color w:val="auto"/>
              </w:rPr>
              <w:t>Changes in opening valuation allowance</w:t>
            </w:r>
          </w:p>
        </w:tc>
        <w:tc>
          <w:tcPr>
            <w:tcW w:w="240" w:type="dxa"/>
            <w:vAlign w:val="bottom"/>
          </w:tcPr>
          <w:p>
            <w:pPr>
              <w:spacing w:after="0"/>
              <w:rPr>
                <w:sz w:val="21"/>
                <w:szCs w:val="21"/>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80" w:type="dxa"/>
            <w:vAlign w:val="bottom"/>
          </w:tcPr>
          <w:p>
            <w:pPr>
              <w:spacing w:after="0"/>
              <w:rPr>
                <w:sz w:val="21"/>
                <w:szCs w:val="21"/>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38"/>
              <w:spacing w:after="0"/>
              <w:rPr>
                <w:sz w:val="20"/>
                <w:szCs w:val="20"/>
                <w:color w:val="auto"/>
              </w:rPr>
            </w:pPr>
            <w:r>
              <w:rPr>
                <w:rFonts w:ascii="Arial" w:cs="Arial" w:eastAsia="Arial" w:hAnsi="Arial"/>
                <w:sz w:val="16"/>
                <w:szCs w:val="16"/>
                <w:b w:val="1"/>
                <w:bCs w:val="1"/>
                <w:color w:val="auto"/>
              </w:rPr>
              <w:t>— %</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(1,346)</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6"/>
                <w:szCs w:val="16"/>
                <w:color w:val="auto"/>
              </w:rPr>
              <w:t>Changes in valuation allowance</w:t>
            </w:r>
          </w:p>
        </w:tc>
        <w:tc>
          <w:tcPr>
            <w:tcW w:w="240" w:type="dxa"/>
            <w:vAlign w:val="bottom"/>
          </w:tcPr>
          <w:p>
            <w:pPr>
              <w:spacing w:after="0"/>
              <w:rPr>
                <w:sz w:val="21"/>
                <w:szCs w:val="21"/>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222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0.5 %</w:t>
            </w:r>
          </w:p>
        </w:tc>
        <w:tc>
          <w:tcPr>
            <w:tcW w:w="180" w:type="dxa"/>
            <w:vAlign w:val="bottom"/>
          </w:tcPr>
          <w:p>
            <w:pPr>
              <w:spacing w:after="0"/>
              <w:rPr>
                <w:sz w:val="21"/>
                <w:szCs w:val="21"/>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841</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1.7 %</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222</w:t>
            </w:r>
          </w:p>
        </w:tc>
        <w:tc>
          <w:tcPr>
            <w:tcW w:w="1000" w:type="dxa"/>
            <w:vAlign w:val="bottom"/>
          </w:tcPr>
          <w:p>
            <w:pPr>
              <w:jc w:val="right"/>
              <w:ind w:right="138"/>
              <w:spacing w:after="0"/>
              <w:rPr>
                <w:sz w:val="20"/>
                <w:szCs w:val="20"/>
                <w:color w:val="auto"/>
              </w:rPr>
            </w:pPr>
            <w:r>
              <w:rPr>
                <w:rFonts w:ascii="Arial" w:cs="Arial" w:eastAsia="Arial" w:hAnsi="Arial"/>
                <w:sz w:val="16"/>
                <w:szCs w:val="16"/>
                <w:b w:val="1"/>
                <w:bCs w:val="1"/>
                <w:color w:val="auto"/>
              </w:rPr>
              <w:t>0.3 %</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841</w:t>
            </w:r>
          </w:p>
        </w:tc>
        <w:tc>
          <w:tcPr>
            <w:tcW w:w="7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5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tax adjustments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382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0.7 %</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762</w:t>
            </w: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1.2 %</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15,364</w:t>
            </w: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xml:space="preserve">32.1 % </w:t>
            </w:r>
            <w:r>
              <w:rPr>
                <w:rFonts w:ascii="Arial" w:cs="Arial" w:eastAsia="Arial" w:hAnsi="Arial"/>
                <w:sz w:val="16"/>
                <w:szCs w:val="16"/>
                <w:color w:val="auto"/>
              </w:rPr>
              <w:t>$</w:t>
            </w: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14,405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29.6 % </w:t>
            </w: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27,818</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 xml:space="preserve">41.0 % </w:t>
            </w:r>
            <w:r>
              <w:rPr>
                <w:rFonts w:ascii="Arial" w:cs="Arial" w:eastAsia="Arial" w:hAnsi="Arial"/>
                <w:sz w:val="16"/>
                <w:szCs w:val="16"/>
                <w:color w:val="auto"/>
              </w:rPr>
              <w:t>$</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21,881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40" w:firstLine="324"/>
        <w:spacing w:after="0" w:line="246" w:lineRule="auto"/>
        <w:rPr>
          <w:sz w:val="20"/>
          <w:szCs w:val="20"/>
          <w:color w:val="auto"/>
        </w:rPr>
      </w:pPr>
      <w:r>
        <w:rPr>
          <w:rFonts w:ascii="Arial" w:cs="Arial" w:eastAsia="Arial" w:hAnsi="Arial"/>
          <w:sz w:val="18"/>
          <w:szCs w:val="18"/>
          <w:color w:val="auto"/>
        </w:rPr>
        <w:t>For more information on income tax, see Note 7 to the Consolidated Financial Statements in Item 1, which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382" w:lineRule="exact"/>
        <w:rPr>
          <w:sz w:val="20"/>
          <w:szCs w:val="20"/>
          <w:color w:val="auto"/>
        </w:rPr>
      </w:pPr>
    </w:p>
    <w:p>
      <w:pPr>
        <w:ind w:right="320" w:firstLine="324"/>
        <w:spacing w:after="0" w:line="246" w:lineRule="auto"/>
        <w:rPr>
          <w:sz w:val="20"/>
          <w:szCs w:val="20"/>
          <w:color w:val="auto"/>
        </w:rPr>
      </w:pPr>
      <w:r>
        <w:rPr>
          <w:rFonts w:ascii="Arial" w:cs="Arial" w:eastAsia="Arial" w:hAnsi="Arial"/>
          <w:sz w:val="18"/>
          <w:szCs w:val="18"/>
          <w:color w:val="auto"/>
        </w:rPr>
        <w:t>Machine Clothing is our primary business segment and accounted for 63% of our consolidated revenues during the first six months of 2020. MC products are purchased primarily by manufacturers of paper and paperboard.</w:t>
      </w:r>
    </w:p>
    <w:p>
      <w:pPr>
        <w:spacing w:after="0" w:line="224" w:lineRule="exact"/>
        <w:rPr>
          <w:sz w:val="20"/>
          <w:szCs w:val="20"/>
          <w:color w:val="auto"/>
        </w:rPr>
      </w:pPr>
    </w:p>
    <w:p>
      <w:pPr>
        <w:ind w:right="100" w:firstLine="324"/>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230"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232" w:lineRule="exact"/>
        <w:rPr>
          <w:sz w:val="20"/>
          <w:szCs w:val="20"/>
          <w:color w:val="auto"/>
        </w:rPr>
      </w:pPr>
    </w:p>
    <w:p>
      <w:pPr>
        <w:ind w:right="580" w:firstLine="324"/>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various countries.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153,433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155,016</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290,035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299,349</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1"/>
                <w:szCs w:val="21"/>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83,612</w:t>
            </w:r>
          </w:p>
        </w:tc>
        <w:tc>
          <w:tcPr>
            <w:tcW w:w="30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80,287</w:t>
            </w:r>
          </w:p>
        </w:tc>
        <w:tc>
          <w:tcPr>
            <w:tcW w:w="280" w:type="dxa"/>
            <w:vAlign w:val="bottom"/>
          </w:tcPr>
          <w:p>
            <w:pPr>
              <w:spacing w:after="0"/>
              <w:rPr>
                <w:sz w:val="21"/>
                <w:szCs w:val="21"/>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156,264</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154,815</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54.5 %</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51.8 %</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53.9 %</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51.7 %</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20" w:type="dxa"/>
            <w:vAlign w:val="bottom"/>
          </w:tcPr>
          <w:p>
            <w:pPr>
              <w:spacing w:after="0"/>
              <w:rPr>
                <w:sz w:val="21"/>
                <w:szCs w:val="21"/>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26,682</w:t>
            </w:r>
          </w:p>
        </w:tc>
        <w:tc>
          <w:tcPr>
            <w:tcW w:w="30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29,814</w:t>
            </w:r>
          </w:p>
        </w:tc>
        <w:tc>
          <w:tcPr>
            <w:tcW w:w="280" w:type="dxa"/>
            <w:vAlign w:val="bottom"/>
          </w:tcPr>
          <w:p>
            <w:pPr>
              <w:spacing w:after="0"/>
              <w:rPr>
                <w:sz w:val="21"/>
                <w:szCs w:val="21"/>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51,517</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59,700</w:t>
            </w:r>
          </w:p>
        </w:tc>
      </w:tr>
      <w:tr>
        <w:trPr>
          <w:trHeight w:val="25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56,543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49,538</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103,718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93,781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8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decreased by 1.0%.</w:t>
      </w:r>
    </w:p>
    <w:p>
      <w:pPr>
        <w:spacing w:after="0" w:line="252" w:lineRule="exact"/>
        <w:rPr>
          <w:rFonts w:ascii="Arial" w:cs="Arial" w:eastAsia="Arial" w:hAnsi="Arial"/>
          <w:sz w:val="18"/>
          <w:szCs w:val="18"/>
          <w:color w:val="auto"/>
        </w:rPr>
      </w:pPr>
    </w:p>
    <w:p>
      <w:pPr>
        <w:ind w:left="660" w:right="20" w:hanging="328"/>
        <w:spacing w:after="0" w:line="23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Changes in currency translation rates had the effect of decreasing second-quarter 2020 sales by $1.6 million compared to the same period in 2019. That currency translation effect was principally due to the weaker euro and Chinese renminbi in the second quarter of 2020, compared to 2019.</w:t>
      </w:r>
    </w:p>
    <w:p>
      <w:pPr>
        <w:spacing w:after="0" w:line="23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Excluding the effect of changes in currency translation rates, Net sales in MC were flat compared to the second quarter of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74"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Net sales decreased by 3.1%.</w:t>
      </w:r>
    </w:p>
    <w:p>
      <w:pPr>
        <w:spacing w:after="0" w:line="242" w:lineRule="exact"/>
        <w:rPr>
          <w:rFonts w:ascii="Arial" w:cs="Arial" w:eastAsia="Arial" w:hAnsi="Arial"/>
          <w:sz w:val="20"/>
          <w:szCs w:val="20"/>
          <w:color w:val="auto"/>
        </w:rPr>
      </w:pPr>
    </w:p>
    <w:p>
      <w:pPr>
        <w:ind w:left="660" w:right="80" w:hanging="328"/>
        <w:spacing w:after="0" w:line="231" w:lineRule="auto"/>
        <w:tabs>
          <w:tab w:leader="none" w:pos="648" w:val="left"/>
        </w:tabs>
        <w:numPr>
          <w:ilvl w:val="0"/>
          <w:numId w:val="19"/>
        </w:numPr>
        <w:rPr>
          <w:rFonts w:ascii="Arial" w:cs="Arial" w:eastAsia="Arial" w:hAnsi="Arial"/>
          <w:sz w:val="20"/>
          <w:szCs w:val="20"/>
          <w:color w:val="auto"/>
          <w:highlight w:val="yellow"/>
        </w:rPr>
      </w:pPr>
      <w:r>
        <w:rPr>
          <w:rFonts w:ascii="Arial" w:cs="Arial" w:eastAsia="Arial" w:hAnsi="Arial"/>
          <w:sz w:val="18"/>
          <w:szCs w:val="18"/>
          <w:color w:val="auto"/>
        </w:rPr>
        <w:t>Changes in currency translation rates had the effect of decreasing sales for the first six months of 2020 by $3.1 million compared to the same period in 2019. That currency translation effect was principally due to the weaker euro and Chinese renminbi in the first six months of 2020, compared to 2019.</w:t>
      </w:r>
    </w:p>
    <w:p>
      <w:pPr>
        <w:spacing w:after="0" w:line="244" w:lineRule="exact"/>
        <w:rPr>
          <w:rFonts w:ascii="Arial" w:cs="Arial" w:eastAsia="Arial" w:hAnsi="Arial"/>
          <w:sz w:val="20"/>
          <w:szCs w:val="20"/>
          <w:color w:val="auto"/>
          <w:highlight w:val="yellow"/>
        </w:rPr>
      </w:pPr>
    </w:p>
    <w:p>
      <w:pPr>
        <w:ind w:left="660" w:right="320" w:hanging="328"/>
        <w:spacing w:after="0" w:line="230" w:lineRule="auto"/>
        <w:tabs>
          <w:tab w:leader="none" w:pos="648" w:val="left"/>
        </w:tabs>
        <w:numPr>
          <w:ilvl w:val="0"/>
          <w:numId w:val="19"/>
        </w:numPr>
        <w:rPr>
          <w:rFonts w:ascii="Arial" w:cs="Arial" w:eastAsia="Arial" w:hAnsi="Arial"/>
          <w:sz w:val="20"/>
          <w:szCs w:val="20"/>
          <w:color w:val="auto"/>
          <w:highlight w:val="yellow"/>
        </w:rPr>
      </w:pPr>
      <w:r>
        <w:rPr>
          <w:rFonts w:ascii="Arial" w:cs="Arial" w:eastAsia="Arial" w:hAnsi="Arial"/>
          <w:sz w:val="18"/>
          <w:szCs w:val="18"/>
          <w:color w:val="auto"/>
        </w:rPr>
        <w:t>Excluding the effect of changes in currency translation rates, Net sales in MC decreased 2.1% compared to the first six months of 2019. A decline in sales for the publication and pulp grades was partially offset by an increase in packaging grades.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382" w:lineRule="exact"/>
        <w:rPr>
          <w:sz w:val="20"/>
          <w:szCs w:val="20"/>
          <w:color w:val="auto"/>
        </w:rPr>
      </w:pPr>
    </w:p>
    <w:p>
      <w:pPr>
        <w:ind w:left="660" w:right="32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second-quarter MC Gross profit was principally due to favorable foreign currency movements (a weaker Brazilian real and Mexican peso), efficiency gains, and reduced depreciation expense.</w:t>
      </w:r>
    </w:p>
    <w:p>
      <w:pPr>
        <w:spacing w:after="0" w:line="223" w:lineRule="exact"/>
        <w:rPr>
          <w:rFonts w:ascii="Arial" w:cs="Arial" w:eastAsia="Arial" w:hAnsi="Arial"/>
          <w:sz w:val="18"/>
          <w:szCs w:val="18"/>
          <w:color w:val="auto"/>
        </w:rPr>
      </w:pPr>
    </w:p>
    <w:p>
      <w:pPr>
        <w:ind w:left="660" w:right="50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year-to-date MC gross profit was principally due to lower depreciation expense. Gross profit was also favorably impacted by a weaker Brazilian real and Mexican peso in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6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second-quarter gross profit was principally due to higher gross profit and lower STG&amp;R expenses, as described above.</w:t>
      </w:r>
    </w:p>
    <w:p>
      <w:pPr>
        <w:spacing w:after="0" w:line="223"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activities resulted in expense of $0.4 million in the second quarter of 2020, compared to expense of $0.9 million in the same period in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23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year to date gross profit was principally due to higher gross profit and lower STG&amp;R expenses, as described above.</w:t>
      </w:r>
    </w:p>
    <w:p>
      <w:pPr>
        <w:spacing w:after="0" w:line="238"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activities resulted in expense of $1.0 million in the first six months of 2020, compared to expense of $1.3 million in the same period in 2019.</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the latter of which is currently under a grounding order, as described above. Other significant AEC programs include components for the F-35, fuselage frames for the Boeing 787, components for the CH53-K helicopter, and the fan case for the GE9X engine.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72,557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118,933</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171,719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225,972</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1"/>
                <w:szCs w:val="21"/>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19,368</w:t>
            </w:r>
          </w:p>
        </w:tc>
        <w:tc>
          <w:tcPr>
            <w:tcW w:w="30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24,895</w:t>
            </w:r>
          </w:p>
        </w:tc>
        <w:tc>
          <w:tcPr>
            <w:tcW w:w="280" w:type="dxa"/>
            <w:vAlign w:val="bottom"/>
          </w:tcPr>
          <w:p>
            <w:pPr>
              <w:spacing w:after="0"/>
              <w:rPr>
                <w:sz w:val="21"/>
                <w:szCs w:val="21"/>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36,188</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42,138</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26.7 %</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20.9 %</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21.1 %</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18.6 %</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20" w:type="dxa"/>
            <w:vAlign w:val="bottom"/>
          </w:tcPr>
          <w:p>
            <w:pPr>
              <w:spacing w:after="0"/>
              <w:rPr>
                <w:sz w:val="21"/>
                <w:szCs w:val="21"/>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8,821</w:t>
            </w:r>
          </w:p>
        </w:tc>
        <w:tc>
          <w:tcPr>
            <w:tcW w:w="30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7,195</w:t>
            </w:r>
          </w:p>
        </w:tc>
        <w:tc>
          <w:tcPr>
            <w:tcW w:w="280" w:type="dxa"/>
            <w:vAlign w:val="bottom"/>
          </w:tcPr>
          <w:p>
            <w:pPr>
              <w:spacing w:after="0"/>
              <w:rPr>
                <w:sz w:val="21"/>
                <w:szCs w:val="21"/>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18,018</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14,832</w:t>
            </w:r>
          </w:p>
        </w:tc>
      </w:tr>
      <w:tr>
        <w:trPr>
          <w:trHeight w:val="25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8,299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17,732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15,922</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27,254</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39"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The decrease in Net sales was principally due to lower sales in the LEAP program, which is consistent with the outlook for this program provided by the Company in its last quarterly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39" w:lineRule="exact"/>
        <w:rPr>
          <w:sz w:val="20"/>
          <w:szCs w:val="20"/>
          <w:color w:val="auto"/>
        </w:rPr>
      </w:pPr>
    </w:p>
    <w:p>
      <w:pPr>
        <w:ind w:right="600" w:firstLine="648"/>
        <w:spacing w:after="0" w:line="256" w:lineRule="auto"/>
        <w:rPr>
          <w:sz w:val="20"/>
          <w:szCs w:val="20"/>
          <w:color w:val="auto"/>
        </w:rPr>
      </w:pPr>
      <w:r>
        <w:rPr>
          <w:rFonts w:ascii="Arial" w:cs="Arial" w:eastAsia="Arial" w:hAnsi="Arial"/>
          <w:sz w:val="18"/>
          <w:szCs w:val="18"/>
          <w:color w:val="auto"/>
        </w:rPr>
        <w:t>The decrease in Gross profit was principally due to the decrease in Net sales, partially offset by an increase in gross profit percentage, which was partially due to a favorable shift in the mix of program revenue and an increase in favorable adjustments to the estimated profitability of long-term contracts.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31 percent of segment revenue for each of the first six months of 2020 and 49 percent in 2019. LEAP engines are currently used on the Boeing 737 MAX, Airbus A320neo and COMAC aircraft. A number of countries, including the United States, have issued orders grounding Boeing 737 MAX aircraft. If these groundings cause a continued reduction in production of this aircraft, this would have an adverse impact on demand for our LEAP engine parts. Such a decrease could, in turn, trigger an increase in demand for A320neo aircraft, which could somewhat offset this negative impact.</w:t>
      </w:r>
    </w:p>
    <w:p>
      <w:pPr>
        <w:spacing w:after="0" w:line="2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35"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sum of net adjustments to the estimated profitability of long-term contracts increased AEC operating income by $6.4 million in the first six months of 2020, compared to an increase of $5.6 million for the first six months of 2019.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61"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decrease in operating income of $9.4 million in the second quarter of 2020 was principally due to the net effect of the following individually significant items:</w:t>
      </w:r>
    </w:p>
    <w:p>
      <w:pPr>
        <w:spacing w:after="0" w:line="22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A $46.4 million decrease in Net sales,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61" w:lineRule="exact"/>
        <w:rPr>
          <w:sz w:val="20"/>
          <w:szCs w:val="20"/>
          <w:color w:val="auto"/>
        </w:rPr>
      </w:pPr>
    </w:p>
    <w:p>
      <w:pPr>
        <w:ind w:right="500" w:firstLine="972"/>
        <w:spacing w:after="0" w:line="246" w:lineRule="auto"/>
        <w:rPr>
          <w:sz w:val="20"/>
          <w:szCs w:val="20"/>
          <w:color w:val="auto"/>
        </w:rPr>
      </w:pPr>
      <w:r>
        <w:rPr>
          <w:rFonts w:ascii="Arial" w:cs="Arial" w:eastAsia="Arial" w:hAnsi="Arial"/>
          <w:sz w:val="18"/>
          <w:szCs w:val="18"/>
          <w:color w:val="auto"/>
        </w:rPr>
        <w:t>The decrease in operating income of $11.3 million in the first six months of 2020 was principally due to the net effect of the following individually significant items:</w:t>
      </w:r>
    </w:p>
    <w:p>
      <w:pPr>
        <w:spacing w:after="0" w:line="224"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18"/>
          <w:szCs w:val="18"/>
          <w:color w:val="auto"/>
        </w:rPr>
        <w:t>A $54.3 million decrease in Net sales,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23"/>
        </w:trPr>
        <w:tc>
          <w:tcPr>
            <w:tcW w:w="8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40,043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63,667</w:t>
            </w:r>
          </w:p>
        </w:tc>
      </w:tr>
      <w:tr>
        <w:trPr>
          <w:trHeight w:val="243"/>
        </w:trPr>
        <w:tc>
          <w:tcPr>
            <w:tcW w:w="86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36,024</w:t>
            </w:r>
          </w:p>
        </w:tc>
        <w:tc>
          <w:tcPr>
            <w:tcW w:w="34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35,710</w:t>
            </w:r>
          </w:p>
        </w:tc>
      </w:tr>
      <w:tr>
        <w:trPr>
          <w:trHeight w:val="243"/>
        </w:trPr>
        <w:tc>
          <w:tcPr>
            <w:tcW w:w="8640" w:type="dxa"/>
            <w:vAlign w:val="bottom"/>
          </w:tcPr>
          <w:p>
            <w:pPr>
              <w:ind w:left="120"/>
              <w:spacing w:after="0"/>
              <w:rPr>
                <w:sz w:val="20"/>
                <w:szCs w:val="20"/>
                <w:color w:val="auto"/>
              </w:rPr>
            </w:pPr>
            <w:r>
              <w:rPr>
                <w:rFonts w:ascii="Arial" w:cs="Arial" w:eastAsia="Arial" w:hAnsi="Arial"/>
                <w:sz w:val="16"/>
                <w:szCs w:val="16"/>
                <w:color w:val="auto"/>
              </w:rPr>
              <w:t>Changes in working capital (a)</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(57,804)</w:t>
            </w:r>
          </w:p>
        </w:tc>
        <w:tc>
          <w:tcPr>
            <w:tcW w:w="3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(17,809)</w:t>
            </w:r>
          </w:p>
        </w:tc>
      </w:tr>
      <w:tr>
        <w:trPr>
          <w:trHeight w:val="243"/>
        </w:trPr>
        <w:tc>
          <w:tcPr>
            <w:tcW w:w="864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8,836</w:t>
            </w:r>
          </w:p>
        </w:tc>
        <w:tc>
          <w:tcPr>
            <w:tcW w:w="3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(2,906)</w:t>
            </w:r>
          </w:p>
        </w:tc>
      </w:tr>
      <w:tr>
        <w:trPr>
          <w:trHeight w:val="256"/>
        </w:trPr>
        <w:tc>
          <w:tcPr>
            <w:tcW w:w="8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operating items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16,935</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4,434</w:t>
            </w:r>
          </w:p>
        </w:tc>
      </w:tr>
      <w:tr>
        <w:trPr>
          <w:trHeight w:val="223"/>
        </w:trPr>
        <w:tc>
          <w:tcPr>
            <w:tcW w:w="8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44,034</w:t>
            </w:r>
          </w:p>
        </w:tc>
        <w:tc>
          <w:tcPr>
            <w:tcW w:w="34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83,096</w:t>
            </w:r>
          </w:p>
        </w:tc>
      </w:tr>
      <w:tr>
        <w:trPr>
          <w:trHeight w:val="243"/>
        </w:trPr>
        <w:tc>
          <w:tcPr>
            <w:tcW w:w="8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(22,017)</w:t>
            </w:r>
          </w:p>
        </w:tc>
        <w:tc>
          <w:tcPr>
            <w:tcW w:w="3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(35,453)</w:t>
            </w:r>
          </w:p>
        </w:tc>
      </w:tr>
      <w:tr>
        <w:trPr>
          <w:trHeight w:val="243"/>
        </w:trPr>
        <w:tc>
          <w:tcPr>
            <w:tcW w:w="86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(8,224)</w:t>
            </w:r>
          </w:p>
        </w:tc>
        <w:tc>
          <w:tcPr>
            <w:tcW w:w="3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(30,106)</w:t>
            </w:r>
          </w:p>
        </w:tc>
      </w:tr>
      <w:tr>
        <w:trPr>
          <w:trHeight w:val="256"/>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(5,296)</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Increase/(decrease) in cash and cash equivalents</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8,497</w:t>
            </w:r>
          </w:p>
        </w:tc>
        <w:tc>
          <w:tcPr>
            <w:tcW w:w="34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17,478</w:t>
            </w:r>
          </w:p>
        </w:tc>
      </w:tr>
      <w:tr>
        <w:trPr>
          <w:trHeight w:val="256"/>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195,540</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197,755</w:t>
            </w:r>
          </w:p>
        </w:tc>
      </w:tr>
      <w:tr>
        <w:trPr>
          <w:trHeight w:val="23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204,037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215,233</w:t>
            </w:r>
          </w:p>
        </w:tc>
      </w:tr>
    </w:tbl>
    <w:p>
      <w:pPr>
        <w:spacing w:after="0" w:line="8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1"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Cash flow provided by operating activities was $44.0 million and $83.1 million in the first six months of 2020 and 2019. The decrease of cash generated in 2020 was primarily due to the decrease of profitability in AEC in the LEAP program, which is consistent with the outlook for this program provided by the Company in its last quarterly report.</w:t>
      </w:r>
    </w:p>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Cash paid for income taxes was $16.5 million and $17.4 million for the first six months of 2020 and 2019, respectively. The decrease is primarily due to a decrease in corporate income tax payments in Mexico due to decreased pre-tax income in that jurisdiction and decreased withholding payments in Switzerland due to decreased dividend income.</w:t>
      </w:r>
    </w:p>
    <w:p>
      <w:pPr>
        <w:spacing w:after="0" w:line="230" w:lineRule="exact"/>
        <w:rPr>
          <w:sz w:val="20"/>
          <w:szCs w:val="20"/>
          <w:color w:val="auto"/>
        </w:rPr>
      </w:pPr>
    </w:p>
    <w:p>
      <w:pPr>
        <w:ind w:right="440" w:firstLine="324"/>
        <w:spacing w:after="0" w:line="246" w:lineRule="auto"/>
        <w:rPr>
          <w:sz w:val="20"/>
          <w:szCs w:val="20"/>
          <w:color w:val="auto"/>
        </w:rPr>
      </w:pPr>
      <w:r>
        <w:rPr>
          <w:rFonts w:ascii="Arial" w:cs="Arial" w:eastAsia="Arial" w:hAnsi="Arial"/>
          <w:sz w:val="18"/>
          <w:szCs w:val="18"/>
          <w:color w:val="auto"/>
        </w:rPr>
        <w:t>At June 30, 2020, we had $204 million of cash and cash equivalents, of which $160.2 million was held by subsidiaries outside of the United States.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six months were $22.0 million in 2020 and $35.5 million in 2019.</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March 2020, the Company purchased, in cash, the primary CirComp GmbH operating facility in Germany for $5.8 million. This resulted in the recording of land and building assets, and the removal of the Right of use assets and associated lease liabilities that were included in the acquisition-date balance sheet, and is reflected as Principal payments on finance lease liabilities in Financing activities in the Consolidated Statements of Cash Flow.</w:t>
      </w:r>
    </w:p>
    <w:p>
      <w:pPr>
        <w:spacing w:after="0" w:line="9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39"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June 30, 2020 was held by non-U.S. subsidiaries. Based on cash on hand and credit facilities, we anticipate that the Company has sufficient capital resources to operate for the foreseeable future. We were in compliance with all debt covenants as of June 30, 2020.</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$435 million of borrowings were outstanding as of June 30, 2020. The applicable interest rate for borrowings was LIBOR plus a spread, based on our leverage ratio at the time of borrowing. At the time of the last borrowing on March 30, 2020, the spread was 1.375%. The spread was based on a pricing grid, which ranged from 1.250% to 1.750%, based on our leverage ratio. Based on our maximum leverage ratio and our Consolidated EBITDA, and without modification to any other credit agreements, as of June 30, 2020, we would have been able to borrow an additional $250 million under the Agreement.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we have no off-balance sheet arrangements required to be disclosed pursuant to Item 303(a)(4) of Regulation S-K.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4"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22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Presenting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acquisition and related retention agreement expenses, former CEO severance costs, integration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w:t>
      </w:r>
    </w:p>
    <w:p>
      <w:pPr>
        <w:spacing w:after="0" w:line="23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severance costs, inventory write-offs associated with discontinued businesses; adding charges and credits related to pension plan settlements and curtailments; adding (or subtracting) revaluation losses (or gains); subtracting (or adding) gains (or losses) from the sale of buildings or investments; subtracting insurance recovery gains in excess of previously recorded losses; adding acquisition and related retention agreement expenses; adding integration expenses and subtracting (or adding) Income (or loss) attributable to the non-controlling interest in Albany Safran Composites (ASC). Adjusted earnings per share is calculated by adding to (or subtracting from) net income attributable to the Company per share, on an after-tax basis: restructuring charges; inventory write-offs associated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with discontinued businesses; pension settlement/curtailments; the effect of changes in the income tax rate; foreign currency revaluation losses (or gains); acquisition-related expenses; and losses (or gains) from the sale of investments.</w:t>
      </w:r>
    </w:p>
    <w:p>
      <w:pPr>
        <w:spacing w:after="0" w:line="224"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ind w:right="40"/>
              <w:spacing w:after="0"/>
              <w:rPr>
                <w:sz w:val="20"/>
                <w:szCs w:val="20"/>
                <w:color w:val="auto"/>
              </w:rPr>
            </w:pPr>
            <w:r>
              <w:rPr>
                <w:rFonts w:ascii="Arial" w:cs="Arial" w:eastAsia="Arial" w:hAnsi="Arial"/>
                <w:sz w:val="14"/>
                <w:szCs w:val="14"/>
                <w:b w:val="1"/>
                <w:bCs w:val="1"/>
                <w:color w:val="auto"/>
              </w:rPr>
              <w:t>Albany Engineered</w:t>
            </w:r>
          </w:p>
        </w:tc>
        <w:tc>
          <w:tcPr>
            <w:tcW w:w="220" w:type="dxa"/>
            <w:vAlign w:val="bottom"/>
          </w:tcPr>
          <w:p>
            <w:pPr>
              <w:spacing w:after="0"/>
              <w:rPr>
                <w:sz w:val="14"/>
                <w:szCs w:val="14"/>
                <w:color w:val="auto"/>
              </w:rPr>
            </w:pPr>
          </w:p>
        </w:tc>
        <w:tc>
          <w:tcPr>
            <w:tcW w:w="1600" w:type="dxa"/>
            <w:vAlign w:val="bottom"/>
          </w:tcPr>
          <w:p>
            <w:pPr>
              <w:jc w:val="center"/>
              <w:ind w:right="60"/>
              <w:spacing w:after="0"/>
              <w:rPr>
                <w:sz w:val="20"/>
                <w:szCs w:val="20"/>
                <w:color w:val="auto"/>
              </w:rPr>
            </w:pPr>
            <w:r>
              <w:rPr>
                <w:rFonts w:ascii="Arial" w:cs="Arial" w:eastAsia="Arial" w:hAnsi="Arial"/>
                <w:sz w:val="14"/>
                <w:szCs w:val="14"/>
                <w:b w:val="1"/>
                <w:bCs w:val="1"/>
                <w:color w:val="auto"/>
              </w:rPr>
              <w:t>Corporate expenses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Machine Clothing</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Composites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and 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56,543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8,299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(12,115)</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52,727</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(20,278)</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(20,278)</w:t>
            </w:r>
          </w:p>
        </w:tc>
        <w:tc>
          <w:tcPr>
            <w:tcW w:w="0" w:type="dxa"/>
            <w:vAlign w:val="bottom"/>
          </w:tcPr>
          <w:p>
            <w:pPr>
              <w:spacing w:after="0"/>
              <w:rPr>
                <w:sz w:val="1"/>
                <w:szCs w:val="1"/>
                <w:color w:val="auto"/>
              </w:rPr>
            </w:pPr>
          </w:p>
        </w:tc>
      </w:tr>
      <w:tr>
        <w:trPr>
          <w:trHeight w:val="224"/>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56,543</w:t>
            </w:r>
          </w:p>
        </w:tc>
        <w:tc>
          <w:tcPr>
            <w:tcW w:w="2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8,299</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(32,393)</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32,449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3,823</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15,364</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15,364</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11,971</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1,002</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61,524</w:t>
            </w:r>
          </w:p>
        </w:tc>
        <w:tc>
          <w:tcPr>
            <w:tcW w:w="2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20,270</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(12,204)</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69,590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2,248</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973</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22,768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73,670</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ind w:right="40"/>
              <w:spacing w:after="0"/>
              <w:rPr>
                <w:sz w:val="20"/>
                <w:szCs w:val="20"/>
                <w:color w:val="auto"/>
              </w:rPr>
            </w:pPr>
            <w:r>
              <w:rPr>
                <w:rFonts w:ascii="Arial" w:cs="Arial" w:eastAsia="Arial" w:hAnsi="Arial"/>
                <w:sz w:val="14"/>
                <w:szCs w:val="14"/>
                <w:b w:val="1"/>
                <w:bCs w:val="1"/>
                <w:color w:val="auto"/>
              </w:rPr>
              <w:t>Albany Engineered</w:t>
            </w:r>
          </w:p>
        </w:tc>
        <w:tc>
          <w:tcPr>
            <w:tcW w:w="220" w:type="dxa"/>
            <w:vAlign w:val="bottom"/>
          </w:tcPr>
          <w:p>
            <w:pPr>
              <w:spacing w:after="0"/>
              <w:rPr>
                <w:sz w:val="15"/>
                <w:szCs w:val="15"/>
                <w:color w:val="auto"/>
              </w:rPr>
            </w:pPr>
          </w:p>
        </w:tc>
        <w:tc>
          <w:tcPr>
            <w:tcW w:w="1600" w:type="dxa"/>
            <w:vAlign w:val="bottom"/>
          </w:tcPr>
          <w:p>
            <w:pPr>
              <w:jc w:val="center"/>
              <w:ind w:right="60"/>
              <w:spacing w:after="0"/>
              <w:rPr>
                <w:sz w:val="20"/>
                <w:szCs w:val="20"/>
                <w:color w:val="auto"/>
              </w:rPr>
            </w:pPr>
            <w:r>
              <w:rPr>
                <w:rFonts w:ascii="Arial" w:cs="Arial" w:eastAsia="Arial" w:hAnsi="Arial"/>
                <w:sz w:val="14"/>
                <w:szCs w:val="14"/>
                <w:b w:val="1"/>
                <w:bCs w:val="1"/>
                <w:color w:val="auto"/>
              </w:rPr>
              <w:t>Corporate expenses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Machine Clothing</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Composites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and 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49,538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17,732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(13,045)</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54,225</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(19,966)</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24"/>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49,538</w:t>
            </w:r>
          </w:p>
        </w:tc>
        <w:tc>
          <w:tcPr>
            <w:tcW w:w="2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17,732</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(33,011)</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34,259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4,631</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4,631</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14,405</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11,071</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1,077</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17,754</w:t>
            </w:r>
          </w:p>
        </w:tc>
        <w:tc>
          <w:tcPr>
            <w:tcW w:w="0" w:type="dxa"/>
            <w:vAlign w:val="bottom"/>
          </w:tcPr>
          <w:p>
            <w:pPr>
              <w:spacing w:after="0"/>
              <w:rPr>
                <w:sz w:val="1"/>
                <w:szCs w:val="1"/>
                <w:color w:val="auto"/>
              </w:rPr>
            </w:pPr>
          </w:p>
        </w:tc>
      </w:tr>
      <w:tr>
        <w:trPr>
          <w:trHeight w:val="224"/>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55,144</w:t>
            </w:r>
          </w:p>
        </w:tc>
        <w:tc>
          <w:tcPr>
            <w:tcW w:w="2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28,803</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(12,898)</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71,049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935</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w:t>
            </w:r>
          </w:p>
        </w:tc>
        <w:tc>
          <w:tcPr>
            <w:tcW w:w="24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28,578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(12,557)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40"/>
              <w:spacing w:after="0"/>
              <w:rPr>
                <w:sz w:val="20"/>
                <w:szCs w:val="20"/>
                <w:color w:val="auto"/>
              </w:rPr>
            </w:pPr>
            <w:r>
              <w:rPr>
                <w:rFonts w:ascii="Arial" w:cs="Arial" w:eastAsia="Arial" w:hAnsi="Arial"/>
                <w:sz w:val="14"/>
                <w:szCs w:val="14"/>
                <w:b w:val="1"/>
                <w:bCs w:val="1"/>
                <w:color w:val="auto"/>
              </w:rPr>
              <w:t>Albany Engineered</w:t>
            </w:r>
          </w:p>
        </w:tc>
        <w:tc>
          <w:tcPr>
            <w:tcW w:w="340" w:type="dxa"/>
            <w:vAlign w:val="bottom"/>
          </w:tcPr>
          <w:p>
            <w:pPr>
              <w:spacing w:after="0"/>
              <w:rPr>
                <w:sz w:val="14"/>
                <w:szCs w:val="14"/>
                <w:color w:val="auto"/>
              </w:rPr>
            </w:pPr>
          </w:p>
        </w:tc>
        <w:tc>
          <w:tcPr>
            <w:tcW w:w="2060" w:type="dxa"/>
            <w:vAlign w:val="bottom"/>
          </w:tcPr>
          <w:p>
            <w:pPr>
              <w:jc w:val="center"/>
              <w:ind w:right="200"/>
              <w:spacing w:after="0"/>
              <w:rPr>
                <w:sz w:val="20"/>
                <w:szCs w:val="20"/>
                <w:color w:val="auto"/>
              </w:rPr>
            </w:pPr>
            <w:r>
              <w:rPr>
                <w:rFonts w:ascii="Arial" w:cs="Arial" w:eastAsia="Arial" w:hAnsi="Arial"/>
                <w:sz w:val="14"/>
                <w:szCs w:val="14"/>
                <w:b w:val="1"/>
                <w:bCs w:val="1"/>
                <w:color w:val="auto"/>
              </w:rPr>
              <w:t>Corporate expenses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Machine Clothing</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Composites</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and 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 Company</w:t>
            </w: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103,718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15,922</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(27,319)</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92,321</w:t>
            </w:r>
          </w:p>
        </w:tc>
      </w:tr>
      <w:tr>
        <w:trPr>
          <w:trHeight w:val="2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(52,278)</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(52,278)</w:t>
            </w: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103,718</w:t>
            </w: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15,922</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(79,597)</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40,043</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7,800</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7,800</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27,818</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27,818</w:t>
            </w:r>
          </w:p>
        </w:tc>
      </w:tr>
      <w:tr>
        <w:trPr>
          <w:trHeight w:val="2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10,068</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23,956</w:t>
            </w: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2,000</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36,024</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113,786</w:t>
            </w: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39,878</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(41,979)</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111,685</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2,248</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3,479</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(2,688)</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727</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14,850</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12,889</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2,742</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2,742</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576</w:t>
            </w:r>
          </w:p>
        </w:tc>
      </w:tr>
      <w:tr>
        <w:trPr>
          <w:trHeight w:val="2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loss attributable to noncontrolling interest</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1,434</w:t>
            </w: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1,434</w:t>
            </w:r>
          </w:p>
        </w:tc>
      </w:tr>
      <w:tr>
        <w:trPr>
          <w:trHeight w:val="23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112,128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44,863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(24,186)</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132,805</w:t>
            </w:r>
          </w:p>
        </w:tc>
      </w:tr>
      <w:tr>
        <w:trPr>
          <w:trHeight w:val="297"/>
        </w:trPr>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4"/>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75"/>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40"/>
              <w:spacing w:after="0"/>
              <w:rPr>
                <w:sz w:val="20"/>
                <w:szCs w:val="20"/>
                <w:color w:val="auto"/>
              </w:rPr>
            </w:pPr>
            <w:r>
              <w:rPr>
                <w:rFonts w:ascii="Arial" w:cs="Arial" w:eastAsia="Arial" w:hAnsi="Arial"/>
                <w:sz w:val="14"/>
                <w:szCs w:val="14"/>
                <w:b w:val="1"/>
                <w:bCs w:val="1"/>
                <w:color w:val="auto"/>
              </w:rPr>
              <w:t>Albany Engineered</w:t>
            </w:r>
          </w:p>
        </w:tc>
        <w:tc>
          <w:tcPr>
            <w:tcW w:w="340" w:type="dxa"/>
            <w:vAlign w:val="bottom"/>
          </w:tcPr>
          <w:p>
            <w:pPr>
              <w:spacing w:after="0"/>
              <w:rPr>
                <w:sz w:val="15"/>
                <w:szCs w:val="15"/>
                <w:color w:val="auto"/>
              </w:rPr>
            </w:pPr>
          </w:p>
        </w:tc>
        <w:tc>
          <w:tcPr>
            <w:tcW w:w="2060" w:type="dxa"/>
            <w:vAlign w:val="bottom"/>
          </w:tcPr>
          <w:p>
            <w:pPr>
              <w:jc w:val="center"/>
              <w:ind w:right="200"/>
              <w:spacing w:after="0"/>
              <w:rPr>
                <w:sz w:val="20"/>
                <w:szCs w:val="20"/>
                <w:color w:val="auto"/>
              </w:rPr>
            </w:pPr>
            <w:r>
              <w:rPr>
                <w:rFonts w:ascii="Arial" w:cs="Arial" w:eastAsia="Arial" w:hAnsi="Arial"/>
                <w:sz w:val="14"/>
                <w:szCs w:val="14"/>
                <w:b w:val="1"/>
                <w:bCs w:val="1"/>
                <w:color w:val="auto"/>
              </w:rPr>
              <w:t>Corporate expenses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Machine Clothing</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Composites</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and 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 Company</w:t>
            </w: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93,781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27,254</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(26,717)</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94,318</w:t>
            </w:r>
          </w:p>
        </w:tc>
      </w:tr>
      <w:tr>
        <w:trPr>
          <w:trHeight w:val="2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(30,651)</w:t>
            </w: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93,781</w:t>
            </w: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27,254</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(57,368)</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63,667</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9,048</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9,048</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21,881</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21,881</w:t>
            </w:r>
          </w:p>
        </w:tc>
      </w:tr>
      <w:tr>
        <w:trPr>
          <w:trHeight w:val="2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11,525</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21,973</w:t>
            </w: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2,212</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35,710</w:t>
            </w: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auto"/>
              </w:rPr>
              <w:t>105,306</w:t>
            </w: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b w:val="1"/>
                <w:bCs w:val="1"/>
                <w:color w:val="auto"/>
              </w:rPr>
              <w:t>49,227</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(24,227)</w:t>
            </w:r>
          </w:p>
        </w:tc>
        <w:tc>
          <w:tcPr>
            <w:tcW w:w="28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b w:val="1"/>
                <w:bCs w:val="1"/>
                <w:color w:val="auto"/>
              </w:rPr>
              <w:t>130,306</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1"/>
                <w:szCs w:val="21"/>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1,383</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3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(1,691)</w:t>
            </w:r>
          </w:p>
        </w:tc>
        <w:tc>
          <w:tcPr>
            <w:tcW w:w="28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(1,091)</w:t>
            </w:r>
          </w:p>
        </w:tc>
      </w:tr>
      <w:tr>
        <w:trPr>
          <w:trHeight w:val="237"/>
        </w:trPr>
        <w:tc>
          <w:tcPr>
            <w:tcW w:w="3580" w:type="dxa"/>
            <w:vAlign w:val="bottom"/>
          </w:tcPr>
          <w:p>
            <w:pPr>
              <w:ind w:left="20"/>
              <w:spacing w:after="0"/>
              <w:rPr>
                <w:sz w:val="20"/>
                <w:szCs w:val="20"/>
                <w:color w:val="auto"/>
              </w:rPr>
            </w:pPr>
            <w:r>
              <w:rPr>
                <w:rFonts w:ascii="Arial" w:cs="Arial" w:eastAsia="Arial" w:hAnsi="Arial"/>
                <w:sz w:val="16"/>
                <w:szCs w:val="16"/>
                <w:color w:val="auto"/>
              </w:rPr>
              <w:t>Pre-tax (income) attributable to noncontrolling</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(561)</w:t>
            </w:r>
          </w:p>
        </w:tc>
      </w:tr>
      <w:tr>
        <w:trPr>
          <w:trHeight w:val="23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106,928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49,031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(25,922)</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130,037</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an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6440" w:val="left"/>
          <w:tab w:leader="none" w:pos="7840" w:val="left"/>
          <w:tab w:leader="none" w:pos="8980" w:val="left"/>
          <w:tab w:leader="none" w:pos="10240" w:val="left"/>
        </w:tabs>
        <w:rPr>
          <w:sz w:val="20"/>
          <w:szCs w:val="20"/>
          <w:color w:val="auto"/>
        </w:rPr>
      </w:pPr>
      <w:r>
        <w:rPr>
          <w:rFonts w:ascii="Arial" w:cs="Arial" w:eastAsia="Arial" w:hAnsi="Arial"/>
          <w:sz w:val="14"/>
          <w:szCs w:val="14"/>
          <w:b w:val="1"/>
          <w:bCs w:val="1"/>
          <w:color w:val="auto"/>
        </w:rPr>
        <w:t>Three months ended June 30, 2020</w:t>
      </w:r>
      <w:r>
        <w:rPr>
          <w:sz w:val="20"/>
          <w:szCs w:val="20"/>
          <w:color w:val="auto"/>
        </w:rPr>
        <w:tab/>
      </w:r>
      <w:r>
        <w:rPr>
          <w:rFonts w:ascii="Arial" w:cs="Arial" w:eastAsia="Arial" w:hAnsi="Arial"/>
          <w:sz w:val="14"/>
          <w:szCs w:val="14"/>
          <w:b w:val="1"/>
          <w:bCs w:val="1"/>
          <w:color w:val="auto"/>
        </w:rPr>
        <w:t>Pre tax</w:t>
      </w:r>
      <w:r>
        <w:rPr>
          <w:sz w:val="20"/>
          <w:szCs w:val="20"/>
          <w:color w:val="auto"/>
        </w:rPr>
        <w:tab/>
      </w:r>
      <w:r>
        <w:rPr>
          <w:rFonts w:ascii="Arial" w:cs="Arial" w:eastAsia="Arial" w:hAnsi="Arial"/>
          <w:sz w:val="14"/>
          <w:szCs w:val="14"/>
          <w:b w:val="1"/>
          <w:bCs w:val="1"/>
          <w:color w:val="auto"/>
        </w:rPr>
        <w:t>Tax</w:t>
      </w:r>
      <w:r>
        <w:rPr>
          <w:sz w:val="20"/>
          <w:szCs w:val="20"/>
          <w:color w:val="auto"/>
        </w:rPr>
        <w:tab/>
      </w:r>
      <w:r>
        <w:rPr>
          <w:rFonts w:ascii="Arial" w:cs="Arial" w:eastAsia="Arial" w:hAnsi="Arial"/>
          <w:sz w:val="14"/>
          <w:szCs w:val="14"/>
          <w:b w:val="1"/>
          <w:bCs w:val="1"/>
          <w:color w:val="auto"/>
        </w:rPr>
        <w:t>After tax</w:t>
      </w:r>
      <w:r>
        <w:rPr>
          <w:sz w:val="20"/>
          <w:szCs w:val="20"/>
          <w:color w:val="auto"/>
        </w:rPr>
        <w:tab/>
      </w:r>
      <w:r>
        <w:rPr>
          <w:rFonts w:ascii="Arial" w:cs="Arial" w:eastAsia="Arial" w:hAnsi="Arial"/>
          <w:sz w:val="14"/>
          <w:szCs w:val="14"/>
          <w:b w:val="1"/>
          <w:bCs w:val="1"/>
          <w:color w:val="auto"/>
        </w:rPr>
        <w:t>Per share</w:t>
      </w:r>
    </w:p>
    <w:p>
      <w:pPr>
        <w:spacing w:after="0" w:line="19" w:lineRule="exact"/>
        <w:rPr>
          <w:sz w:val="20"/>
          <w:szCs w:val="20"/>
          <w:color w:val="auto"/>
        </w:rPr>
      </w:pPr>
    </w:p>
    <w:p>
      <w:pPr>
        <w:ind w:left="20"/>
        <w:spacing w:after="0"/>
        <w:tabs>
          <w:tab w:leader="none" w:pos="6360" w:val="left"/>
          <w:tab w:leader="none" w:pos="7760" w:val="left"/>
          <w:tab w:leader="none" w:pos="9060" w:val="left"/>
          <w:tab w:leader="none" w:pos="10360" w:val="left"/>
        </w:tabs>
        <w:rPr>
          <w:sz w:val="20"/>
          <w:szCs w:val="20"/>
          <w:color w:val="auto"/>
        </w:rPr>
      </w:pPr>
      <w:r>
        <w:rPr>
          <w:rFonts w:ascii="Arial" w:cs="Arial" w:eastAsia="Arial" w:hAnsi="Arial"/>
          <w:sz w:val="14"/>
          <w:szCs w:val="14"/>
          <w:b w:val="1"/>
          <w:bCs w:val="1"/>
          <w:color w:val="auto"/>
        </w:rPr>
        <w:t>(in thousands, except per share amounts)</w:t>
      </w:r>
      <w:r>
        <w:rPr>
          <w:sz w:val="20"/>
          <w:szCs w:val="20"/>
          <w:color w:val="auto"/>
        </w:rPr>
        <w:tab/>
      </w:r>
      <w:r>
        <w:rPr>
          <w:rFonts w:ascii="Arial" w:cs="Arial" w:eastAsia="Arial" w:hAnsi="Arial"/>
          <w:sz w:val="14"/>
          <w:szCs w:val="14"/>
          <w:b w:val="1"/>
          <w:bCs w:val="1"/>
          <w:color w:val="auto"/>
        </w:rPr>
        <w:t>Amounts</w:t>
      </w:r>
      <w:r>
        <w:rPr>
          <w:sz w:val="20"/>
          <w:szCs w:val="20"/>
          <w:color w:val="auto"/>
        </w:rPr>
        <w:tab/>
      </w:r>
      <w:r>
        <w:rPr>
          <w:rFonts w:ascii="Arial" w:cs="Arial" w:eastAsia="Arial" w:hAnsi="Arial"/>
          <w:sz w:val="14"/>
          <w:szCs w:val="14"/>
          <w:b w:val="1"/>
          <w:bCs w:val="1"/>
          <w:color w:val="auto"/>
        </w:rPr>
        <w:t>Effect</w:t>
      </w:r>
      <w:r>
        <w:rPr>
          <w:sz w:val="20"/>
          <w:szCs w:val="20"/>
          <w:color w:val="auto"/>
        </w:rPr>
        <w:tab/>
      </w:r>
      <w:r>
        <w:rPr>
          <w:rFonts w:ascii="Arial" w:cs="Arial" w:eastAsia="Arial" w:hAnsi="Arial"/>
          <w:sz w:val="14"/>
          <w:szCs w:val="14"/>
          <w:b w:val="1"/>
          <w:bCs w:val="1"/>
          <w:color w:val="auto"/>
        </w:rPr>
        <w:t>Effect</w:t>
      </w:r>
      <w:r>
        <w:rPr>
          <w:sz w:val="20"/>
          <w:szCs w:val="20"/>
          <w:color w:val="auto"/>
        </w:rPr>
        <w:tab/>
      </w:r>
      <w:r>
        <w:rPr>
          <w:rFonts w:ascii="Arial" w:cs="Arial" w:eastAsia="Arial" w:hAnsi="Arial"/>
          <w:sz w:val="14"/>
          <w:szCs w:val="14"/>
          <w:b w:val="1"/>
          <w:bCs w:val="1"/>
          <w:color w:val="auto"/>
        </w:rPr>
        <w:t>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2,837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953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1,884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0.06</w:t>
            </w:r>
          </w:p>
        </w:tc>
      </w:tr>
      <w:tr>
        <w:trPr>
          <w:trHeight w:val="24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1,023</w:t>
            </w:r>
          </w:p>
        </w:tc>
        <w:tc>
          <w:tcPr>
            <w:tcW w:w="32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536</w:t>
            </w:r>
          </w:p>
        </w:tc>
        <w:tc>
          <w:tcPr>
            <w:tcW w:w="2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487</w:t>
            </w:r>
          </w:p>
        </w:tc>
        <w:tc>
          <w:tcPr>
            <w:tcW w:w="260" w:type="dxa"/>
            <w:vAlign w:val="bottom"/>
          </w:tcPr>
          <w:p>
            <w:pPr>
              <w:spacing w:after="0"/>
              <w:rPr>
                <w:sz w:val="21"/>
                <w:szCs w:val="21"/>
                <w:color w:val="auto"/>
              </w:rPr>
            </w:pP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0.02</w:t>
            </w:r>
          </w:p>
        </w:tc>
      </w:tr>
      <w:tr>
        <w:trPr>
          <w:trHeight w:val="25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195</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color w:val="auto"/>
                <w:w w:val="96"/>
              </w:rPr>
              <w:t>0.01</w:t>
            </w:r>
          </w:p>
        </w:tc>
      </w:tr>
      <w:tr>
        <w:trPr>
          <w:trHeight w:val="243"/>
        </w:trPr>
        <w:tc>
          <w:tcPr>
            <w:tcW w:w="4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5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4"/>
                <w:szCs w:val="14"/>
                <w:color w:val="auto"/>
              </w:rPr>
            </w:pPr>
          </w:p>
        </w:tc>
        <w:tc>
          <w:tcPr>
            <w:tcW w:w="960" w:type="dxa"/>
            <w:vAlign w:val="bottom"/>
          </w:tcPr>
          <w:p>
            <w:pPr>
              <w:jc w:val="center"/>
              <w:ind w:right="162"/>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 tax</w:t>
            </w:r>
          </w:p>
        </w:tc>
        <w:tc>
          <w:tcPr>
            <w:tcW w:w="26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Effect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Effect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899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644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0.02</w:t>
            </w:r>
          </w:p>
        </w:tc>
      </w:tr>
      <w:tr>
        <w:trPr>
          <w:trHeight w:val="25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741</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210</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color w:val="auto"/>
                <w:w w:val="96"/>
              </w:rPr>
              <w:t>0.02</w:t>
            </w:r>
          </w:p>
        </w:tc>
      </w:tr>
      <w:tr>
        <w:trPr>
          <w:trHeight w:val="445"/>
        </w:trPr>
        <w:tc>
          <w:tcPr>
            <w:tcW w:w="4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5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4"/>
                <w:szCs w:val="14"/>
                <w:color w:val="auto"/>
              </w:rPr>
            </w:pPr>
          </w:p>
        </w:tc>
        <w:tc>
          <w:tcPr>
            <w:tcW w:w="960" w:type="dxa"/>
            <w:vAlign w:val="bottom"/>
          </w:tcPr>
          <w:p>
            <w:pPr>
              <w:jc w:val="center"/>
              <w:ind w:right="162"/>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 tax</w:t>
            </w:r>
          </w:p>
        </w:tc>
        <w:tc>
          <w:tcPr>
            <w:tcW w:w="26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Effect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Effect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3,479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2,334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0.07</w:t>
            </w:r>
          </w:p>
        </w:tc>
      </w:tr>
      <w:tr>
        <w:trPr>
          <w:trHeight w:val="24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(gains)/losses(a)</w:t>
            </w:r>
          </w:p>
        </w:tc>
        <w:tc>
          <w:tcPr>
            <w:tcW w:w="15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12,889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(1,009)</w:t>
            </w:r>
          </w:p>
        </w:tc>
        <w:tc>
          <w:tcPr>
            <w:tcW w:w="2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13,898</w:t>
            </w:r>
          </w:p>
        </w:tc>
        <w:tc>
          <w:tcPr>
            <w:tcW w:w="260" w:type="dxa"/>
            <w:vAlign w:val="bottom"/>
          </w:tcPr>
          <w:p>
            <w:pPr>
              <w:spacing w:after="0"/>
              <w:rPr>
                <w:sz w:val="21"/>
                <w:szCs w:val="21"/>
                <w:color w:val="auto"/>
              </w:rPr>
            </w:pP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0.44</w:t>
            </w:r>
          </w:p>
        </w:tc>
      </w:tr>
      <w:tr>
        <w:trPr>
          <w:trHeight w:val="270"/>
        </w:trPr>
        <w:tc>
          <w:tcPr>
            <w:tcW w:w="470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156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2,742</w:t>
            </w:r>
          </w:p>
        </w:tc>
        <w:tc>
          <w:tcPr>
            <w:tcW w:w="32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713</w:t>
            </w:r>
          </w:p>
        </w:tc>
        <w:tc>
          <w:tcPr>
            <w:tcW w:w="28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2,029</w:t>
            </w:r>
          </w:p>
        </w:tc>
        <w:tc>
          <w:tcPr>
            <w:tcW w:w="260" w:type="dxa"/>
            <w:vAlign w:val="bottom"/>
          </w:tcPr>
          <w:p>
            <w:pPr>
              <w:spacing w:after="0"/>
              <w:rPr>
                <w:sz w:val="23"/>
                <w:szCs w:val="23"/>
                <w:color w:val="auto"/>
              </w:rPr>
            </w:pPr>
          </w:p>
        </w:tc>
        <w:tc>
          <w:tcPr>
            <w:tcW w:w="1100" w:type="dxa"/>
            <w:vAlign w:val="bottom"/>
          </w:tcPr>
          <w:p>
            <w:pPr>
              <w:jc w:val="center"/>
              <w:ind w:left="402"/>
              <w:spacing w:after="0"/>
              <w:rPr>
                <w:sz w:val="20"/>
                <w:szCs w:val="20"/>
                <w:color w:val="auto"/>
              </w:rPr>
            </w:pPr>
            <w:r>
              <w:rPr>
                <w:rFonts w:ascii="Arial" w:cs="Arial" w:eastAsia="Arial" w:hAnsi="Arial"/>
                <w:sz w:val="18"/>
                <w:szCs w:val="18"/>
                <w:color w:val="auto"/>
                <w:w w:val="85"/>
              </w:rPr>
              <w:t>0.06</w:t>
            </w:r>
          </w:p>
        </w:tc>
      </w:tr>
      <w:tr>
        <w:trPr>
          <w:trHeight w:val="25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576</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172</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404</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color w:val="auto"/>
                <w:w w:val="96"/>
              </w:rPr>
              <w:t>0.02</w:t>
            </w:r>
          </w:p>
        </w:tc>
      </w:tr>
      <w:tr>
        <w:trPr>
          <w:trHeight w:val="243"/>
        </w:trPr>
        <w:tc>
          <w:tcPr>
            <w:tcW w:w="4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5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4"/>
                <w:szCs w:val="14"/>
                <w:color w:val="auto"/>
              </w:rPr>
            </w:pPr>
          </w:p>
        </w:tc>
        <w:tc>
          <w:tcPr>
            <w:tcW w:w="960" w:type="dxa"/>
            <w:vAlign w:val="bottom"/>
          </w:tcPr>
          <w:p>
            <w:pPr>
              <w:jc w:val="center"/>
              <w:ind w:right="162"/>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 tax</w:t>
            </w:r>
          </w:p>
        </w:tc>
        <w:tc>
          <w:tcPr>
            <w:tcW w:w="26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Effect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Effect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1,383</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397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986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02"/>
              <w:spacing w:after="0"/>
              <w:rPr>
                <w:sz w:val="20"/>
                <w:szCs w:val="20"/>
                <w:color w:val="auto"/>
              </w:rPr>
            </w:pPr>
            <w:r>
              <w:rPr>
                <w:rFonts w:ascii="Arial" w:cs="Arial" w:eastAsia="Arial" w:hAnsi="Arial"/>
                <w:sz w:val="16"/>
                <w:szCs w:val="16"/>
                <w:color w:val="auto"/>
                <w:w w:val="96"/>
              </w:rPr>
              <w:t>0.03</w:t>
            </w:r>
          </w:p>
        </w:tc>
      </w:tr>
      <w:tr>
        <w:trPr>
          <w:trHeight w:val="25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color w:val="auto"/>
              </w:rPr>
              <w:t>(0.02)</w:t>
            </w:r>
          </w:p>
        </w:tc>
      </w:tr>
    </w:tbl>
    <w:p>
      <w:pPr>
        <w:spacing w:after="0" w:line="339" w:lineRule="exact"/>
        <w:rPr>
          <w:sz w:val="20"/>
          <w:szCs w:val="20"/>
          <w:color w:val="auto"/>
        </w:rPr>
      </w:pPr>
    </w:p>
    <w:p>
      <w:pPr>
        <w:ind w:left="660" w:right="240" w:hanging="652"/>
        <w:spacing w:after="0" w:line="260"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Q1 2020, the company recorded losses of approximately $17 million in jurisdictions where it cannot record a tax benefit from the losses, which results in an unusual relationship between the pre-tax and after-tax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6609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23"/>
        </w:trPr>
        <w:tc>
          <w:tcPr>
            <w:tcW w:w="5180" w:type="dxa"/>
            <w:vAlign w:val="bottom"/>
          </w:tcPr>
          <w:p>
            <w:pPr>
              <w:ind w:left="20"/>
              <w:spacing w:after="0"/>
              <w:rPr>
                <w:sz w:val="20"/>
                <w:szCs w:val="20"/>
                <w:color w:val="auto"/>
              </w:rPr>
            </w:pPr>
            <w:r>
              <w:rPr>
                <w:rFonts w:ascii="Arial" w:cs="Arial" w:eastAsia="Arial" w:hAnsi="Arial"/>
                <w:sz w:val="16"/>
                <w:szCs w:val="16"/>
                <w:color w:val="auto"/>
              </w:rPr>
              <w:t>Earnings per share (GAAP)</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1.96</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0.07</w:t>
            </w:r>
          </w:p>
        </w:tc>
        <w:tc>
          <w:tcPr>
            <w:tcW w:w="36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0.03</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0.44</w:t>
            </w:r>
          </w:p>
        </w:tc>
        <w:tc>
          <w:tcPr>
            <w:tcW w:w="3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(0.02)</w:t>
            </w:r>
          </w:p>
        </w:tc>
      </w:tr>
      <w:tr>
        <w:trPr>
          <w:trHeight w:val="270"/>
        </w:trPr>
        <w:tc>
          <w:tcPr>
            <w:tcW w:w="518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36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5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23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1.97</w:t>
            </w:r>
          </w:p>
        </w:tc>
      </w:tr>
    </w:tbl>
    <w:p>
      <w:pPr>
        <w:spacing w:after="0" w:line="350" w:lineRule="exact"/>
        <w:rPr>
          <w:sz w:val="20"/>
          <w:szCs w:val="20"/>
          <w:color w:val="auto"/>
        </w:rPr>
      </w:pPr>
    </w:p>
    <w:p>
      <w:pPr>
        <w:jc w:val="both"/>
        <w:ind w:right="280" w:firstLine="324"/>
        <w:spacing w:after="0" w:line="261" w:lineRule="auto"/>
        <w:rPr>
          <w:sz w:val="20"/>
          <w:szCs w:val="20"/>
          <w:color w:val="auto"/>
        </w:rPr>
      </w:pPr>
      <w:r>
        <w:rPr>
          <w:rFonts w:ascii="Arial" w:cs="Arial" w:eastAsia="Arial" w:hAnsi="Arial"/>
          <w:sz w:val="17"/>
          <w:szCs w:val="17"/>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r>
      <w:tr>
        <w:trPr>
          <w:trHeight w:val="223"/>
        </w:trPr>
        <w:tc>
          <w:tcPr>
            <w:tcW w:w="498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20</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435,000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491,002</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424,009</w:t>
            </w:r>
          </w:p>
        </w:tc>
      </w:tr>
      <w:tr>
        <w:trPr>
          <w:trHeight w:val="23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2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435,017</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491,022</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424,029</w:t>
            </w:r>
          </w:p>
        </w:tc>
      </w:tr>
      <w:tr>
        <w:trPr>
          <w:trHeight w:val="23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204,037</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222,680</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195,540</w:t>
            </w:r>
          </w:p>
        </w:tc>
      </w:tr>
      <w:tr>
        <w:trPr>
          <w:trHeight w:val="23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debt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230,980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268,342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228,489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We continue the process of implementing our internal control over financial reporting structure over the CirComp acquisition and expect that this effort will be completed in 2020.</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the items below, for discussion of risk factors, refer to Item 1A of our Annual Report on Form 10-K for the year ended December 31, 2019.</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certain negative impacts on our business, and such impacts may have a material adverse effect on our results of operations, financial condition and cash flows</w:t>
      </w:r>
    </w:p>
    <w:p>
      <w:pPr>
        <w:spacing w:after="0" w:line="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 regions of the world, increased unemployment, decreases in disposable income, decline in consumer confidence, and changes in consumer spending habits. Certain adverse impacts specific to the Company include, without limitation:</w:t>
      </w:r>
    </w:p>
    <w:p>
      <w:pPr>
        <w:spacing w:after="0" w:line="97" w:lineRule="exact"/>
        <w:rPr>
          <w:sz w:val="20"/>
          <w:szCs w:val="20"/>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experienced larger-than-anticipated declines in demand for MC fabrics used to make certain paper grades, specifically publication paper grades, that could be COVID-19 related. The above effects are likely to continue to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for the MC products used to manufacture such paper grades or building products. A decline in revenues would lead to lower gross profit on those products and the possibility of unabsorbed fixed manufacturing costs.</w:t>
      </w:r>
    </w:p>
    <w:p>
      <w:pPr>
        <w:spacing w:after="0" w:line="90" w:lineRule="exact"/>
        <w:rPr>
          <w:sz w:val="20"/>
          <w:szCs w:val="20"/>
          <w:color w:val="auto"/>
        </w:rPr>
      </w:pPr>
    </w:p>
    <w:p>
      <w:pPr>
        <w:jc w:val="both"/>
        <w:ind w:left="660" w:hanging="328"/>
        <w:spacing w:after="0" w:line="25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Albany Engineered Composites segment generates a significant portion of its revenue from commercial aerospace programs and contracts for the U.S. Department of Defense (DOD).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 The U.S. Presidential election later in 2020 could increase the uncertainties associated with DOD programs.</w:t>
      </w:r>
    </w:p>
    <w:p>
      <w:pPr>
        <w:spacing w:after="0" w:line="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in supply chains may place constraints on our ability to source key raw materials and services which could impact our ability to deliver products to customers as scheduled, or could increase manufacturing or delivery costs.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adverse fluctuations in foreign currency exchange rates, particularly an increase in the value of the U.S. dollar against certain key foreign currencies, which negatively affected results in the first quarter of 2020, and could continue to negatively affect, our results of operations and financial condition.</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periods of economic weakness, the Company may be exposed to greater risk for credit risk. Additionally, we could be required to record significant impairment charges with respect to noncurrent assets, including goodwill and other intangible assets, whose fair values may be negatively affected by the effects of the COVID-19 pandemic on our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made no share purchases during the second quarter of 2020. We remain authorized by the Board of Directors to purchase up to 2 million shares of our Class A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6"/>
                <w:szCs w:val="16"/>
                <w:color w:val="auto"/>
              </w:rPr>
              <w:t>Exhibit No.</w:t>
            </w:r>
          </w:p>
        </w:tc>
        <w:tc>
          <w:tcPr>
            <w:tcW w:w="980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30"/>
        </w:trPr>
        <w:tc>
          <w:tcPr>
            <w:tcW w:w="1260" w:type="dxa"/>
            <w:vAlign w:val="bottom"/>
          </w:tcPr>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31.1</w:t>
              </w:r>
            </w:hyperlink>
          </w:p>
        </w:tc>
        <w:tc>
          <w:tcPr>
            <w:tcW w:w="9800" w:type="dxa"/>
            <w:vAlign w:val="bottom"/>
            <w:gridSpan w:val="3"/>
          </w:tcPr>
          <w:p>
            <w:pPr>
              <w:spacing w:after="0"/>
              <w:rPr>
                <w:rFonts w:ascii="Arial" w:cs="Arial" w:eastAsia="Arial" w:hAnsi="Arial"/>
                <w:sz w:val="16"/>
                <w:szCs w:val="16"/>
                <w:color w:val="0000FF"/>
              </w:rPr>
            </w:pPr>
            <w:hyperlink w:anchor="page48">
              <w:r>
                <w:rPr>
                  <w:rFonts w:ascii="Arial" w:cs="Arial" w:eastAsia="Arial" w:hAnsi="Arial"/>
                  <w:sz w:val="16"/>
                  <w:szCs w:val="16"/>
                  <w:u w:val="single" w:color="auto"/>
                  <w:color w:val="0000FF"/>
                </w:rPr>
                <w:t>Certification of the Chief Executive Officer pursuant to Rule 13a-14(a)/15d-14(a) of the Exchange Act</w:t>
              </w:r>
              <w:r>
                <w:rPr>
                  <w:rFonts w:ascii="Arial" w:cs="Arial" w:eastAsia="Arial" w:hAnsi="Arial"/>
                  <w:sz w:val="16"/>
                  <w:szCs w:val="16"/>
                  <w:color w:val="0000FF"/>
                </w:rPr>
                <w:t>.</w:t>
              </w:r>
            </w:hyperlink>
          </w:p>
        </w:tc>
      </w:tr>
      <w:tr>
        <w:trPr>
          <w:trHeight w:val="216"/>
        </w:trPr>
        <w:tc>
          <w:tcPr>
            <w:tcW w:w="1260" w:type="dxa"/>
            <w:vAlign w:val="bottom"/>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31.2</w:t>
              </w:r>
            </w:hyperlink>
          </w:p>
        </w:tc>
        <w:tc>
          <w:tcPr>
            <w:tcW w:w="9800" w:type="dxa"/>
            <w:vAlign w:val="bottom"/>
            <w:gridSpan w:val="3"/>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Certification of the Chief Financial Officer pursuant to Rule 13a-14(a)/15d-14(a) of the Exchange Act</w:t>
              </w:r>
              <w:r>
                <w:rPr>
                  <w:rFonts w:ascii="Arial" w:cs="Arial" w:eastAsia="Arial" w:hAnsi="Arial"/>
                  <w:sz w:val="16"/>
                  <w:szCs w:val="16"/>
                  <w:color w:val="0000FF"/>
                </w:rPr>
                <w:t>.</w:t>
              </w:r>
            </w:hyperlink>
          </w:p>
        </w:tc>
      </w:tr>
      <w:tr>
        <w:trPr>
          <w:trHeight w:val="182"/>
        </w:trPr>
        <w:tc>
          <w:tcPr>
            <w:tcW w:w="1260" w:type="dxa"/>
            <w:vAlign w:val="bottom"/>
          </w:tcPr>
          <w:p>
            <w:pPr>
              <w:spacing w:after="0" w:line="181" w:lineRule="exact"/>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32.1</w:t>
              </w:r>
            </w:hyperlink>
          </w:p>
        </w:tc>
        <w:tc>
          <w:tcPr>
            <w:tcW w:w="9800" w:type="dxa"/>
            <w:vAlign w:val="bottom"/>
            <w:gridSpan w:val="3"/>
          </w:tcPr>
          <w:p>
            <w:pPr>
              <w:spacing w:after="0" w:line="181" w:lineRule="exact"/>
              <w:rPr>
                <w:rFonts w:ascii="Arial" w:cs="Arial" w:eastAsia="Arial" w:hAnsi="Arial"/>
                <w:sz w:val="16"/>
                <w:szCs w:val="16"/>
                <w:color w:val="0000FF"/>
              </w:rPr>
            </w:pPr>
            <w:hyperlink w:anchor="page50">
              <w:r>
                <w:rPr>
                  <w:rFonts w:ascii="Arial" w:cs="Arial" w:eastAsia="Arial" w:hAnsi="Arial"/>
                  <w:sz w:val="16"/>
                  <w:szCs w:val="16"/>
                  <w:color w:val="0000FF"/>
                </w:rPr>
                <w:t>Certification pursuant to Section 906 of the Sarbanes-Oxley Act of 2002 (Subsections (a) and (b) of Section 1350, Chapter 63 of Title 18,</w:t>
              </w:r>
            </w:hyperlink>
          </w:p>
        </w:tc>
      </w:tr>
      <w:tr>
        <w:trPr>
          <w:trHeight w:val="142"/>
        </w:trPr>
        <w:tc>
          <w:tcPr>
            <w:tcW w:w="1260" w:type="dxa"/>
            <w:vAlign w:val="bottom"/>
          </w:tcPr>
          <w:p>
            <w:pPr>
              <w:spacing w:after="0"/>
              <w:rPr>
                <w:sz w:val="12"/>
                <w:szCs w:val="12"/>
                <w:color w:val="auto"/>
              </w:rPr>
            </w:pPr>
          </w:p>
        </w:tc>
        <w:tc>
          <w:tcPr>
            <w:tcW w:w="97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United States Code).</w:t>
              </w:r>
            </w:hyperlink>
          </w:p>
        </w:tc>
        <w:tc>
          <w:tcPr>
            <w:tcW w:w="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r>
      <w:tr>
        <w:trPr>
          <w:trHeight w:val="230"/>
        </w:trPr>
        <w:tc>
          <w:tcPr>
            <w:tcW w:w="1260" w:type="dxa"/>
            <w:vAlign w:val="bottom"/>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99.1</w:t>
              </w:r>
            </w:hyperlink>
          </w:p>
        </w:tc>
        <w:tc>
          <w:tcPr>
            <w:tcW w:w="9800" w:type="dxa"/>
            <w:vAlign w:val="bottom"/>
            <w:gridSpan w:val="3"/>
          </w:tcPr>
          <w:p>
            <w:pPr>
              <w:spacing w:after="0"/>
              <w:rPr>
                <w:rFonts w:ascii="Arial" w:cs="Arial" w:eastAsia="Arial" w:hAnsi="Arial"/>
                <w:sz w:val="16"/>
                <w:szCs w:val="16"/>
                <w:color w:val="0000FF"/>
              </w:rPr>
            </w:pPr>
            <w:hyperlink w:anchor="page51">
              <w:r>
                <w:rPr>
                  <w:rFonts w:ascii="Arial" w:cs="Arial" w:eastAsia="Arial" w:hAnsi="Arial"/>
                  <w:sz w:val="16"/>
                  <w:szCs w:val="16"/>
                  <w:u w:val="single" w:color="auto"/>
                  <w:color w:val="0000FF"/>
                </w:rPr>
                <w:t>Quantitative and qualitative disclosures about market risks as reported at</w:t>
              </w:r>
              <w:r>
                <w:rPr>
                  <w:rFonts w:ascii="Arial" w:cs="Arial" w:eastAsia="Arial" w:hAnsi="Arial"/>
                  <w:sz w:val="16"/>
                  <w:szCs w:val="16"/>
                  <w:color w:val="0000FF"/>
                </w:rPr>
                <w:t xml:space="preserve">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30, 2020.</w:t>
            </w:r>
          </w:p>
        </w:tc>
      </w:tr>
      <w:tr>
        <w:trPr>
          <w:trHeight w:val="224"/>
        </w:trPr>
        <w:tc>
          <w:tcPr>
            <w:tcW w:w="1260" w:type="dxa"/>
            <w:vAlign w:val="bottom"/>
          </w:tcPr>
          <w:p>
            <w:pPr>
              <w:spacing w:after="0"/>
              <w:rPr>
                <w:sz w:val="20"/>
                <w:szCs w:val="20"/>
                <w:color w:val="auto"/>
              </w:rPr>
            </w:pPr>
            <w:r>
              <w:rPr>
                <w:rFonts w:ascii="Arial" w:cs="Arial" w:eastAsia="Arial" w:hAnsi="Arial"/>
                <w:sz w:val="16"/>
                <w:szCs w:val="16"/>
                <w:color w:val="auto"/>
              </w:rPr>
              <w:t>101.INS</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195"/>
        </w:trPr>
        <w:tc>
          <w:tcPr>
            <w:tcW w:w="1260" w:type="dxa"/>
            <w:vAlign w:val="bottom"/>
          </w:tcPr>
          <w:p>
            <w:pPr>
              <w:spacing w:after="0"/>
              <w:rPr>
                <w:sz w:val="16"/>
                <w:szCs w:val="16"/>
                <w:color w:val="auto"/>
              </w:rPr>
            </w:pPr>
          </w:p>
        </w:tc>
        <w:tc>
          <w:tcPr>
            <w:tcW w:w="9800" w:type="dxa"/>
            <w:vAlign w:val="bottom"/>
            <w:gridSpan w:val="3"/>
          </w:tcPr>
          <w:p>
            <w:pPr>
              <w:spacing w:after="0"/>
              <w:rPr>
                <w:sz w:val="20"/>
                <w:szCs w:val="20"/>
                <w:color w:val="auto"/>
              </w:rPr>
            </w:pPr>
            <w:r>
              <w:rPr>
                <w:rFonts w:ascii="Arial" w:cs="Arial" w:eastAsia="Arial" w:hAnsi="Arial"/>
                <w:sz w:val="16"/>
                <w:szCs w:val="16"/>
                <w:color w:val="auto"/>
              </w:rPr>
              <w:t>within the Inline XBRL document.</w:t>
            </w:r>
          </w:p>
        </w:tc>
      </w:tr>
      <w:tr>
        <w:trPr>
          <w:trHeight w:val="243"/>
        </w:trPr>
        <w:tc>
          <w:tcPr>
            <w:tcW w:w="1260" w:type="dxa"/>
            <w:vAlign w:val="bottom"/>
          </w:tcPr>
          <w:p>
            <w:pPr>
              <w:spacing w:after="0"/>
              <w:rPr>
                <w:sz w:val="20"/>
                <w:szCs w:val="20"/>
                <w:color w:val="auto"/>
              </w:rPr>
            </w:pPr>
            <w:r>
              <w:rPr>
                <w:rFonts w:ascii="Arial" w:cs="Arial" w:eastAsia="Arial" w:hAnsi="Arial"/>
                <w:sz w:val="16"/>
                <w:szCs w:val="16"/>
                <w:color w:val="auto"/>
              </w:rPr>
              <w:t>101.SCH</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243"/>
        </w:trPr>
        <w:tc>
          <w:tcPr>
            <w:tcW w:w="1260" w:type="dxa"/>
            <w:vAlign w:val="bottom"/>
          </w:tcPr>
          <w:p>
            <w:pPr>
              <w:spacing w:after="0"/>
              <w:rPr>
                <w:sz w:val="20"/>
                <w:szCs w:val="20"/>
                <w:color w:val="auto"/>
              </w:rPr>
            </w:pPr>
            <w:r>
              <w:rPr>
                <w:rFonts w:ascii="Arial" w:cs="Arial" w:eastAsia="Arial" w:hAnsi="Arial"/>
                <w:sz w:val="16"/>
                <w:szCs w:val="16"/>
                <w:color w:val="auto"/>
              </w:rPr>
              <w:t>101.CAL</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43"/>
        </w:trPr>
        <w:tc>
          <w:tcPr>
            <w:tcW w:w="1260" w:type="dxa"/>
            <w:vAlign w:val="bottom"/>
          </w:tcPr>
          <w:p>
            <w:pPr>
              <w:spacing w:after="0"/>
              <w:rPr>
                <w:sz w:val="20"/>
                <w:szCs w:val="20"/>
                <w:color w:val="auto"/>
              </w:rPr>
            </w:pPr>
            <w:r>
              <w:rPr>
                <w:rFonts w:ascii="Arial" w:cs="Arial" w:eastAsia="Arial" w:hAnsi="Arial"/>
                <w:sz w:val="16"/>
                <w:szCs w:val="16"/>
                <w:color w:val="auto"/>
              </w:rPr>
              <w:t>101.DEF</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43"/>
        </w:trPr>
        <w:tc>
          <w:tcPr>
            <w:tcW w:w="1260" w:type="dxa"/>
            <w:vAlign w:val="bottom"/>
          </w:tcPr>
          <w:p>
            <w:pPr>
              <w:spacing w:after="0"/>
              <w:rPr>
                <w:sz w:val="20"/>
                <w:szCs w:val="20"/>
                <w:color w:val="auto"/>
              </w:rPr>
            </w:pPr>
            <w:r>
              <w:rPr>
                <w:rFonts w:ascii="Arial" w:cs="Arial" w:eastAsia="Arial" w:hAnsi="Arial"/>
                <w:sz w:val="16"/>
                <w:szCs w:val="16"/>
                <w:color w:val="auto"/>
              </w:rPr>
              <w:t>101.LAB</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43"/>
        </w:trPr>
        <w:tc>
          <w:tcPr>
            <w:tcW w:w="1260" w:type="dxa"/>
            <w:vAlign w:val="bottom"/>
          </w:tcPr>
          <w:p>
            <w:pPr>
              <w:spacing w:after="0"/>
              <w:rPr>
                <w:sz w:val="20"/>
                <w:szCs w:val="20"/>
                <w:color w:val="auto"/>
              </w:rPr>
            </w:pPr>
            <w:r>
              <w:rPr>
                <w:rFonts w:ascii="Arial" w:cs="Arial" w:eastAsia="Arial" w:hAnsi="Arial"/>
                <w:sz w:val="16"/>
                <w:szCs w:val="16"/>
                <w:color w:val="auto"/>
              </w:rPr>
              <w:t>101.PRE</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48" w:lineRule="exact"/>
        <w:rPr>
          <w:sz w:val="20"/>
          <w:szCs w:val="20"/>
          <w:color w:val="auto"/>
        </w:rPr>
      </w:pPr>
    </w:p>
    <w:p>
      <w:pPr>
        <w:ind w:left="1280" w:hanging="1254"/>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3"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ALBANY INTERNATIONAL CORP.</w:t>
      </w:r>
    </w:p>
    <w:p>
      <w:pPr>
        <w:spacing w:after="0" w:line="59"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(Registrant)</w:t>
      </w:r>
    </w:p>
    <w:p>
      <w:pPr>
        <w:spacing w:after="0" w:line="336" w:lineRule="exact"/>
        <w:rPr>
          <w:sz w:val="20"/>
          <w:szCs w:val="20"/>
          <w:color w:val="auto"/>
        </w:rPr>
      </w:pPr>
    </w:p>
    <w:p>
      <w:pPr>
        <w:ind w:left="20"/>
        <w:spacing w:after="0"/>
        <w:tabs>
          <w:tab w:leader="none" w:pos="4120" w:val="left"/>
          <w:tab w:leader="none" w:pos="4560" w:val="left"/>
        </w:tabs>
        <w:rPr>
          <w:sz w:val="20"/>
          <w:szCs w:val="20"/>
          <w:color w:val="auto"/>
        </w:rPr>
      </w:pPr>
      <w:r>
        <w:rPr>
          <w:rFonts w:ascii="Arial" w:cs="Arial" w:eastAsia="Arial" w:hAnsi="Arial"/>
          <w:sz w:val="16"/>
          <w:szCs w:val="16"/>
          <w:color w:val="auto"/>
        </w:rPr>
        <w:t>Date: July 30, 2020</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19050</wp:posOffset>
            </wp:positionV>
            <wp:extent cx="40976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Stephen M. Nolan</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Chief Financial Officer and Treasurer</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0"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4180" w:val="left"/>
          <w:tab w:leader="none" w:pos="464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41662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0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 William Higgins</w:t>
      </w:r>
    </w:p>
    <w:p>
      <w:pPr>
        <w:ind w:left="4660"/>
        <w:spacing w:after="0" w:line="203" w:lineRule="auto"/>
        <w:rPr>
          <w:sz w:val="20"/>
          <w:szCs w:val="20"/>
          <w:color w:val="auto"/>
        </w:rPr>
      </w:pPr>
      <w:r>
        <w:rPr>
          <w:rFonts w:ascii="Arial" w:cs="Arial" w:eastAsia="Arial" w:hAnsi="Arial"/>
          <w:sz w:val="18"/>
          <w:szCs w:val="18"/>
          <w:color w:val="auto"/>
        </w:rPr>
        <w:t>President and Chief Executive Officer</w:t>
      </w:r>
    </w:p>
    <w:p>
      <w:pPr>
        <w:ind w:left="4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4180" w:val="left"/>
          <w:tab w:leader="none" w:pos="464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41662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Stephen M. Nolan</w:t>
      </w:r>
    </w:p>
    <w:p>
      <w:pPr>
        <w:ind w:left="4660"/>
        <w:spacing w:after="0" w:line="203" w:lineRule="auto"/>
        <w:rPr>
          <w:sz w:val="20"/>
          <w:szCs w:val="20"/>
          <w:color w:val="auto"/>
        </w:rPr>
      </w:pPr>
      <w:r>
        <w:rPr>
          <w:rFonts w:ascii="Arial" w:cs="Arial" w:eastAsia="Arial" w:hAnsi="Arial"/>
          <w:sz w:val="18"/>
          <w:szCs w:val="18"/>
          <w:color w:val="auto"/>
        </w:rPr>
        <w:t>Chief Financial Officer and Treasurer</w:t>
      </w:r>
    </w:p>
    <w:p>
      <w:pPr>
        <w:ind w:left="4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2020,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9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34118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2020</w:t>
      </w:r>
    </w:p>
    <w:p>
      <w:pPr>
        <w:spacing w:after="0" w:line="25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7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$561.9 million. The potential loss in fair value resulting from a hypothetical 10% adverse change in quoted foreign currency exchange rates amounts to $56.2 million. Furthermore, related to foreign currency transactions, we have exposure to various nonfunctional currency balances totaling $0.6 million. This amount includes, on an absolute basis, exposures to assets and liabilities held in currencies other than our local entity’s functional currency. On a net basis, we had $43.6 million of foreign currency liabilities as of June 30, 2020. As currency rates change, these nonfunctional currency balances are revalued, and the corresponding adjustment is recorded in the income statement. A hypothetical change of 10% in currency rates could result in an adjustment to the income statement of approximately $4.4 million. Actual results may differ.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2020,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120" w:type="dxa"/>
            <w:vAlign w:val="bottom"/>
          </w:tcPr>
          <w:p>
            <w:pPr>
              <w:spacing w:after="0"/>
              <w:rPr>
                <w:sz w:val="18"/>
                <w:szCs w:val="18"/>
                <w:color w:val="auto"/>
              </w:rPr>
            </w:pPr>
          </w:p>
        </w:tc>
      </w:tr>
      <w:tr>
        <w:trPr>
          <w:trHeight w:val="242"/>
        </w:trPr>
        <w:tc>
          <w:tcPr>
            <w:tcW w:w="9120" w:type="dxa"/>
            <w:vAlign w:val="bottom"/>
          </w:tcPr>
          <w:p>
            <w:pPr>
              <w:ind w:left="20"/>
              <w:spacing w:after="0"/>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20" w:type="dxa"/>
            <w:vAlign w:val="bottom"/>
          </w:tcPr>
          <w:p>
            <w:pPr>
              <w:spacing w:after="0"/>
              <w:rPr>
                <w:sz w:val="21"/>
                <w:szCs w:val="21"/>
                <w:color w:val="auto"/>
              </w:rPr>
            </w:pPr>
          </w:p>
        </w:tc>
      </w:tr>
      <w:tr>
        <w:trPr>
          <w:trHeight w:val="224"/>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1.555% in 2020, due in 2022</w:t>
            </w:r>
          </w:p>
        </w:tc>
        <w:tc>
          <w:tcPr>
            <w:tcW w:w="21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$85,000</w:t>
            </w:r>
          </w:p>
        </w:tc>
      </w:tr>
      <w:tr>
        <w:trPr>
          <w:trHeight w:val="250"/>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$85,000</w:t>
            </w:r>
          </w:p>
        </w:tc>
      </w:tr>
    </w:tbl>
    <w:p>
      <w:pPr>
        <w:spacing w:after="0" w:line="3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$0.8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decimal"/>
      <w:start w:val="17"/>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0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2020-07-30T18:31:22Z</dcterms:created>
  <dcterms:modified xsi:type="dcterms:W3CDTF">2020-07-30T18:31:22Z</dcterms:modified>
</cp:coreProperties>
</file>